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Модель, уведомления и аудит — на Python и FastAPI, приём данных — на Go;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207 автоматических тестов: сервис модели — 95, приём данных (Go) — 37, уведомления — 32, аудит — 23, общий пакет — 20.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прошли через такт сервиса. У пяти типов оценки совпали с эталоном, посчитанным без сервиса, до нуля, тревоги — объекто-час в объекто-час. У отказа оборудования оценка сети сверена на срезе, а порог — на всех 48 часах (журнал исследования, раздел 64).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65 разделов.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канал. Написан на Go: быстро принимает много пакетов на малой памяти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общий пакет сервисов на Python: секреты из Vault, проверка токенов, событие аудита. У приёма данных то же самое в </w:t>
            </w:r>
            <w:r>
              <w:rPr>
                <w:rFonts w:ascii="Consolas" w:hAnsi="Consolas" w:cs="Consolas" w:eastAsia="Consolas"/>
                <w:sz w:val="18"/>
              </w:rPr>
              <w:t>kit.go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>, раздел 6): доля подтвердившихся тревог с такой оценкой на проверке 2025 года. Смесь моделей сопоставлена с метками «эпизод в ближайшие 24 ч» изотонической регрессией; точки кривой лежат в пакете модели (</w:t>
      </w:r>
      <w:r>
        <w:rPr>
          <w:rFonts w:ascii="Consolas" w:hAnsi="Consolas" w:cs="Consolas" w:eastAsia="Consolas"/>
          <w:sz w:val="22"/>
        </w:rPr>
        <w:t>calibration.json</w:t>
      </w:r>
      <w:r>
        <w:rPr>
          <w:rFonts w:ascii="Times New Roman" w:hAnsi="Times New Roman" w:cs="Times New Roman" w:eastAsia="Times New Roman"/>
        </w:rPr>
        <w:t>), сервис только интерполирует.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Длительность тревоги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) и </w:t>
      </w:r>
      <w:r>
        <w:rPr>
          <w:rFonts w:ascii="Times New Roman" w:hAnsi="Times New Roman" w:cs="Times New Roman" w:eastAsia="Times New Roman"/>
          <w:b/>
        </w:rPr>
        <w:t>датчики-свидетели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>: последнее событие каждого канала семейств типа на объекте за 24 ч, до пяти) идут рядом отдельными полями, в уверенность не входят.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типа, который на нём держится, умножается на (1 − цена молчания) из раздела 55: дым у пожара — 0,04, у отказа датчика — 0,07, газ у загазованности — 0,25. Какие семейства молчат, сообщение называет в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эпоха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один рычаг не ловит больше рабочей сети ни на 2025, ни на 2026; доп. горизонты вредят сильнее всего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сеть не меняется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других типов; версия 1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при весе сети 0,4 +7% и +8% пойманных при тех же ложных сигналах, но при тех же ложных часах прибавки нет; у датчика и подтопления хуже. Версия 1 на входах A′ ловит 1 179 эпизодов, из них 1 081 свежих, против 1 148 и 946 у бустинга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отброшена; версия 1 подтверждена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горизонты, вектор объекта 8 и 16, потолок веса положительных 3 и 30, своя эпоха на тип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ловят больше рабочей сети (раздел 63)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пожара, датчика, подтопления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выигрыш только при равных ложных сигналах, при равных ложных часах его нет; у датчика и подтопления прибавка на одном году и потеря на другом (раздел 65)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срочный прогноз на 6 ч поверх суточного у пожара, газа, подтопления, оборудования,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прибавка меньше 5% или в сигналах поднять долю суточной выгоднее; у отказа датчика выигрыш по обеим мерам — вторая модель наготове, в пакет не ставится (раздел 65)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×5, данные 2022–2023 | нет | | 3 | разрыв в 2 года | TCN ×5, вся история кроме последних 730 суток | нет, заморожена | | 4 | липкая | TCN ×5 на всей истории | нет, заморожена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останавливается; если событий семейств типа нет дольше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(1 ч, у подтопления 3 ч), в сообщении у типа появляется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данных.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Молчание отмечает воронка (</w:t>
      </w:r>
      <w:r>
        <w:rPr>
          <w:rFonts w:ascii="Consolas" w:hAnsi="Consolas" w:cs="Consolas" w:eastAsia="Consolas"/>
          <w:sz w:val="22"/>
        </w:rPr>
        <w:t>channel.status</w:t>
      </w:r>
      <w:r>
        <w:rPr>
          <w:rFonts w:ascii="Times New Roman" w:hAnsi="Times New Roman" w:cs="Times New Roman" w:eastAsia="Times New Roman"/>
        </w:rPr>
        <w:t xml:space="preserve">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 xml:space="preserve">), модель читает топик на ходу. Прогноз считается как обычно, у типа появляется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, уверенность умножается на (1 − цена молчания) — раздел 4.11.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выключено по умолчанию и запускается только командой; все четыре версии оборудования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 xml:space="preserve"> — калиброванная вероятность подтверждения тревоги (раздел 4.11), с поправкой на молчание семейств. Есть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 xml:space="preserve"> — датчики-свидетели: номер канала, время, значение; до пяти, свежие первыми.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 xml:space="preserve"> — какие семейства датчиков типа молчат на объекте;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событий семейств типа по парку. Приходят при любой оценке, если есть что сообщить.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журнал запросов: каждый HTTP-запрос к модели, воронке, уведомлениям и аудиту даёт строку в поток </w:t>
      </w:r>
      <w:r>
        <w:rPr>
          <w:rFonts w:ascii="Consolas" w:hAnsi="Consolas" w:cs="Consolas" w:eastAsia="Consolas"/>
          <w:sz w:val="22"/>
        </w:rPr>
        <w:t>audit:requests</w:t>
      </w:r>
      <w:r>
        <w:rPr>
          <w:rFonts w:ascii="Times New Roman" w:hAnsi="Times New Roman" w:cs="Times New Roman" w:eastAsia="Times New Roman"/>
        </w:rPr>
        <w:t xml:space="preserve"> — метод, шаблон маршрута без номеров и строки запроса, код ответа, длительность, кто спросил (из токена или </w:t>
      </w:r>
      <w:r>
        <w:rPr>
          <w:rFonts w:ascii="Consolas" w:hAnsi="Consolas" w:cs="Consolas" w:eastAsia="Consolas"/>
          <w:sz w:val="22"/>
        </w:rPr>
        <w:t>anonymous</w:t>
      </w:r>
      <w:r>
        <w:rPr>
          <w:rFonts w:ascii="Times New Roman" w:hAnsi="Times New Roman" w:cs="Times New Roman" w:eastAsia="Times New Roman"/>
        </w:rPr>
        <w:t xml:space="preserve">), </w:t>
      </w:r>
      <w:r>
        <w:rPr>
          <w:rFonts w:ascii="Consolas" w:hAnsi="Consolas" w:cs="Consolas" w:eastAsia="Consolas"/>
          <w:sz w:val="22"/>
        </w:rPr>
        <w:t>request_id</w:t>
      </w:r>
      <w:r>
        <w:rPr>
          <w:rFonts w:ascii="Times New Roman" w:hAnsi="Times New Roman" w:cs="Times New Roman" w:eastAsia="Times New Roman"/>
        </w:rPr>
        <w:t xml:space="preserve">, адрес. Пробы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не пишутся. Запись идёт из фоновой очереди и не задерживает ответ (</w:t>
      </w:r>
      <w:r>
        <w:rPr>
          <w:rFonts w:ascii="Consolas" w:hAnsi="Consolas" w:cs="Consolas" w:eastAsia="Consolas"/>
          <w:sz w:val="22"/>
        </w:rPr>
        <w:t>tfkit.request_log</w:t>
      </w:r>
      <w:r>
        <w:rPr>
          <w:rFonts w:ascii="Times New Roman" w:hAnsi="Times New Roman" w:cs="Times New Roman" w:eastAsia="Times New Roman"/>
        </w:rPr>
        <w:t>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</w:t>
      </w:r>
      <w:r>
        <w:rPr>
          <w:rFonts w:ascii="Consolas" w:hAnsi="Consolas" w:cs="Consolas" w:eastAsia="Consolas"/>
          <w:sz w:val="22"/>
        </w:rPr>
        <w:t>TF_AUTH_PUBLIC_KEY</w:t>
      </w:r>
      <w:r>
        <w:rPr>
          <w:rFonts w:ascii="Times New Roman" w:hAnsi="Times New Roman" w:cs="Times New Roman" w:eastAsia="Times New Roman"/>
        </w:rPr>
        <w:t xml:space="preserve">, если его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TF_&lt;СЕРВИС&gt;_SERVICE_SUBS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Модель, уведомления и аудит собираются на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Приём собирается в </w:t>
      </w:r>
      <w:r>
        <w:rPr>
          <w:rFonts w:ascii="Consolas" w:hAnsi="Consolas" w:cs="Consolas" w:eastAsia="Consolas"/>
          <w:sz w:val="22"/>
        </w:rPr>
        <w:t>golang:1.27</w:t>
      </w:r>
      <w:r>
        <w:rPr>
          <w:rFonts w:ascii="Times New Roman" w:hAnsi="Times New Roman" w:cs="Times New Roman" w:eastAsia="Times New Roman"/>
        </w:rPr>
        <w:t xml:space="preserve">: при сборке идут тесты, в образ </w:t>
      </w:r>
      <w:r>
        <w:rPr>
          <w:rFonts w:ascii="Consolas" w:hAnsi="Consolas" w:cs="Consolas" w:eastAsia="Consolas"/>
          <w:sz w:val="22"/>
        </w:rPr>
        <w:t>distroless/static</w:t>
      </w:r>
      <w:r>
        <w:rPr>
          <w:rFonts w:ascii="Times New Roman" w:hAnsi="Times New Roman" w:cs="Times New Roman" w:eastAsia="Times New Roman"/>
        </w:rPr>
        <w:t xml:space="preserve"> кладётся только бинарь.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(у приёма — </w:t>
      </w:r>
      <w:r>
        <w:rPr>
          <w:rFonts w:ascii="Consolas" w:hAnsi="Consolas" w:cs="Consolas" w:eastAsia="Consolas"/>
          <w:sz w:val="22"/>
        </w:rPr>
        <w:t>/tf-funnel -health</w:t>
      </w:r>
      <w:r>
        <w:rPr>
          <w:rFonts w:ascii="Times New Roman" w:hAnsi="Times New Roman" w:cs="Times New Roman" w:eastAsia="Times New Roman"/>
        </w:rPr>
        <w:t>, в его образе нет оболочки).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secret/tf/kafka/model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kafka/funnel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TF_KAFKA_MODEL_PASSWORD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TF_KAFKA_FUNNEL_PASSWORD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secret/tf/rabbit/model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rabbit/email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rabbit/telegram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TF_RABBIT_&lt;УЧЁТКА&gt;_PASSWORD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TF_REDIS_PASSWORD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secret/tf/postgres/audit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TF_PG_AUDIT_USER_PASSWORD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TF_MODEL_SERVICE_SUBS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TF_NOTIFY_SMTP_USER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TF_AUDIT_SERVICE_SUBS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TF_FUNNEL_SERVICE_SUBS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Схема та же, что у сервисов think-infra: имя ключа — имя переменной окружения. Открытый ключ аутентификации не секрет и в Vault не лежит — </w:t>
      </w:r>
      <w:r>
        <w:rPr>
          <w:rFonts w:ascii="Consolas" w:hAnsi="Consolas" w:cs="Consolas" w:eastAsia="Consolas"/>
          <w:sz w:val="22"/>
        </w:rPr>
        <w:t>TF_AUTH_PUBLIC_KEY</w:t>
      </w:r>
      <w:r>
        <w:rPr>
          <w:rFonts w:ascii="Times New Roman" w:hAnsi="Times New Roman" w:cs="Times New Roman" w:eastAsia="Times New Roman"/>
        </w:rPr>
        <w:t xml:space="preserve"> или JWKS.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Пароли учёток заводит think-infra (</w:t>
      </w:r>
      <w:r>
        <w:rPr>
          <w:rFonts w:ascii="Consolas" w:hAnsi="Consolas" w:cs="Consolas" w:eastAsia="Consolas"/>
          <w:sz w:val="22"/>
        </w:rPr>
        <w:t>secrets.conf</w:t>
      </w:r>
      <w:r>
        <w:rPr>
          <w:rFonts w:ascii="Times New Roman" w:hAnsi="Times New Roman" w:cs="Times New Roman" w:eastAsia="Times New Roman"/>
        </w:rPr>
        <w:t xml:space="preserve">), собственные секреты сервиса — в </w:t>
      </w:r>
      <w:r>
        <w:rPr>
          <w:rFonts w:ascii="Consolas" w:hAnsi="Consolas" w:cs="Consolas" w:eastAsia="Consolas"/>
          <w:sz w:val="22"/>
        </w:rPr>
        <w:t>app/tf-&lt;сервис&gt;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Consolas" w:hAnsi="Consolas" w:cs="Consolas" w:eastAsia="Consolas"/>
          <w:sz w:val="22"/>
        </w:rPr>
        <w:t>hashicorp/services.conf</w:t>
      </w:r>
      <w:r>
        <w:rPr>
          <w:rFonts w:ascii="Times New Roman" w:hAnsi="Times New Roman" w:cs="Times New Roman" w:eastAsia="Times New Roman"/>
        </w:rPr>
        <w:t xml:space="preserve"> даёт каждому сервису роль AppRole </w:t>
      </w:r>
      <w:r>
        <w:rPr>
          <w:rFonts w:ascii="Consolas" w:hAnsi="Consolas" w:cs="Consolas" w:eastAsia="Consolas"/>
          <w:sz w:val="22"/>
        </w:rPr>
        <w:t>tf-svc-tf-&lt;сервис&gt;</w:t>
      </w:r>
      <w:r>
        <w:rPr>
          <w:rFonts w:ascii="Times New Roman" w:hAnsi="Times New Roman" w:cs="Times New Roman" w:eastAsia="Times New Roman"/>
        </w:rPr>
        <w:t xml:space="preserve"> с чтением только его путей.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Consolas" w:hAnsi="Consolas" w:cs="Consolas" w:eastAsia="Consolas"/>
          <w:sz w:val="22"/>
        </w:rPr>
        <w:t>setup.sh service-credentials tf-&lt;сервис&gt;</w:t>
      </w:r>
      <w:r>
        <w:rPr>
          <w:rFonts w:ascii="Times New Roman" w:hAnsi="Times New Roman" w:cs="Times New Roman" w:eastAsia="Times New Roman"/>
        </w:rPr>
        <w:t xml:space="preserve"> выдаёт </w:t>
      </w:r>
      <w:r>
        <w:rPr>
          <w:rFonts w:ascii="Consolas" w:hAnsi="Consolas" w:cs="Consolas" w:eastAsia="Consolas"/>
          <w:sz w:val="22"/>
        </w:rPr>
        <w:t>role_id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secret_id</w:t>
      </w:r>
      <w:r>
        <w:rPr>
          <w:rFonts w:ascii="Times New Roman" w:hAnsi="Times New Roman" w:cs="Times New Roman" w:eastAsia="Times New Roman"/>
        </w:rPr>
        <w:t xml:space="preserve">; они уходят в env-файл compose как </w:t>
      </w:r>
      <w:r>
        <w:rPr>
          <w:rFonts w:ascii="Consolas" w:hAnsi="Consolas" w:cs="Consolas" w:eastAsia="Consolas"/>
          <w:sz w:val="22"/>
        </w:rPr>
        <w:t>TF_&lt;СЕРВИС&gt;_VAULT_ROLE_ID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TF_&lt;СЕРВИС&gt;_VAULT_SECRET_ID</w:t>
      </w:r>
      <w:r>
        <w:rPr>
          <w:rFonts w:ascii="Times New Roman" w:hAnsi="Times New Roman" w:cs="Times New Roman" w:eastAsia="Times New Roman"/>
        </w:rPr>
        <w:t>. Токен роли живёт 5 минут, на 403 сервис входит заново.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20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go test ./...                             # 37, Go 1.27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23,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95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на Python 3.12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В.2а Приём данных на Go 1.27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закреплены в </w:t>
      </w:r>
      <w:r>
        <w:rPr>
          <w:rFonts w:ascii="Consolas" w:hAnsi="Consolas" w:cs="Consolas" w:eastAsia="Consolas"/>
          <w:sz w:val="22"/>
        </w:rPr>
        <w:t>docs/backend/funnel/go.mod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go.sum</w:t>
      </w:r>
      <w:r>
        <w:rPr>
          <w:rFonts w:ascii="Times New Roman" w:hAnsi="Times New Roman" w:cs="Times New Roman" w:eastAsia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модуль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franz-go (</w:t>
            </w:r>
            <w:r>
              <w:rPr>
                <w:rFonts w:ascii="Consolas" w:hAnsi="Consolas" w:cs="Consolas" w:eastAsia="Consolas"/>
                <w:sz w:val="18"/>
              </w:rPr>
              <w:t>github.com/twmb/franz-go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1.22.0, kmsg 1.14.0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запись в Kafka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golang-jwt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5.3.1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 токенов RS256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go-redis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9.22.0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klauspost/compress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pierrec/lz4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4.1.30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сжатие lz4, 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cespare/xxhash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go.uber.org/atomic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1.11.0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golang.org/x/sys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0.30.0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 (сборка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1.27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образ </w:t>
            </w:r>
            <w:r>
              <w:rPr>
                <w:rFonts w:ascii="Consolas" w:hAnsi="Consolas" w:cs="Consolas" w:eastAsia="Consolas"/>
                <w:sz w:val="18"/>
              </w:rPr>
              <w:t>golang:1.27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только для сборки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distroless static (образ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debian12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оболочки и пакетов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