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200" w:lineRule="auto"/>
        <w:rPr/>
      </w:pPr>
      <w:r w:rsidDel="00000000" w:rsidR="00000000" w:rsidRPr="00000000">
        <w:rPr>
          <w:rFonts w:ascii="Arial" w:cs="Arial" w:eastAsia="Arial" w:hAnsi="Arial"/>
          <w:b w:val="1"/>
          <w:bCs w:val="1"/>
          <w:color w:val="1b2a4a"/>
          <w:sz w:val="48"/>
          <w:szCs w:val="48"/>
          <w:rtl w:val="0"/>
        </w:rPr>
        <w:t xml:space="preserve">Partner Project Brief</w:t>
      </w:r>
      <w:r w:rsidDel="00000000" w:rsidR="00000000" w:rsidRPr="00000000">
        <w:rPr>
          <w:rtl w:val="0"/>
        </w:rPr>
      </w:r>
    </w:p>
    <w:p w:rsidR="00000000" w:rsidDel="00000000" w:rsidP="00000000" w:rsidRDefault="00000000" w:rsidRPr="00000000" w14:paraId="00000002">
      <w:pPr>
        <w:spacing w:after="240" w:before="0" w:lineRule="auto"/>
        <w:rPr/>
      </w:pPr>
      <w:r w:rsidDel="00000000" w:rsidR="00000000" w:rsidRPr="00000000">
        <w:rPr>
          <w:rFonts w:ascii="Arial" w:cs="Arial" w:eastAsia="Arial" w:hAnsi="Arial"/>
          <w:color w:val="2e75b6"/>
          <w:sz w:val="24"/>
          <w:szCs w:val="24"/>
          <w:rtl w:val="0"/>
        </w:rPr>
        <w:t xml:space="preserve">Subscription Churn Prediction &amp; Intervention Agent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f2f8" w:val="clear"/>
            <w:tcMar>
              <w:top w:w="50.0" w:type="dxa"/>
              <w:left w:w="120.0" w:type="dxa"/>
              <w:bottom w:w="50.0" w:type="dxa"/>
              <w:right w:w="8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color w:val="1b2a4a"/>
                <w:sz w:val="19"/>
                <w:szCs w:val="19"/>
                <w:rtl w:val="0"/>
              </w:rPr>
              <w:t xml:space="preserve">Prepared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2f8" w:val="clear"/>
            <w:tcMar>
              <w:top w:w="50.0" w:type="dxa"/>
              <w:left w:w="80.0" w:type="dxa"/>
              <w:bottom w:w="5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color w:val="333333"/>
                <w:sz w:val="19"/>
                <w:szCs w:val="19"/>
                <w:rtl w:val="0"/>
              </w:rPr>
              <w:t xml:space="preserve">Raphael Z. Cattan, Director of Data Analytics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50.0" w:type="dxa"/>
              <w:left w:w="120.0" w:type="dxa"/>
              <w:bottom w:w="50.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1b2a4a"/>
                <w:sz w:val="19"/>
                <w:szCs w:val="19"/>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80.0" w:type="dxa"/>
              <w:bottom w:w="5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color w:val="333333"/>
                <w:sz w:val="19"/>
                <w:szCs w:val="19"/>
                <w:rtl w:val="0"/>
              </w:rPr>
              <w:t xml:space="preserve">April </w:t>
            </w:r>
            <w:r w:rsidDel="00000000" w:rsidR="00000000" w:rsidRPr="00000000">
              <w:rPr>
                <w:color w:val="333333"/>
                <w:sz w:val="19"/>
                <w:szCs w:val="19"/>
                <w:rtl w:val="0"/>
              </w:rPr>
              <w:t xml:space="preserve">15</w:t>
            </w:r>
            <w:r w:rsidDel="00000000" w:rsidR="00000000" w:rsidRPr="00000000">
              <w:rPr>
                <w:rFonts w:ascii="Arial" w:cs="Arial" w:eastAsia="Arial" w:hAnsi="Arial"/>
                <w:color w:val="333333"/>
                <w:sz w:val="19"/>
                <w:szCs w:val="19"/>
                <w:rtl w:val="0"/>
              </w:rPr>
              <w:t xml:space="preserve">, 2026</w:t>
            </w:r>
            <w:r w:rsidDel="00000000" w:rsidR="00000000" w:rsidRPr="00000000">
              <w:rPr>
                <w:rtl w:val="0"/>
              </w:rPr>
            </w:r>
          </w:p>
        </w:tc>
      </w:tr>
    </w:tbl>
    <w:p w:rsidR="00000000" w:rsidDel="00000000" w:rsidP="00000000" w:rsidRDefault="00000000" w:rsidRPr="00000000" w14:paraId="00000007">
      <w:pPr>
        <w:spacing w:after="0" w:before="160" w:lineRule="auto"/>
        <w:rPr/>
      </w:pPr>
      <w:r w:rsidDel="00000000" w:rsidR="00000000" w:rsidRPr="00000000">
        <w:rPr>
          <w:rtl w:val="0"/>
        </w:rPr>
      </w:r>
    </w:p>
    <w:p w:rsidR="00000000" w:rsidDel="00000000" w:rsidP="00000000" w:rsidRDefault="00000000" w:rsidRPr="00000000" w14:paraId="00000008">
      <w:pPr>
        <w:pStyle w:val="Heading1"/>
        <w:keepNext w:val="1"/>
        <w:keepLines w:val="1"/>
        <w:pBdr>
          <w:bottom w:color="2e75b6" w:space="6" w:sz="4" w:val="single"/>
        </w:pBdr>
        <w:spacing w:after="160" w:before="120" w:lineRule="auto"/>
        <w:rPr/>
      </w:pPr>
      <w:r w:rsidDel="00000000" w:rsidR="00000000" w:rsidRPr="00000000">
        <w:rPr>
          <w:rFonts w:ascii="Arial" w:cs="Arial" w:eastAsia="Arial" w:hAnsi="Arial"/>
          <w:b w:val="1"/>
          <w:bCs w:val="1"/>
          <w:color w:val="1b2a4a"/>
          <w:sz w:val="32"/>
          <w:szCs w:val="32"/>
          <w:rtl w:val="0"/>
        </w:rPr>
        <w:t xml:space="preserve">Purpose of This Document</w:t>
      </w:r>
      <w:r w:rsidDel="00000000" w:rsidR="00000000" w:rsidRPr="00000000">
        <w:rPr>
          <w:rtl w:val="0"/>
        </w:rPr>
      </w:r>
    </w:p>
    <w:p w:rsidR="00000000" w:rsidDel="00000000" w:rsidP="00000000" w:rsidRDefault="00000000" w:rsidRPr="00000000" w14:paraId="00000009">
      <w:pPr>
        <w:spacing w:after="80" w:before="40" w:line="290" w:lineRule="auto"/>
        <w:rPr/>
      </w:pPr>
      <w:r w:rsidDel="00000000" w:rsidR="00000000" w:rsidRPr="00000000">
        <w:rPr>
          <w:rFonts w:ascii="Arial" w:cs="Arial" w:eastAsia="Arial" w:hAnsi="Arial"/>
          <w:color w:val="333333"/>
          <w:sz w:val="21"/>
          <w:szCs w:val="21"/>
          <w:rtl w:val="0"/>
        </w:rPr>
        <w:t xml:space="preserve">This brief defines a partner project for Thesis's Gauntlet AI hiring partnership. The project is scoped to work as a capstone evaluation within the Gauntlet program timeline, while also producing a system with real, immediate business value for Thesis. Our goal is to walk away from the capstone with something we can actually use at scale - not a proof of concept that needs to be rebuilt.</w:t>
      </w:r>
      <w:r w:rsidDel="00000000" w:rsidR="00000000" w:rsidRPr="00000000">
        <w:rPr>
          <w:rtl w:val="0"/>
        </w:rPr>
      </w:r>
    </w:p>
    <w:p w:rsidR="00000000" w:rsidDel="00000000" w:rsidP="00000000" w:rsidRDefault="00000000" w:rsidRPr="00000000" w14:paraId="0000000A">
      <w:pPr>
        <w:spacing w:after="80" w:before="40" w:line="290" w:lineRule="auto"/>
        <w:rPr/>
      </w:pPr>
      <w:r w:rsidDel="00000000" w:rsidR="00000000" w:rsidRPr="00000000">
        <w:rPr>
          <w:rFonts w:ascii="Arial" w:cs="Arial" w:eastAsia="Arial" w:hAnsi="Arial"/>
          <w:color w:val="333333"/>
          <w:sz w:val="21"/>
          <w:szCs w:val="21"/>
          <w:rtl w:val="0"/>
        </w:rPr>
        <w:t xml:space="preserve">We welcome Gauntlet's input on scoping and implementation approach. The specific tables and views available in our data environment will be reviewed during onboarding.</w:t>
      </w:r>
      <w:r w:rsidDel="00000000" w:rsidR="00000000" w:rsidRPr="00000000">
        <w:rPr>
          <w:rtl w:val="0"/>
        </w:rPr>
      </w:r>
    </w:p>
    <w:p w:rsidR="00000000" w:rsidDel="00000000" w:rsidP="00000000" w:rsidRDefault="00000000" w:rsidRPr="00000000" w14:paraId="0000000B">
      <w:pPr>
        <w:pStyle w:val="Heading2"/>
        <w:keepNext w:val="1"/>
        <w:keepLines w:val="1"/>
        <w:spacing w:after="100" w:before="260" w:lineRule="auto"/>
        <w:rPr/>
      </w:pPr>
      <w:r w:rsidDel="00000000" w:rsidR="00000000" w:rsidRPr="00000000">
        <w:rPr>
          <w:rFonts w:ascii="Arial" w:cs="Arial" w:eastAsia="Arial" w:hAnsi="Arial"/>
          <w:b w:val="1"/>
          <w:bCs w:val="1"/>
          <w:color w:val="2e75b6"/>
          <w:sz w:val="26"/>
          <w:szCs w:val="26"/>
          <w:rtl w:val="0"/>
        </w:rPr>
        <w:t xml:space="preserve">What We're Looking For in a Candidate</w:t>
      </w:r>
      <w:r w:rsidDel="00000000" w:rsidR="00000000" w:rsidRPr="00000000">
        <w:rPr>
          <w:rtl w:val="0"/>
        </w:rPr>
      </w:r>
    </w:p>
    <w:p w:rsidR="00000000" w:rsidDel="00000000" w:rsidP="00000000" w:rsidRDefault="00000000" w:rsidRPr="00000000" w14:paraId="0000000C">
      <w:pPr>
        <w:spacing w:after="80" w:before="40" w:line="290" w:lineRule="auto"/>
        <w:rPr/>
      </w:pPr>
      <w:r w:rsidDel="00000000" w:rsidR="00000000" w:rsidRPr="00000000">
        <w:rPr>
          <w:rFonts w:ascii="Arial" w:cs="Arial" w:eastAsia="Arial" w:hAnsi="Arial"/>
          <w:color w:val="333333"/>
          <w:sz w:val="21"/>
          <w:szCs w:val="21"/>
          <w:rtl w:val="0"/>
        </w:rPr>
        <w:t xml:space="preserve">This project is an evaluation tool as much as it is a business deliverable. How a candidate approaches the project tells us whether they can operate across Thesis's broader AI roadmap. Specifically, we are evaluating for: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Systems thinking over isolated features -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candidate should architect an end-to-end system with clear data flows, modular components, and extensibility, not a single-purpose script.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Autonomous decision-making -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this project requires an agent that takes action, not a tool that surfaces information for humans to act on. The human-in-the-loop layer should be a safety mechanism, not the core workflow.</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Production instinct -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deliverable must handle real data at real scale with real edge cases. Candidates who build for happy-path demos will not pass evaluation.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Feedback loops -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the system must improve over time. A static model with no iteration mechanism is incomplete regardless of how accurate the initial version is.</w:t>
      </w:r>
      <w:r w:rsidDel="00000000" w:rsidR="00000000" w:rsidRPr="00000000">
        <w:rPr>
          <w:rtl w:val="0"/>
        </w:rPr>
      </w:r>
    </w:p>
    <w:p w:rsidR="00000000" w:rsidDel="00000000" w:rsidP="00000000" w:rsidRDefault="00000000" w:rsidRPr="00000000" w14:paraId="00000011">
      <w:pPr>
        <w:pStyle w:val="Heading2"/>
        <w:keepNext w:val="1"/>
        <w:keepLines w:val="1"/>
        <w:spacing w:after="100" w:before="260" w:lineRule="auto"/>
        <w:rPr/>
      </w:pPr>
      <w:r w:rsidDel="00000000" w:rsidR="00000000" w:rsidRPr="00000000">
        <w:rPr>
          <w:rFonts w:ascii="Arial" w:cs="Arial" w:eastAsia="Arial" w:hAnsi="Arial"/>
          <w:b w:val="1"/>
          <w:bCs w:val="1"/>
          <w:color w:val="2e75b6"/>
          <w:sz w:val="26"/>
          <w:szCs w:val="26"/>
          <w:rtl w:val="0"/>
        </w:rPr>
        <w:t xml:space="preserve">Data Environment</w:t>
      </w:r>
      <w:r w:rsidDel="00000000" w:rsidR="00000000" w:rsidRPr="00000000">
        <w:rPr>
          <w:rtl w:val="0"/>
        </w:rPr>
      </w:r>
    </w:p>
    <w:p w:rsidR="00000000" w:rsidDel="00000000" w:rsidP="00000000" w:rsidRDefault="00000000" w:rsidRPr="00000000" w14:paraId="00000012">
      <w:pPr>
        <w:spacing w:after="80" w:before="40" w:line="290" w:lineRule="auto"/>
        <w:rPr/>
      </w:pPr>
      <w:r w:rsidDel="00000000" w:rsidR="00000000" w:rsidRPr="00000000">
        <w:rPr>
          <w:rFonts w:ascii="Arial" w:cs="Arial" w:eastAsia="Arial" w:hAnsi="Arial"/>
          <w:color w:val="333333"/>
          <w:sz w:val="21"/>
          <w:szCs w:val="21"/>
          <w:rtl w:val="0"/>
        </w:rPr>
        <w:t xml:space="preserve">All of Thesis's production data is centralized in Snowflake, with curated views and models already built and accessible through Metabase (SQL). The engineer should treat Snowflake as the primary data source - we have clean, structured views covering subscriptions, orders, email engagement, support interactions, quiz data, and ad performance. Direct API connections to source systems (Shopify, Klaviyo, Zendesk, etc.) should only be used when real-time data is required and the Snowflake views don't suffice.</w:t>
      </w:r>
      <w:r w:rsidDel="00000000" w:rsidR="00000000" w:rsidRPr="00000000">
        <w:rPr>
          <w:rtl w:val="0"/>
        </w:rPr>
      </w:r>
    </w:p>
    <w:p w:rsidR="00000000" w:rsidDel="00000000" w:rsidP="00000000" w:rsidRDefault="00000000" w:rsidRPr="00000000" w14:paraId="00000013">
      <w:pPr>
        <w:spacing w:after="80" w:before="40" w:line="290" w:lineRule="auto"/>
        <w:rPr/>
      </w:pPr>
      <w:r w:rsidDel="00000000" w:rsidR="00000000" w:rsidRPr="00000000">
        <w:rPr>
          <w:rFonts w:ascii="Arial" w:cs="Arial" w:eastAsia="Arial" w:hAnsi="Arial"/>
          <w:color w:val="333333"/>
          <w:sz w:val="21"/>
          <w:szCs w:val="21"/>
          <w:rtl w:val="0"/>
        </w:rPr>
        <w:t xml:space="preserve">For output, the system should write results and logs back to Snowflake where appropriate, so that predictions, scores, and action logs are queryable alongside existing business data in Metabase. The specific tables and views available will be reviewed during onboarding.</w:t>
      </w:r>
      <w:r w:rsidDel="00000000" w:rsidR="00000000" w:rsidRPr="00000000">
        <w:rPr>
          <w:rtl w:val="0"/>
        </w:rPr>
      </w:r>
    </w:p>
    <w:p w:rsidR="00000000" w:rsidDel="00000000" w:rsidP="00000000" w:rsidRDefault="00000000" w:rsidRPr="00000000" w14:paraId="00000014">
      <w:pPr>
        <w:spacing w:after="80" w:before="40" w:line="290" w:lineRule="auto"/>
        <w:rPr>
          <w:color w:val="333333"/>
        </w:rPr>
      </w:pPr>
      <w:r w:rsidDel="00000000" w:rsidR="00000000" w:rsidRPr="00000000">
        <w:rPr>
          <w:rtl w:val="0"/>
        </w:rPr>
      </w:r>
    </w:p>
    <w:p w:rsidR="00000000" w:rsidDel="00000000" w:rsidP="00000000" w:rsidRDefault="00000000" w:rsidRPr="00000000" w14:paraId="00000015">
      <w:pPr>
        <w:spacing w:after="80" w:before="40" w:line="290" w:lineRule="auto"/>
        <w:rPr>
          <w:color w:val="333333"/>
        </w:rPr>
      </w:pPr>
      <w:r w:rsidDel="00000000" w:rsidR="00000000" w:rsidRPr="00000000">
        <w:rPr>
          <w:rtl w:val="0"/>
        </w:rPr>
      </w:r>
    </w:p>
    <w:p w:rsidR="00000000" w:rsidDel="00000000" w:rsidP="00000000" w:rsidRDefault="00000000" w:rsidRPr="00000000" w14:paraId="00000016">
      <w:pPr>
        <w:spacing w:after="80" w:before="40" w:line="290" w:lineRule="auto"/>
        <w:rPr/>
      </w:pPr>
      <w:r w:rsidDel="00000000" w:rsidR="00000000" w:rsidRPr="00000000">
        <w:rPr>
          <w:rFonts w:ascii="Arial" w:cs="Arial" w:eastAsia="Arial" w:hAnsi="Arial"/>
          <w:color w:val="333333"/>
          <w:sz w:val="21"/>
          <w:szCs w:val="21"/>
          <w:rtl w:val="0"/>
        </w:rPr>
        <w:t xml:space="preserve">Key data domains available in Snowflake: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Subscriptions &amp; orders -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subscription status, order history, shipment modifications, skips, cancellations, refunds, product catalog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Email engagement -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opens, clicks, unsubscribes, campaign performance, flow metrics, customer segmentation (via Klaviyo sync)</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Support interactions -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ticket history, categories, resolution times, sentiment signals (via Zendesk sync)</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30" w:line="276"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Quiz data -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quiz responses (cognitive goals, lifestyle factors, sleep, caffeine habits), recommendation outputs, 7.3M+ data points</w:t>
      </w:r>
      <w:r w:rsidDel="00000000" w:rsidR="00000000" w:rsidRPr="00000000">
        <w:rPr>
          <w:rtl w:val="0"/>
        </w:rPr>
      </w:r>
    </w:p>
    <w:p w:rsidR="00000000" w:rsidDel="00000000" w:rsidP="00000000" w:rsidRDefault="00000000" w:rsidRPr="00000000" w14:paraId="0000001B">
      <w:pPr>
        <w:pStyle w:val="Heading2"/>
        <w:keepNext w:val="1"/>
        <w:keepLines w:val="1"/>
        <w:spacing w:after="100" w:before="260" w:lineRule="auto"/>
        <w:rPr/>
      </w:pPr>
      <w:r w:rsidDel="00000000" w:rsidR="00000000" w:rsidRPr="00000000">
        <w:rPr>
          <w:rFonts w:ascii="Arial" w:cs="Arial" w:eastAsia="Arial" w:hAnsi="Arial"/>
          <w:b w:val="1"/>
          <w:bCs w:val="1"/>
          <w:color w:val="2e75b6"/>
          <w:sz w:val="26"/>
          <w:szCs w:val="26"/>
          <w:rtl w:val="0"/>
        </w:rPr>
        <w:t xml:space="preserve">Production-Ready Standard</w:t>
      </w:r>
      <w:r w:rsidDel="00000000" w:rsidR="00000000" w:rsidRPr="00000000">
        <w:rPr>
          <w:rtl w:val="0"/>
        </w:rPr>
      </w:r>
    </w:p>
    <w:p w:rsidR="00000000" w:rsidDel="00000000" w:rsidP="00000000" w:rsidRDefault="00000000" w:rsidRPr="00000000" w14:paraId="0000001C">
      <w:pPr>
        <w:spacing w:after="80" w:before="40" w:line="290" w:lineRule="auto"/>
        <w:rPr/>
        <w:sectPr>
          <w:headerReference r:id="rId7" w:type="default"/>
          <w:footerReference r:id="rId8" w:type="default"/>
          <w:pgSz w:h="15840" w:w="12240" w:orient="portrait"/>
          <w:pgMar w:bottom="1100" w:top="1440" w:left="1440" w:right="1440" w:header="708" w:footer="708"/>
          <w:pgNumType w:start="1"/>
        </w:sectPr>
      </w:pPr>
      <w:r w:rsidDel="00000000" w:rsidR="00000000" w:rsidRPr="00000000">
        <w:rPr>
          <w:rFonts w:ascii="Arial" w:cs="Arial" w:eastAsia="Arial" w:hAnsi="Arial"/>
          <w:color w:val="333333"/>
          <w:sz w:val="21"/>
          <w:szCs w:val="21"/>
          <w:rtl w:val="0"/>
        </w:rPr>
        <w:t xml:space="preserve">The delivered system should be deployable against Thesis's live data and live customer base at full scale with minimal modification. It must handle edge cases, fail gracefully, log actions for auditability, and be documented well enough that a Thesis engineer can maintain and extend it from day one. This is not a demo, not an MVP - the expectation is that we can put this into production and see results immediately.</w:t>
      </w:r>
      <w:r w:rsidDel="00000000" w:rsidR="00000000" w:rsidRPr="00000000">
        <w:rPr>
          <w:rtl w:val="0"/>
        </w:rPr>
      </w:r>
    </w:p>
    <w:p w:rsidR="00000000" w:rsidDel="00000000" w:rsidP="00000000" w:rsidRDefault="00000000" w:rsidRPr="00000000" w14:paraId="0000001D">
      <w:pPr>
        <w:pStyle w:val="Heading1"/>
        <w:keepNext w:val="1"/>
        <w:keepLines w:val="1"/>
        <w:pBdr>
          <w:bottom w:color="2e75b6" w:space="6" w:sz="4" w:val="single"/>
        </w:pBdr>
        <w:spacing w:after="160" w:before="120" w:lineRule="auto"/>
        <w:rPr/>
      </w:pPr>
      <w:r w:rsidDel="00000000" w:rsidR="00000000" w:rsidRPr="00000000">
        <w:rPr>
          <w:rFonts w:ascii="Arial" w:cs="Arial" w:eastAsia="Arial" w:hAnsi="Arial"/>
          <w:b w:val="1"/>
          <w:bCs w:val="1"/>
          <w:color w:val="1b2a4a"/>
          <w:sz w:val="32"/>
          <w:szCs w:val="32"/>
          <w:rtl w:val="0"/>
        </w:rPr>
        <w:t xml:space="preserve">Subscription Churn Prediction &amp; Intervention Agent</w:t>
      </w:r>
      <w:r w:rsidDel="00000000" w:rsidR="00000000" w:rsidRPr="00000000">
        <w:rPr>
          <w:rtl w:val="0"/>
        </w:rPr>
      </w:r>
    </w:p>
    <w:p w:rsidR="00000000" w:rsidDel="00000000" w:rsidP="00000000" w:rsidRDefault="00000000" w:rsidRPr="00000000" w14:paraId="0000001E">
      <w:pPr>
        <w:pBdr>
          <w:bottom w:color="dee2e6" w:space="6" w:sz="4" w:val="single"/>
        </w:pBdr>
        <w:spacing w:after="140" w:before="0" w:lineRule="auto"/>
        <w:rPr/>
      </w:pPr>
      <w:r w:rsidDel="00000000" w:rsidR="00000000" w:rsidRPr="00000000">
        <w:rPr>
          <w:rFonts w:ascii="Arial" w:cs="Arial" w:eastAsia="Arial" w:hAnsi="Arial"/>
          <w:i w:val="1"/>
          <w:iCs w:val="1"/>
          <w:color w:val="666666"/>
          <w:sz w:val="22"/>
          <w:szCs w:val="22"/>
          <w:rtl w:val="0"/>
        </w:rPr>
        <w:t xml:space="preserve">Predict which subscribers are at risk of canceling and autonomously intervene to retain them - before they ever hit the cancel button.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f0f7ff" w:val="clear"/>
            <w:tcMar>
              <w:top w:w="80.0" w:type="dxa"/>
              <w:left w:w="180.0" w:type="dxa"/>
              <w:bottom w:w="80.0" w:type="dxa"/>
              <w:right w:w="180.0" w:type="dxa"/>
            </w:tcMar>
          </w:tcPr>
          <w:p w:rsidR="00000000" w:rsidDel="00000000" w:rsidP="00000000" w:rsidRDefault="00000000" w:rsidRPr="00000000" w14:paraId="0000001F">
            <w:pPr>
              <w:spacing w:line="280" w:lineRule="auto"/>
              <w:rPr/>
            </w:pPr>
            <w:r w:rsidDel="00000000" w:rsidR="00000000" w:rsidRPr="00000000">
              <w:rPr>
                <w:rFonts w:ascii="Arial" w:cs="Arial" w:eastAsia="Arial" w:hAnsi="Arial"/>
                <w:b w:val="1"/>
                <w:bCs w:val="1"/>
                <w:color w:val="2e75b6"/>
                <w:sz w:val="20"/>
                <w:szCs w:val="20"/>
                <w:rtl w:val="0"/>
              </w:rPr>
              <w:t xml:space="preserve">💡 Business Impact: </w:t>
            </w:r>
            <w:r w:rsidDel="00000000" w:rsidR="00000000" w:rsidRPr="00000000">
              <w:rPr>
                <w:rFonts w:ascii="Arial" w:cs="Arial" w:eastAsia="Arial" w:hAnsi="Arial"/>
                <w:color w:val="333333"/>
                <w:sz w:val="20"/>
                <w:szCs w:val="20"/>
                <w:rtl w:val="0"/>
              </w:rPr>
              <w:t xml:space="preserve">Subscription revenue is Thesis's economic foundation. Every subscriber retained avoids the full cost of acquiring a replacement. Even a 2-3 percentage point reduction in monthly churn compounds into a significant shift in LTV and acquisition efficiency. Today, churn signals sit across multiple data sources with no unified predictive layer and zero automated response. This project closes that gap end-to-end.</w:t>
            </w:r>
            <w:r w:rsidDel="00000000" w:rsidR="00000000" w:rsidRPr="00000000">
              <w:rPr>
                <w:rtl w:val="0"/>
              </w:rPr>
            </w:r>
          </w:p>
        </w:tc>
      </w:tr>
    </w:tbl>
    <w:p w:rsidR="00000000" w:rsidDel="00000000" w:rsidP="00000000" w:rsidRDefault="00000000" w:rsidRPr="00000000" w14:paraId="00000020">
      <w:pPr>
        <w:spacing w:after="0" w:before="100" w:lineRule="auto"/>
        <w:rPr/>
      </w:pPr>
      <w:r w:rsidDel="00000000" w:rsidR="00000000" w:rsidRPr="00000000">
        <w:rPr>
          <w:rtl w:val="0"/>
        </w:rPr>
      </w:r>
    </w:p>
    <w:p w:rsidR="00000000" w:rsidDel="00000000" w:rsidP="00000000" w:rsidRDefault="00000000" w:rsidRPr="00000000" w14:paraId="00000021">
      <w:pPr>
        <w:pStyle w:val="Heading2"/>
        <w:keepNext w:val="1"/>
        <w:keepLines w:val="1"/>
        <w:spacing w:after="100" w:before="260" w:lineRule="auto"/>
        <w:rPr/>
      </w:pPr>
      <w:r w:rsidDel="00000000" w:rsidR="00000000" w:rsidRPr="00000000">
        <w:rPr>
          <w:rFonts w:ascii="Arial" w:cs="Arial" w:eastAsia="Arial" w:hAnsi="Arial"/>
          <w:b w:val="1"/>
          <w:bCs w:val="1"/>
          <w:color w:val="2e75b6"/>
          <w:sz w:val="26"/>
          <w:szCs w:val="26"/>
          <w:rtl w:val="0"/>
        </w:rPr>
        <w:t xml:space="preserve">Technical Scope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dee2e6" w:space="0" w:sz="4" w:val="single"/>
              <w:bottom w:color="000000" w:space="0" w:sz="0" w:val="nil"/>
              <w:right w:color="dee2e6" w:space="0" w:sz="4" w:val="single"/>
            </w:tcBorders>
            <w:shd w:fill="edf2f8" w:val="clear"/>
            <w:tcMar>
              <w:top w:w="80.0" w:type="dxa"/>
              <w:left w:w="160.0" w:type="dxa"/>
              <w:bottom w:w="4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b2a4a"/>
                <w:sz w:val="21"/>
                <w:szCs w:val="21"/>
                <w:rtl w:val="0"/>
              </w:rPr>
              <w:t xml:space="preserve">Phase 1 - Churn Prediction Pipeline</w:t>
            </w:r>
            <w:r w:rsidDel="00000000" w:rsidR="00000000" w:rsidRPr="00000000">
              <w:rPr>
                <w:rtl w:val="0"/>
              </w:rPr>
            </w:r>
          </w:p>
        </w:tc>
      </w:tr>
      <w:tr>
        <w:trPr>
          <w:cantSplit w:val="0"/>
          <w:tblHeader w:val="0"/>
        </w:trPr>
        <w:tc>
          <w:tcPr>
            <w:tcBorders>
              <w:top w:color="000000" w:space="0" w:sz="0" w:val="nil"/>
              <w:left w:color="dee2e6" w:space="0" w:sz="4" w:val="single"/>
              <w:bottom w:color="dee2e6" w:space="0" w:sz="4" w:val="single"/>
              <w:right w:color="dee2e6" w:space="0" w:sz="4" w:val="single"/>
            </w:tcBorders>
            <w:shd w:fill="edf2f8" w:val="clear"/>
            <w:tcMar>
              <w:top w:w="20.0" w:type="dxa"/>
              <w:left w:w="160.0" w:type="dxa"/>
              <w:bottom w:w="80.0" w:type="dxa"/>
              <w:right w:w="160.0" w:type="dxa"/>
            </w:tcMar>
          </w:tcPr>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1"/>
                <w:bCs w:val="1"/>
                <w:i w:val="0"/>
                <w:iCs w:val="0"/>
                <w:smallCaps w:val="0"/>
                <w:strike w:val="0"/>
                <w:color w:val="333333"/>
                <w:sz w:val="19"/>
                <w:szCs w:val="19"/>
                <w:u w:val="none"/>
                <w:shd w:fill="auto" w:val="clear"/>
                <w:vertAlign w:val="baseline"/>
                <w:rtl w:val="0"/>
              </w:rPr>
              <w:t xml:space="preserve">Data source: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Query Snowflake views covering subscription lifecycle (order frequency, shipment skips/modifications, cancellations, refund history), email engagement (open/click rates, unsubscribe events, flow engagement), support interactions (ticket frequency, categories, sentiment), and quiz responses (cognitive goals, lifestyle inputs, recommendation history). Use existing Snowflake models as the primary data layer - only connect to source APIs if real-time signals are needed beyond what the warehouse provides.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1"/>
                <w:bCs w:val="1"/>
                <w:i w:val="0"/>
                <w:iCs w:val="0"/>
                <w:smallCaps w:val="0"/>
                <w:strike w:val="0"/>
                <w:color w:val="333333"/>
                <w:sz w:val="19"/>
                <w:szCs w:val="19"/>
                <w:u w:val="none"/>
                <w:shd w:fill="auto" w:val="clear"/>
                <w:vertAlign w:val="baseline"/>
                <w:rtl w:val="0"/>
              </w:rPr>
              <w:t xml:space="preserve">Feature engineering: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Extract leading churn indicators including declining email engagement velocity, increasing shipment skip frequency, support ticket escalation patterns, time-since-last-quiz-retake, and blend-switching frequency. Features should capture behavioral trends over time, not just point-in-time snapshots.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1"/>
                <w:bCs w:val="1"/>
                <w:i w:val="0"/>
                <w:iCs w:val="0"/>
                <w:smallCaps w:val="0"/>
                <w:strike w:val="0"/>
                <w:color w:val="333333"/>
                <w:sz w:val="19"/>
                <w:szCs w:val="19"/>
                <w:u w:val="none"/>
                <w:shd w:fill="auto" w:val="clear"/>
                <w:vertAlign w:val="baseline"/>
                <w:rtl w:val="0"/>
              </w:rPr>
              <w:t xml:space="preserve">Risk scoring: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Generate a per-subscriber churn probability score with explainable risk factors. The model must distinguish between churn archetypes (price sensitivity, efficacy dissatisfaction, subscription fatigue, life change) because each requires a different intervention.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1"/>
                <w:bCs w:val="1"/>
                <w:i w:val="0"/>
                <w:iCs w:val="0"/>
                <w:smallCaps w:val="0"/>
                <w:strike w:val="0"/>
                <w:color w:val="333333"/>
                <w:sz w:val="19"/>
                <w:szCs w:val="19"/>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 continuously-running or scheduled pipeline that scores the entire active subscriber base, segments by risk tier, writes scores back to Snowflake (queryable in Metabase), and feeds directly into the intervention agent. Not a batch report. Not a CSV.</w:t>
            </w:r>
            <w:r w:rsidDel="00000000" w:rsidR="00000000" w:rsidRPr="00000000">
              <w:rPr>
                <w:rtl w:val="0"/>
              </w:rPr>
            </w:r>
          </w:p>
        </w:tc>
      </w:tr>
    </w:tbl>
    <w:p w:rsidR="00000000" w:rsidDel="00000000" w:rsidP="00000000" w:rsidRDefault="00000000" w:rsidRPr="00000000" w14:paraId="00000027">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6" w:val="single"/>
              <w:left w:color="dee2e6" w:space="0" w:sz="4" w:val="single"/>
              <w:bottom w:color="000000" w:space="0" w:sz="0" w:val="nil"/>
              <w:right w:color="dee2e6" w:space="0" w:sz="4" w:val="single"/>
            </w:tcBorders>
            <w:shd w:fill="edf2f8" w:val="clear"/>
            <w:tcMar>
              <w:top w:w="80.0" w:type="dxa"/>
              <w:left w:w="160.0" w:type="dxa"/>
              <w:bottom w:w="4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b2a4a"/>
                <w:sz w:val="21"/>
                <w:szCs w:val="21"/>
                <w:rtl w:val="0"/>
              </w:rPr>
              <w:t xml:space="preserve">Phase 2 - Autonomous Intervention Agent</w:t>
            </w:r>
            <w:r w:rsidDel="00000000" w:rsidR="00000000" w:rsidRPr="00000000">
              <w:rPr>
                <w:rtl w:val="0"/>
              </w:rPr>
            </w:r>
          </w:p>
        </w:tc>
      </w:tr>
      <w:tr>
        <w:trPr>
          <w:cantSplit w:val="0"/>
          <w:tblHeader w:val="0"/>
        </w:trPr>
        <w:tc>
          <w:tcPr>
            <w:tcBorders>
              <w:top w:color="000000" w:space="0" w:sz="0" w:val="nil"/>
              <w:left w:color="dee2e6" w:space="0" w:sz="4" w:val="single"/>
              <w:bottom w:color="dee2e6" w:space="0" w:sz="4" w:val="single"/>
              <w:right w:color="dee2e6" w:space="0" w:sz="4" w:val="single"/>
            </w:tcBorders>
            <w:shd w:fill="edf2f8" w:val="clear"/>
            <w:tcMar>
              <w:top w:w="20.0" w:type="dxa"/>
              <w:left w:w="160.0" w:type="dxa"/>
              <w:bottom w:w="80.0" w:type="dxa"/>
              <w:right w:w="160.0" w:type="dxa"/>
            </w:tcMar>
          </w:tcPr>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1"/>
                <w:bCs w:val="1"/>
                <w:i w:val="0"/>
                <w:iCs w:val="0"/>
                <w:smallCaps w:val="0"/>
                <w:strike w:val="0"/>
                <w:color w:val="333333"/>
                <w:sz w:val="19"/>
                <w:szCs w:val="19"/>
                <w:u w:val="none"/>
                <w:shd w:fill="auto" w:val="clear"/>
                <w:vertAlign w:val="baseline"/>
                <w:rtl w:val="0"/>
              </w:rPr>
              <w:t xml:space="preserve">Decision logic: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An agent that selects context-appropriate interventions based on the subscriber's risk score, churn archetype, engagement history, and subscription tenure. Minimum 4 distinct intervention paths: personalized check-in email, formulation adjustment suggestion (referencing quiz data when available, falling back to purchase history and engagement signals when quiz data is absent), targeted retention offer, and escalation flag for human follow-up.</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1"/>
                <w:bCs w:val="1"/>
                <w:i w:val="0"/>
                <w:iCs w:val="0"/>
                <w:smallCaps w:val="0"/>
                <w:strike w:val="0"/>
                <w:color w:val="333333"/>
                <w:sz w:val="19"/>
                <w:szCs w:val="19"/>
                <w:u w:val="none"/>
                <w:shd w:fill="auto" w:val="clear"/>
                <w:vertAlign w:val="baseline"/>
                <w:rtl w:val="0"/>
              </w:rPr>
              <w:t xml:space="preserve">Human-in-the-loop: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Interventions above a configurable risk/cost threshold require human approval before execution. Lower-stakes actions (e.g., a check-in email to a moderate-risk subscriber) execute autonomously. The threshold should be adjustable without code changes.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1"/>
                <w:bCs w:val="1"/>
                <w:i w:val="0"/>
                <w:iCs w:val="0"/>
                <w:smallCaps w:val="0"/>
                <w:strike w:val="0"/>
                <w:color w:val="333333"/>
                <w:sz w:val="19"/>
                <w:szCs w:val="19"/>
                <w:u w:val="none"/>
                <w:shd w:fill="auto" w:val="clear"/>
                <w:vertAlign w:val="baseline"/>
                <w:rtl w:val="0"/>
              </w:rPr>
              <w:t xml:space="preserve">Action logging &amp; feedback: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Every intervention must be logged with full context (risk score, archetype, action taken, subscriber response, outcome) and written back to Snowflake so that intervention history is queryable alongside subscriber data. This log feeds back into the prediction model to improve future scoring and intervention selection.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1"/>
                <w:bCs w:val="1"/>
                <w:i w:val="0"/>
                <w:iCs w:val="0"/>
                <w:smallCaps w:val="0"/>
                <w:strike w:val="0"/>
                <w:color w:val="333333"/>
                <w:sz w:val="19"/>
                <w:szCs w:val="19"/>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 production-ready agent that processes the risk-scored subscriber list, selects and executes interventions, queues high-stakes actions for approval, and logs everything for continuous improvement.</w:t>
            </w:r>
            <w:r w:rsidDel="00000000" w:rsidR="00000000" w:rsidRPr="00000000">
              <w:rPr>
                <w:rtl w:val="0"/>
              </w:rPr>
            </w:r>
          </w:p>
        </w:tc>
      </w:tr>
    </w:tbl>
    <w:p w:rsidR="00000000" w:rsidDel="00000000" w:rsidP="00000000" w:rsidRDefault="00000000" w:rsidRPr="00000000" w14:paraId="0000002D">
      <w:pPr>
        <w:spacing w:after="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66534" w:space="0" w:sz="6" w:val="single"/>
              <w:left w:color="dee2e6" w:space="0" w:sz="4" w:val="single"/>
              <w:bottom w:color="000000" w:space="0" w:sz="0" w:val="nil"/>
              <w:right w:color="dee2e6" w:space="0" w:sz="4" w:val="single"/>
            </w:tcBorders>
            <w:shd w:fill="e6f4ea" w:val="clear"/>
            <w:tcMar>
              <w:top w:w="80.0" w:type="dxa"/>
              <w:left w:w="160.0" w:type="dxa"/>
              <w:bottom w:w="40.0" w:type="dxa"/>
              <w:right w:w="160.0" w:type="dxa"/>
            </w:tcMar>
          </w:tcPr>
          <w:p w:rsidR="00000000" w:rsidDel="00000000" w:rsidP="00000000" w:rsidRDefault="00000000" w:rsidRPr="00000000" w14:paraId="0000002E">
            <w:pPr>
              <w:rPr/>
            </w:pPr>
            <w:sdt>
              <w:sdtPr>
                <w:id w:val="-1531658236"/>
                <w:tag w:val="goog_rdk_0"/>
              </w:sdtPr>
              <w:sdtContent>
                <w:r w:rsidDel="00000000" w:rsidR="00000000" w:rsidRPr="00000000">
                  <w:rPr>
                    <w:rFonts w:ascii="Arial Unicode MS" w:cs="Arial Unicode MS" w:eastAsia="Arial Unicode MS" w:hAnsi="Arial Unicode MS"/>
                    <w:b w:val="1"/>
                    <w:bCs w:val="1"/>
                    <w:color w:val="166534"/>
                    <w:sz w:val="21"/>
                    <w:szCs w:val="21"/>
                    <w:rtl w:val="0"/>
                  </w:rPr>
                  <w:t xml:space="preserve">✅  Requirements</w:t>
                </w:r>
              </w:sdtContent>
            </w:sdt>
            <w:r w:rsidDel="00000000" w:rsidR="00000000" w:rsidRPr="00000000">
              <w:rPr>
                <w:rtl w:val="0"/>
              </w:rPr>
            </w:r>
          </w:p>
        </w:tc>
      </w:tr>
      <w:tr>
        <w:trPr>
          <w:cantSplit w:val="0"/>
          <w:tblHeader w:val="0"/>
        </w:trPr>
        <w:tc>
          <w:tcPr>
            <w:tcBorders>
              <w:top w:color="000000" w:space="0" w:sz="0" w:val="nil"/>
              <w:left w:color="dee2e6" w:space="0" w:sz="4" w:val="single"/>
              <w:bottom w:color="dee2e6" w:space="0" w:sz="4" w:val="single"/>
              <w:right w:color="dee2e6" w:space="0" w:sz="4" w:val="single"/>
            </w:tcBorders>
            <w:shd w:fill="e6f4ea" w:val="clear"/>
            <w:tcMar>
              <w:top w:w="20.0" w:type="dxa"/>
              <w:left w:w="160.0" w:type="dxa"/>
              <w:bottom w:w="80.0" w:type="dxa"/>
              <w:right w:w="160.0" w:type="dxa"/>
            </w:tcMar>
          </w:tcPr>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sdt>
              <w:sdtPr>
                <w:id w:val="52835667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333333"/>
                    <w:sz w:val="19"/>
                    <w:szCs w:val="19"/>
                    <w:u w:val="none"/>
                    <w:shd w:fill="auto" w:val="clear"/>
                    <w:vertAlign w:val="baseline"/>
                    <w:rtl w:val="0"/>
                  </w:rPr>
                  <w:t xml:space="preserve">End-to-end pipeline: data ingestion → feature engineering → risk scoring → intervention selection → action execution → outcome logging</w:t>
                </w:r>
              </w:sdtContent>
            </w:sdt>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Snowflake as the primary data source - read from existing views, write scores and logs back to the warehouse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Explainable risk scores - not just a number, but the top contributing factors for each subscriber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Churn archetype classification - different churn reasons must route to different intervention paths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Graceful handling of incomplete data - the system must work for subscribers with no quiz data, limited engagement history, or partial records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Configurable human-in-the-loop thresholds that can be adjusted without code changes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Full action audit trail with outcome tracking written to Snowflake for model improvement and Metabase reporting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Graceful failure handling - if a data source is unavailable or an intervention fails, the system recovers without losing state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Production-ready at full scale: must handle the entire active subscriber base, not a sampled subset</w:t>
            </w:r>
            <w:r w:rsidDel="00000000" w:rsidR="00000000" w:rsidRPr="00000000">
              <w:rPr>
                <w:rtl w:val="0"/>
              </w:rPr>
            </w:r>
          </w:p>
        </w:tc>
      </w:tr>
    </w:tbl>
    <w:p w:rsidR="00000000" w:rsidDel="00000000" w:rsidP="00000000" w:rsidRDefault="00000000" w:rsidRPr="00000000" w14:paraId="00000038">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91c1c" w:space="0" w:sz="6" w:val="single"/>
              <w:left w:color="dee2e6" w:space="0" w:sz="4" w:val="single"/>
              <w:bottom w:color="000000" w:space="0" w:sz="0" w:val="nil"/>
              <w:right w:color="dee2e6" w:space="0" w:sz="4" w:val="single"/>
            </w:tcBorders>
            <w:shd w:fill="fde8e8" w:val="clear"/>
            <w:tcMar>
              <w:top w:w="80.0" w:type="dxa"/>
              <w:left w:w="160.0" w:type="dxa"/>
              <w:bottom w:w="4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b91c1c"/>
                <w:sz w:val="21"/>
                <w:szCs w:val="21"/>
                <w:rtl w:val="0"/>
              </w:rPr>
              <w:t xml:space="preserve">⛔  Anti-Patterns to Avoid</w:t>
            </w:r>
            <w:r w:rsidDel="00000000" w:rsidR="00000000" w:rsidRPr="00000000">
              <w:rPr>
                <w:rtl w:val="0"/>
              </w:rPr>
            </w:r>
          </w:p>
        </w:tc>
      </w:tr>
      <w:tr>
        <w:trPr>
          <w:cantSplit w:val="0"/>
          <w:tblHeader w:val="0"/>
        </w:trPr>
        <w:tc>
          <w:tcPr>
            <w:tcBorders>
              <w:top w:color="000000" w:space="0" w:sz="0" w:val="nil"/>
              <w:left w:color="dee2e6" w:space="0" w:sz="4" w:val="single"/>
              <w:bottom w:color="dee2e6" w:space="0" w:sz="4" w:val="single"/>
              <w:right w:color="dee2e6" w:space="0" w:sz="4" w:val="single"/>
            </w:tcBorders>
            <w:shd w:fill="fde8e8" w:val="clear"/>
            <w:tcMar>
              <w:top w:w="20.0" w:type="dxa"/>
              <w:left w:w="160.0" w:type="dxa"/>
              <w:bottom w:w="80.0" w:type="dxa"/>
              <w:right w:w="160.0" w:type="dxa"/>
            </w:tcMar>
          </w:tcPr>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Static rules engine disguised as an agent - "if score &gt; 0.7, send email" is not intelligent intervention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Dashboard or report as the deliverable - the output is autonomous action, not a visualization for a human to interpret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Treating all churn the same - a one-size-fits-all retention email ignores the reason the subscriber is leaving</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Building direct API connectors to source systems when the data already exists in Snowflake - use the warehouse first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Fine-tuned model where simpler approaches suffice - use the right tool for the job, not the most complex one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Raw customer PII in logs or training data - the feedback loop must track patterns and outcomes without creating a privacy liability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20" w:line="264" w:lineRule="auto"/>
              <w:ind w:left="40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Demo-quality output that only works on synthetic or sampled data - this must run against the full subscriber base on day one</w:t>
            </w:r>
            <w:r w:rsidDel="00000000" w:rsidR="00000000" w:rsidRPr="00000000">
              <w:rPr>
                <w:rtl w:val="0"/>
              </w:rPr>
            </w:r>
          </w:p>
        </w:tc>
      </w:tr>
    </w:tbl>
    <w:p w:rsidR="00000000" w:rsidDel="00000000" w:rsidP="00000000" w:rsidRDefault="00000000" w:rsidRPr="00000000" w14:paraId="00000041">
      <w:pPr>
        <w:spacing w:after="0" w:before="80" w:lineRule="auto"/>
        <w:rPr/>
      </w:pPr>
      <w:r w:rsidDel="00000000" w:rsidR="00000000" w:rsidRPr="00000000">
        <w:rPr>
          <w:rtl w:val="0"/>
        </w:rPr>
      </w:r>
    </w:p>
    <w:p w:rsidR="00000000" w:rsidDel="00000000" w:rsidP="00000000" w:rsidRDefault="00000000" w:rsidRPr="00000000" w14:paraId="00000042">
      <w:pPr>
        <w:pStyle w:val="Heading2"/>
        <w:keepNext w:val="1"/>
        <w:keepLines w:val="1"/>
        <w:spacing w:after="100" w:before="260" w:lineRule="auto"/>
        <w:rPr/>
      </w:pPr>
      <w:r w:rsidDel="00000000" w:rsidR="00000000" w:rsidRPr="00000000">
        <w:rPr>
          <w:rtl w:val="0"/>
        </w:rPr>
      </w:r>
    </w:p>
    <w:p w:rsidR="00000000" w:rsidDel="00000000" w:rsidP="00000000" w:rsidRDefault="00000000" w:rsidRPr="00000000" w14:paraId="00000043">
      <w:pPr>
        <w:pStyle w:val="Heading2"/>
        <w:keepNext w:val="1"/>
        <w:keepLines w:val="1"/>
        <w:spacing w:after="100" w:before="260" w:lineRule="auto"/>
        <w:rPr/>
      </w:pPr>
      <w:r w:rsidDel="00000000" w:rsidR="00000000" w:rsidRPr="00000000">
        <w:rPr>
          <w:rtl w:val="0"/>
        </w:rPr>
      </w:r>
    </w:p>
    <w:p w:rsidR="00000000" w:rsidDel="00000000" w:rsidP="00000000" w:rsidRDefault="00000000" w:rsidRPr="00000000" w14:paraId="00000044">
      <w:pPr>
        <w:pStyle w:val="Heading2"/>
        <w:keepNext w:val="1"/>
        <w:keepLines w:val="1"/>
        <w:spacing w:after="100" w:before="260" w:lineRule="auto"/>
        <w:rPr/>
      </w:pPr>
      <w:r w:rsidDel="00000000" w:rsidR="00000000" w:rsidRPr="00000000">
        <w:rPr>
          <w:rtl w:val="0"/>
        </w:rPr>
      </w:r>
    </w:p>
    <w:p w:rsidR="00000000" w:rsidDel="00000000" w:rsidP="00000000" w:rsidRDefault="00000000" w:rsidRPr="00000000" w14:paraId="00000045">
      <w:pPr>
        <w:pStyle w:val="Heading2"/>
        <w:keepNext w:val="1"/>
        <w:keepLines w:val="1"/>
        <w:spacing w:after="100" w:before="260"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1"/>
        <w:keepLines w:val="1"/>
        <w:spacing w:after="100" w:before="260" w:lineRule="auto"/>
        <w:rPr/>
      </w:pPr>
      <w:r w:rsidDel="00000000" w:rsidR="00000000" w:rsidRPr="00000000">
        <w:rPr>
          <w:rtl w:val="0"/>
        </w:rPr>
      </w:r>
    </w:p>
    <w:p w:rsidR="00000000" w:rsidDel="00000000" w:rsidP="00000000" w:rsidRDefault="00000000" w:rsidRPr="00000000" w14:paraId="00000048">
      <w:pPr>
        <w:pStyle w:val="Heading2"/>
        <w:keepNext w:val="1"/>
        <w:keepLines w:val="1"/>
        <w:spacing w:after="100" w:before="260" w:lineRule="auto"/>
        <w:rPr/>
      </w:pPr>
      <w:r w:rsidDel="00000000" w:rsidR="00000000" w:rsidRPr="00000000">
        <w:rPr>
          <w:rFonts w:ascii="Arial" w:cs="Arial" w:eastAsia="Arial" w:hAnsi="Arial"/>
          <w:b w:val="1"/>
          <w:bCs w:val="1"/>
          <w:color w:val="2e75b6"/>
          <w:sz w:val="26"/>
          <w:szCs w:val="26"/>
          <w:rtl w:val="0"/>
        </w:rPr>
        <w:t xml:space="preserve">Evaluation Criteria</w:t>
      </w:r>
      <w:r w:rsidDel="00000000" w:rsidR="00000000" w:rsidRPr="00000000">
        <w:rPr>
          <w:rtl w:val="0"/>
        </w:rPr>
      </w:r>
    </w:p>
    <w:p w:rsidR="00000000" w:rsidDel="00000000" w:rsidP="00000000" w:rsidRDefault="00000000" w:rsidRPr="00000000" w14:paraId="00000049">
      <w:pPr>
        <w:spacing w:after="80" w:before="40" w:line="290" w:lineRule="auto"/>
        <w:rPr/>
      </w:pPr>
      <w:r w:rsidDel="00000000" w:rsidR="00000000" w:rsidRPr="00000000">
        <w:rPr>
          <w:rFonts w:ascii="Arial" w:cs="Arial" w:eastAsia="Arial" w:hAnsi="Arial"/>
          <w:color w:val="333333"/>
          <w:sz w:val="21"/>
          <w:szCs w:val="21"/>
          <w:rtl w:val="0"/>
        </w:rPr>
        <w:t xml:space="preserve">Prediction accuracy (precision/recall against historical churn data), intervention relevance (does the agent select the right action for the right reason), system architecture (modularity, scalability, extensibility to new data sources and intervention types), and production readiness (error handling, logging, documentation, deployability).</w:t>
      </w:r>
      <w:r w:rsidDel="00000000" w:rsidR="00000000" w:rsidRPr="00000000">
        <w:rPr>
          <w:rtl w:val="0"/>
        </w:rPr>
      </w:r>
    </w:p>
    <w:p w:rsidR="00000000" w:rsidDel="00000000" w:rsidP="00000000" w:rsidRDefault="00000000" w:rsidRPr="00000000" w14:paraId="0000004A">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0"/>
        </w:trPr>
        <w:tc>
          <w:tcPr>
            <w:tcBorders>
              <w:top w:color="2e75b6" w:space="0" w:sz="4" w:val="single"/>
              <w:left w:color="cccccc" w:space="0" w:sz="4" w:val="single"/>
              <w:bottom w:color="cccccc" w:space="0" w:sz="4" w:val="single"/>
              <w:right w:color="cccccc" w:space="0" w:sz="4" w:val="single"/>
            </w:tcBorders>
            <w:shd w:fill="edf2f8" w:val="clear"/>
            <w:tcMar>
              <w:top w:w="60.0" w:type="dxa"/>
              <w:left w:w="120.0" w:type="dxa"/>
              <w:bottom w:w="60.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2a4a"/>
                <w:sz w:val="19"/>
                <w:szCs w:val="19"/>
                <w:rtl w:val="0"/>
              </w:rPr>
              <w:t xml:space="preserve">Metric</w:t>
            </w:r>
            <w:r w:rsidDel="00000000" w:rsidR="00000000" w:rsidRPr="00000000">
              <w:rPr>
                <w:rtl w:val="0"/>
              </w:rPr>
            </w:r>
          </w:p>
        </w:tc>
        <w:tc>
          <w:tcPr>
            <w:tcBorders>
              <w:top w:color="2e75b6" w:space="0" w:sz="4" w:val="single"/>
              <w:left w:color="cccccc" w:space="0" w:sz="4" w:val="single"/>
              <w:bottom w:color="cccccc" w:space="0" w:sz="4" w:val="single"/>
              <w:right w:color="cccccc" w:space="0" w:sz="4" w:val="single"/>
            </w:tcBorders>
            <w:shd w:fill="edf2f8" w:val="clear"/>
            <w:tcMar>
              <w:top w:w="60.0" w:type="dxa"/>
              <w:left w:w="8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2a4a"/>
                <w:sz w:val="19"/>
                <w:szCs w:val="19"/>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19"/>
                <w:szCs w:val="19"/>
                <w:rtl w:val="0"/>
              </w:rPr>
              <w:t xml:space="preserve">Monthly churn rate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120.0" w:type="dxa"/>
            </w:tcMar>
          </w:tcPr>
          <w:p w:rsidR="00000000" w:rsidDel="00000000" w:rsidP="00000000" w:rsidRDefault="00000000" w:rsidRPr="00000000" w14:paraId="0000004E">
            <w:pPr>
              <w:rPr/>
            </w:pPr>
            <w:sdt>
              <w:sdtPr>
                <w:id w:val="-915436428"/>
                <w:tag w:val="goog_rdk_2"/>
              </w:sdtPr>
              <w:sdtContent>
                <w:r w:rsidDel="00000000" w:rsidR="00000000" w:rsidRPr="00000000">
                  <w:rPr>
                    <w:rFonts w:ascii="Arial Unicode MS" w:cs="Arial Unicode MS" w:eastAsia="Arial Unicode MS" w:hAnsi="Arial Unicode MS"/>
                    <w:b w:val="1"/>
                    <w:bCs w:val="1"/>
                    <w:color w:val="333333"/>
                    <w:sz w:val="19"/>
                    <w:szCs w:val="19"/>
                    <w:rtl w:val="0"/>
                  </w:rPr>
                  <w:t xml:space="preserve">≥ 2-3 percentage points within 90 days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50.0" w:type="dxa"/>
              <w:left w:w="120.0" w:type="dxa"/>
              <w:bottom w:w="50.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19"/>
                <w:szCs w:val="19"/>
                <w:rtl w:val="0"/>
              </w:rPr>
              <w:t xml:space="preserve">Model precision (top risk decile)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50.0" w:type="dxa"/>
              <w:left w:w="80.0" w:type="dxa"/>
              <w:bottom w:w="5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333333"/>
                <w:sz w:val="19"/>
                <w:szCs w:val="19"/>
                <w:rtl w:val="0"/>
              </w:rPr>
              <w:t xml:space="preserve">&gt;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19"/>
                <w:szCs w:val="19"/>
                <w:rtl w:val="0"/>
              </w:rPr>
              <w:t xml:space="preserve">Model recall (churn caught before cancel)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333333"/>
                <w:sz w:val="19"/>
                <w:szCs w:val="19"/>
                <w:rtl w:val="0"/>
              </w:rPr>
              <w:t xml:space="preserve">&gt; 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50.0" w:type="dxa"/>
              <w:left w:w="120.0" w:type="dxa"/>
              <w:bottom w:w="50.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19"/>
                <w:szCs w:val="19"/>
                <w:rtl w:val="0"/>
              </w:rPr>
              <w:t xml:space="preserve">Intervention coverage (% of at-risk subscribers reached)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50.0" w:type="dxa"/>
              <w:left w:w="80.0" w:type="dxa"/>
              <w:bottom w:w="5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333333"/>
                <w:sz w:val="19"/>
                <w:szCs w:val="19"/>
                <w:rtl w:val="0"/>
              </w:rPr>
              <w:t xml:space="preserve">&gt; 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19"/>
                <w:szCs w:val="19"/>
                <w:rtl w:val="0"/>
              </w:rPr>
              <w:t xml:space="preserve">Autonomous action rate (no human approval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333333"/>
                <w:sz w:val="19"/>
                <w:szCs w:val="19"/>
                <w:rtl w:val="0"/>
              </w:rPr>
              <w:t xml:space="preserve">&gt; 70% of dispatched interventions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50.0" w:type="dxa"/>
              <w:left w:w="120.0" w:type="dxa"/>
              <w:bottom w:w="5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19"/>
                <w:szCs w:val="19"/>
                <w:rtl w:val="0"/>
              </w:rPr>
              <w:t xml:space="preserve">Audit trail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50.0" w:type="dxa"/>
              <w:left w:w="80.0" w:type="dxa"/>
              <w:bottom w:w="5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333333"/>
                <w:sz w:val="19"/>
                <w:szCs w:val="19"/>
                <w:rtl w:val="0"/>
              </w:rPr>
              <w:t xml:space="preserve">100% of actions logged to Snowflake</w:t>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type w:val="nextPage"/>
      <w:pgSz w:h="15840" w:w="12240" w:orient="portrait"/>
      <w:pgMar w:bottom="110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color="cccccc" w:space="4" w:sz="4" w:val="single"/>
      </w:pBdr>
      <w:jc w:val="right"/>
      <w:rPr/>
    </w:pPr>
    <w:r w:rsidDel="00000000" w:rsidR="00000000" w:rsidRPr="00000000">
      <w:rPr>
        <w:rFonts w:ascii="Arial" w:cs="Arial" w:eastAsia="Arial" w:hAnsi="Arial"/>
        <w:i w:val="1"/>
        <w:iCs w:val="1"/>
        <w:color w:val="666666"/>
        <w:sz w:val="15"/>
        <w:szCs w:val="15"/>
        <w:rtl w:val="0"/>
      </w:rPr>
      <w:t xml:space="preserve">Confidential - Thesis Internal</w:t>
    </w:r>
    <w:r w:rsidDel="00000000" w:rsidR="00000000" w:rsidRPr="00000000">
      <w:rPr>
        <w:rFonts w:ascii="Arial" w:cs="Arial" w:eastAsia="Arial" w:hAnsi="Arial"/>
        <w:color w:val="666666"/>
        <w:sz w:val="15"/>
        <w:szCs w:val="15"/>
        <w:rtl w:val="0"/>
      </w:rPr>
      <w:t xml:space="preserve">        Page </w:t>
    </w:r>
    <w:r w:rsidDel="00000000" w:rsidR="00000000" w:rsidRPr="00000000">
      <w:rPr>
        <w:rFonts w:ascii="Arial" w:cs="Arial" w:eastAsia="Arial" w:hAnsi="Arial"/>
        <w:color w:val="666666"/>
        <w:sz w:val="15"/>
        <w:szCs w:val="15"/>
      </w:rPr>
      <w:fldChar w:fldCharType="begin"/>
      <w:instrText xml:space="preserve">PAGE</w:instrText>
      <w:fldChar w:fldCharType="separate"/>
      <w:fldChar w:fldCharType="end"/>
    </w:r>
    <w:r w:rsidDel="00000000" w:rsidR="00000000" w:rsidRPr="00000000">
      <w:rPr>
        <w:rFonts w:ascii="Arial" w:cs="Arial" w:eastAsia="Arial" w:hAnsi="Arial"/>
        <w:color w:val="666666"/>
        <w:sz w:val="15"/>
        <w:szCs w:val="15"/>
        <w:rtl w:val="0"/>
      </w:rPr>
      <w:t xml:space="preserve"> of </w:t>
    </w:r>
    <w:r w:rsidDel="00000000" w:rsidR="00000000" w:rsidRPr="00000000">
      <w:rPr>
        <w:rFonts w:ascii="Arial" w:cs="Arial" w:eastAsia="Arial" w:hAnsi="Arial"/>
        <w:color w:val="666666"/>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color="cccccc" w:space="4" w:sz="4" w:val="single"/>
      </w:pBdr>
      <w:jc w:val="right"/>
      <w:rPr/>
    </w:pPr>
    <w:r w:rsidDel="00000000" w:rsidR="00000000" w:rsidRPr="00000000">
      <w:rPr>
        <w:rFonts w:ascii="Arial" w:cs="Arial" w:eastAsia="Arial" w:hAnsi="Arial"/>
        <w:i w:val="1"/>
        <w:iCs w:val="1"/>
        <w:color w:val="666666"/>
        <w:sz w:val="15"/>
        <w:szCs w:val="15"/>
        <w:rtl w:val="0"/>
      </w:rPr>
      <w:t xml:space="preserve">Confidential - Thesis Internal</w:t>
    </w:r>
    <w:r w:rsidDel="00000000" w:rsidR="00000000" w:rsidRPr="00000000">
      <w:rPr>
        <w:rFonts w:ascii="Arial" w:cs="Arial" w:eastAsia="Arial" w:hAnsi="Arial"/>
        <w:color w:val="666666"/>
        <w:sz w:val="15"/>
        <w:szCs w:val="15"/>
        <w:rtl w:val="0"/>
      </w:rPr>
      <w:t xml:space="preserve">        Page </w:t>
    </w:r>
    <w:r w:rsidDel="00000000" w:rsidR="00000000" w:rsidRPr="00000000">
      <w:rPr>
        <w:rFonts w:ascii="Arial" w:cs="Arial" w:eastAsia="Arial" w:hAnsi="Arial"/>
        <w:color w:val="666666"/>
        <w:sz w:val="15"/>
        <w:szCs w:val="15"/>
      </w:rPr>
      <w:fldChar w:fldCharType="begin"/>
      <w:instrText xml:space="preserve">PAGE</w:instrText>
      <w:fldChar w:fldCharType="separate"/>
      <w:fldChar w:fldCharType="end"/>
    </w:r>
    <w:r w:rsidDel="00000000" w:rsidR="00000000" w:rsidRPr="00000000">
      <w:rPr>
        <w:rFonts w:ascii="Arial" w:cs="Arial" w:eastAsia="Arial" w:hAnsi="Arial"/>
        <w:color w:val="666666"/>
        <w:sz w:val="15"/>
        <w:szCs w:val="15"/>
        <w:rtl w:val="0"/>
      </w:rPr>
      <w:t xml:space="preserve"> of </w:t>
    </w:r>
    <w:r w:rsidDel="00000000" w:rsidR="00000000" w:rsidRPr="00000000">
      <w:rPr>
        <w:rFonts w:ascii="Arial" w:cs="Arial" w:eastAsia="Arial" w:hAnsi="Arial"/>
        <w:color w:val="666666"/>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bottom w:color="2e75b6" w:space="6" w:sz="4" w:val="single"/>
      </w:pBdr>
      <w:rPr/>
    </w:pPr>
    <w:r w:rsidDel="00000000" w:rsidR="00000000" w:rsidRPr="00000000">
      <w:rPr>
        <w:rFonts w:ascii="Arial" w:cs="Arial" w:eastAsia="Arial" w:hAnsi="Arial"/>
        <w:b w:val="1"/>
        <w:bCs w:val="1"/>
        <w:color w:val="2e75b6"/>
        <w:sz w:val="15"/>
        <w:szCs w:val="15"/>
        <w:rtl w:val="0"/>
      </w:rPr>
      <w:t xml:space="preserve">THESIS x GAUNTLET AI</w:t>
    </w:r>
    <w:r w:rsidDel="00000000" w:rsidR="00000000" w:rsidRPr="00000000">
      <w:rPr>
        <w:rFonts w:ascii="Arial" w:cs="Arial" w:eastAsia="Arial" w:hAnsi="Arial"/>
        <w:color w:val="666666"/>
        <w:sz w:val="15"/>
        <w:szCs w:val="15"/>
        <w:rtl w:val="0"/>
      </w:rPr>
      <w:t xml:space="preserve">    Partner Project Brief - April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bottom w:color="2e75b6" w:space="6" w:sz="4" w:val="single"/>
      </w:pBdr>
      <w:rPr/>
    </w:pPr>
    <w:r w:rsidDel="00000000" w:rsidR="00000000" w:rsidRPr="00000000">
      <w:rPr>
        <w:rFonts w:ascii="Arial" w:cs="Arial" w:eastAsia="Arial" w:hAnsi="Arial"/>
        <w:b w:val="1"/>
        <w:bCs w:val="1"/>
        <w:color w:val="2e75b6"/>
        <w:sz w:val="15"/>
        <w:szCs w:val="15"/>
        <w:rtl w:val="0"/>
      </w:rPr>
      <w:t xml:space="preserve">THESIS x GAUNTLET AI</w:t>
    </w:r>
    <w:r w:rsidDel="00000000" w:rsidR="00000000" w:rsidRPr="00000000">
      <w:rPr>
        <w:rFonts w:ascii="Arial" w:cs="Arial" w:eastAsia="Arial" w:hAnsi="Arial"/>
        <w:color w:val="666666"/>
        <w:sz w:val="15"/>
        <w:szCs w:val="15"/>
        <w:rtl w:val="0"/>
      </w:rPr>
      <w:t xml:space="preserve">    Partner Project Brief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L6e6K52+KOB3bxChNWg2GJqgg==">CgMxLjAaJAoBMBIfCh0IB0IZCgVBcmlhbBIQQXJpYWwgVW5pY29kZSBNUxokCgExEh8KHQgHQhkKBUFyaWFsEhBBcmlhbCBVbmljb2RlIE1TGiQKATISHwodCAdCGQoFQXJpYWwSEEFyaWFsIFVuaWNvZGUgTVM4AHIhMWt3bC1LMFpsaEl0ZzY0VHNYeWlvajhtMm1DWjdRbUpm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