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TRUSS Trades Sales Knowledge Base</w:t>
      </w:r>
    </w:p>
    <w:p>
      <w:r>
        <w:rPr>
          <w:color w:val="464646"/>
          <w:sz w:val="26"/>
        </w:rPr>
        <w:t>Research synthesis and training architecture for residential home services, project trades, and commercial contractors</w:t>
      </w:r>
    </w:p>
    <w:p>
      <w:r>
        <w:t>This report defines what TRUSS should know, how its advice should change by sales context, what behaviors it should coach, and which sources should inform each training module. The central finding is that trades sales performance comes from reducing customer uncertainty while protecting technical accuracy, margin, and trust. The best process is diagnostic and structured, but never robotic.</w:t>
      </w:r>
    </w:p>
    <w:p>
      <w:pPr>
        <w:pStyle w:val="Heading1"/>
      </w:pPr>
      <w:r>
        <w:t>Executive Findings</w:t>
      </w:r>
    </w:p>
    <w:p>
      <w:pPr>
        <w:pStyle w:val="ListBullet"/>
      </w:pPr>
      <w:r>
        <w:t>Segment before coaching. Emergency repair, planned replacement, remodeling, canvassing, technician recommendations, and commercial pursuits have different buyers, timing, risks, and acceptable closes.</w:t>
      </w:r>
    </w:p>
    <w:p>
      <w:pPr>
        <w:pStyle w:val="ListBullet"/>
      </w:pPr>
      <w:r>
        <w:t>The sales chain begins before the salesperson arrives. Answer rate, call booking, scheduling clarity, arrival communication, reviews, and technician presentation all influence the outcome.</w:t>
      </w:r>
    </w:p>
    <w:p>
      <w:pPr>
        <w:pStyle w:val="ListBullet"/>
      </w:pPr>
      <w:r>
        <w:t>Diagnosis should precede recommendation. The representative must understand the problem, consequence, desired outcome, decision process, constraints, and urgency before discussing a solution.</w:t>
      </w:r>
    </w:p>
    <w:p>
      <w:pPr>
        <w:pStyle w:val="ListBullet"/>
      </w:pPr>
      <w:r>
        <w:t>Options outperform a single take-it-or-leave-it quote when choices are genuinely different, accurately scoped, and explained around customer outcomes. Financing belongs in the affordability conversation but must never hide total cost.</w:t>
      </w:r>
    </w:p>
    <w:p>
      <w:pPr>
        <w:pStyle w:val="ListBullet"/>
      </w:pPr>
      <w:r>
        <w:t>For commercial trades, relationship access is only the beginning. Qualification, early intelligence, stakeholder mapping, go or no-go discipline, risk review, estimating handoff, and follow-through decide whether relationships turn into profitable work.</w:t>
      </w:r>
    </w:p>
    <w:p>
      <w:pPr>
        <w:pStyle w:val="ListBullet"/>
      </w:pPr>
      <w:r>
        <w:t>TRUSS should coach behavior and decision quality, not just close rate. A sale that creates cancellation, rework, complaint, financing harm, or unprofitable scope is a bad outcome.</w:t>
      </w:r>
    </w:p>
    <w:p>
      <w:pPr>
        <w:pStyle w:val="ListBullet"/>
      </w:pPr>
      <w:r>
        <w:t>Practitioner content is useful for language, examples, and roleplay. Independent surveys and official sources should govern factual claims, benchmarks, compliance, and consumer protection.</w:t>
      </w:r>
    </w:p>
    <w:p>
      <w:pPr>
        <w:pStyle w:val="Heading1"/>
      </w:pPr>
      <w:r>
        <w:t>The Sales Motions TRUSS Must Recognize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c>
          <w:tcPr>
            <w:tcW w:type="dxa" w:w="1512"/>
            <w:shd w:fill="17324D"/>
            <w:vAlign w:val="center"/>
          </w:tcPr>
          <w:p>
            <w:r>
              <w:rPr>
                <w:b/>
                <w:color w:val="FFFFFF"/>
                <w:sz w:val="18"/>
              </w:rPr>
              <w:t>Motion</w:t>
            </w:r>
          </w:p>
        </w:tc>
        <w:tc>
          <w:tcPr>
            <w:tcW w:type="dxa" w:w="1613"/>
            <w:shd w:fill="17324D"/>
            <w:vAlign w:val="center"/>
          </w:tcPr>
          <w:p>
            <w:r>
              <w:rPr>
                <w:b/>
                <w:color w:val="FFFFFF"/>
                <w:sz w:val="18"/>
              </w:rPr>
              <w:t>Buyer state</w:t>
            </w:r>
          </w:p>
        </w:tc>
        <w:tc>
          <w:tcPr>
            <w:tcW w:type="dxa" w:w="1944"/>
            <w:shd w:fill="17324D"/>
            <w:vAlign w:val="center"/>
          </w:tcPr>
          <w:p>
            <w:r>
              <w:rPr>
                <w:b/>
                <w:color w:val="FFFFFF"/>
                <w:sz w:val="18"/>
              </w:rPr>
              <w:t>Primary job</w:t>
            </w:r>
          </w:p>
        </w:tc>
        <w:tc>
          <w:tcPr>
            <w:tcW w:type="dxa" w:w="1987"/>
            <w:shd w:fill="17324D"/>
            <w:vAlign w:val="center"/>
          </w:tcPr>
          <w:p>
            <w:r>
              <w:rPr>
                <w:b/>
                <w:color w:val="FFFFFF"/>
                <w:sz w:val="18"/>
              </w:rPr>
              <w:t>Typical risk</w:t>
            </w:r>
          </w:p>
        </w:tc>
        <w:tc>
          <w:tcPr>
            <w:tcW w:type="dxa" w:w="2952"/>
            <w:shd w:fill="17324D"/>
            <w:vAlign w:val="center"/>
          </w:tcPr>
          <w:p>
            <w:r>
              <w:rPr>
                <w:b/>
                <w:color w:val="FFFFFF"/>
                <w:sz w:val="18"/>
              </w:rPr>
              <w:t>Best coaching emphasis</w:t>
            </w:r>
          </w:p>
        </w:tc>
      </w:tr>
      <w:tr>
        <w:tc>
          <w:tcPr>
            <w:tcW w:type="dxa" w:w="1512"/>
            <w:vAlign w:val="center"/>
          </w:tcPr>
          <w:p>
            <w:pPr>
              <w:spacing w:after="40"/>
            </w:pPr>
            <w:r>
              <w:rPr>
                <w:rFonts w:ascii="Arial" w:hAnsi="Arial"/>
                <w:sz w:val="17"/>
              </w:rPr>
              <w:t>Urgent service</w:t>
            </w:r>
          </w:p>
        </w:tc>
        <w:tc>
          <w:tcPr>
            <w:tcW w:type="dxa" w:w="1613"/>
            <w:vAlign w:val="center"/>
          </w:tcPr>
          <w:p>
            <w:pPr>
              <w:spacing w:after="40"/>
            </w:pPr>
            <w:r>
              <w:rPr>
                <w:rFonts w:ascii="Arial" w:hAnsi="Arial"/>
                <w:sz w:val="17"/>
              </w:rPr>
              <w:t>Stressed, time-sensitive</w:t>
            </w:r>
          </w:p>
        </w:tc>
        <w:tc>
          <w:tcPr>
            <w:tcW w:type="dxa" w:w="1944"/>
            <w:vAlign w:val="center"/>
          </w:tcPr>
          <w:p>
            <w:pPr>
              <w:spacing w:after="40"/>
            </w:pPr>
            <w:r>
              <w:rPr>
                <w:rFonts w:ascii="Arial" w:hAnsi="Arial"/>
                <w:sz w:val="17"/>
              </w:rPr>
              <w:t>Restore function and confidence</w:t>
            </w:r>
          </w:p>
        </w:tc>
        <w:tc>
          <w:tcPr>
            <w:tcW w:type="dxa" w:w="1987"/>
            <w:vAlign w:val="center"/>
          </w:tcPr>
          <w:p>
            <w:pPr>
              <w:spacing w:after="40"/>
            </w:pPr>
            <w:r>
              <w:rPr>
                <w:rFonts w:ascii="Arial" w:hAnsi="Arial"/>
                <w:sz w:val="17"/>
              </w:rPr>
              <w:t>Fear-based pressure or premature replacement</w:t>
            </w:r>
          </w:p>
        </w:tc>
        <w:tc>
          <w:tcPr>
            <w:tcW w:type="dxa" w:w="2952"/>
            <w:vAlign w:val="center"/>
          </w:tcPr>
          <w:p>
            <w:pPr>
              <w:spacing w:after="40"/>
            </w:pPr>
            <w:r>
              <w:rPr>
                <w:rFonts w:ascii="Arial" w:hAnsi="Arial"/>
                <w:sz w:val="17"/>
              </w:rPr>
              <w:t>Calm triage, transparent diagnosis, immediate and durable options</w:t>
            </w:r>
          </w:p>
        </w:tc>
      </w:tr>
      <w:tr>
        <w:tc>
          <w:tcPr>
            <w:tcW w:type="dxa" w:w="1512"/>
            <w:vAlign w:val="center"/>
            <w:shd w:fill="F3F6F8"/>
          </w:tcPr>
          <w:p>
            <w:pPr>
              <w:spacing w:after="40"/>
            </w:pPr>
            <w:r>
              <w:rPr>
                <w:rFonts w:ascii="Arial" w:hAnsi="Arial"/>
                <w:sz w:val="17"/>
              </w:rPr>
              <w:t>Planned replacement</w:t>
            </w:r>
          </w:p>
        </w:tc>
        <w:tc>
          <w:tcPr>
            <w:tcW w:type="dxa" w:w="1613"/>
            <w:vAlign w:val="center"/>
            <w:shd w:fill="F3F6F8"/>
          </w:tcPr>
          <w:p>
            <w:pPr>
              <w:spacing w:after="40"/>
            </w:pPr>
            <w:r>
              <w:rPr>
                <w:rFonts w:ascii="Arial" w:hAnsi="Arial"/>
                <w:sz w:val="17"/>
              </w:rPr>
              <w:t>Comparing providers and systems</w:t>
            </w:r>
          </w:p>
        </w:tc>
        <w:tc>
          <w:tcPr>
            <w:tcW w:type="dxa" w:w="1944"/>
            <w:vAlign w:val="center"/>
            <w:shd w:fill="F3F6F8"/>
          </w:tcPr>
          <w:p>
            <w:pPr>
              <w:spacing w:after="40"/>
            </w:pPr>
            <w:r>
              <w:rPr>
                <w:rFonts w:ascii="Arial" w:hAnsi="Arial"/>
                <w:sz w:val="17"/>
              </w:rPr>
              <w:t>Choose a long-term solution</w:t>
            </w:r>
          </w:p>
        </w:tc>
        <w:tc>
          <w:tcPr>
            <w:tcW w:type="dxa" w:w="1987"/>
            <w:vAlign w:val="center"/>
            <w:shd w:fill="F3F6F8"/>
          </w:tcPr>
          <w:p>
            <w:pPr>
              <w:spacing w:after="40"/>
            </w:pPr>
            <w:r>
              <w:rPr>
                <w:rFonts w:ascii="Arial" w:hAnsi="Arial"/>
                <w:sz w:val="17"/>
              </w:rPr>
              <w:t>Commodity quoting and technical overload</w:t>
            </w:r>
          </w:p>
        </w:tc>
        <w:tc>
          <w:tcPr>
            <w:tcW w:type="dxa" w:w="2952"/>
            <w:vAlign w:val="center"/>
            <w:shd w:fill="F3F6F8"/>
          </w:tcPr>
          <w:p>
            <w:pPr>
              <w:spacing w:after="40"/>
            </w:pPr>
            <w:r>
              <w:rPr>
                <w:rFonts w:ascii="Arial" w:hAnsi="Arial"/>
                <w:sz w:val="17"/>
              </w:rPr>
              <w:t>Outcome discovery, proof, good-better-best choices, decision clarity</w:t>
            </w:r>
          </w:p>
        </w:tc>
      </w:tr>
      <w:tr>
        <w:tc>
          <w:tcPr>
            <w:tcW w:type="dxa" w:w="1512"/>
            <w:vAlign w:val="center"/>
          </w:tcPr>
          <w:p>
            <w:pPr>
              <w:spacing w:after="40"/>
            </w:pPr>
            <w:r>
              <w:rPr>
                <w:rFonts w:ascii="Arial" w:hAnsi="Arial"/>
                <w:sz w:val="17"/>
              </w:rPr>
              <w:t>Remodel or project</w:t>
            </w:r>
          </w:p>
        </w:tc>
        <w:tc>
          <w:tcPr>
            <w:tcW w:type="dxa" w:w="1613"/>
            <w:vAlign w:val="center"/>
          </w:tcPr>
          <w:p>
            <w:pPr>
              <w:spacing w:after="40"/>
            </w:pPr>
            <w:r>
              <w:rPr>
                <w:rFonts w:ascii="Arial" w:hAnsi="Arial"/>
                <w:sz w:val="17"/>
              </w:rPr>
              <w:t>High involvement, uncertain scope</w:t>
            </w:r>
          </w:p>
        </w:tc>
        <w:tc>
          <w:tcPr>
            <w:tcW w:type="dxa" w:w="1944"/>
            <w:vAlign w:val="center"/>
          </w:tcPr>
          <w:p>
            <w:pPr>
              <w:spacing w:after="40"/>
            </w:pPr>
            <w:r>
              <w:rPr>
                <w:rFonts w:ascii="Arial" w:hAnsi="Arial"/>
                <w:sz w:val="17"/>
              </w:rPr>
              <w:t>Select a trustworthy partner</w:t>
            </w:r>
          </w:p>
        </w:tc>
        <w:tc>
          <w:tcPr>
            <w:tcW w:type="dxa" w:w="1987"/>
            <w:vAlign w:val="center"/>
          </w:tcPr>
          <w:p>
            <w:pPr>
              <w:spacing w:after="40"/>
            </w:pPr>
            <w:r>
              <w:rPr>
                <w:rFonts w:ascii="Arial" w:hAnsi="Arial"/>
                <w:sz w:val="17"/>
              </w:rPr>
              <w:t>Scope ambiguity, timeline anxiety, change-order conflict</w:t>
            </w:r>
          </w:p>
        </w:tc>
        <w:tc>
          <w:tcPr>
            <w:tcW w:type="dxa" w:w="2952"/>
            <w:vAlign w:val="center"/>
          </w:tcPr>
          <w:p>
            <w:pPr>
              <w:spacing w:after="40"/>
            </w:pPr>
            <w:r>
              <w:rPr>
                <w:rFonts w:ascii="Arial" w:hAnsi="Arial"/>
                <w:sz w:val="17"/>
              </w:rPr>
              <w:t>Vision, process, exclusions, milestones, communication plan</w:t>
            </w:r>
          </w:p>
        </w:tc>
      </w:tr>
      <w:tr>
        <w:tc>
          <w:tcPr>
            <w:tcW w:type="dxa" w:w="1512"/>
            <w:vAlign w:val="center"/>
            <w:shd w:fill="F3F6F8"/>
          </w:tcPr>
          <w:p>
            <w:pPr>
              <w:spacing w:after="40"/>
            </w:pPr>
            <w:r>
              <w:rPr>
                <w:rFonts w:ascii="Arial" w:hAnsi="Arial"/>
                <w:sz w:val="17"/>
              </w:rPr>
              <w:t>Technician-led</w:t>
            </w:r>
          </w:p>
        </w:tc>
        <w:tc>
          <w:tcPr>
            <w:tcW w:type="dxa" w:w="1613"/>
            <w:vAlign w:val="center"/>
            <w:shd w:fill="F3F6F8"/>
          </w:tcPr>
          <w:p>
            <w:pPr>
              <w:spacing w:after="40"/>
            </w:pPr>
            <w:r>
              <w:rPr>
                <w:rFonts w:ascii="Arial" w:hAnsi="Arial"/>
                <w:sz w:val="17"/>
              </w:rPr>
              <w:t>Customer expected service, not a pitch</w:t>
            </w:r>
          </w:p>
        </w:tc>
        <w:tc>
          <w:tcPr>
            <w:tcW w:type="dxa" w:w="1944"/>
            <w:vAlign w:val="center"/>
            <w:shd w:fill="F3F6F8"/>
          </w:tcPr>
          <w:p>
            <w:pPr>
              <w:spacing w:after="40"/>
            </w:pPr>
            <w:r>
              <w:rPr>
                <w:rFonts w:ascii="Arial" w:hAnsi="Arial"/>
                <w:sz w:val="17"/>
              </w:rPr>
              <w:t>Identify adjacent needs responsibly</w:t>
            </w:r>
          </w:p>
        </w:tc>
        <w:tc>
          <w:tcPr>
            <w:tcW w:type="dxa" w:w="1987"/>
            <w:vAlign w:val="center"/>
            <w:shd w:fill="F3F6F8"/>
          </w:tcPr>
          <w:p>
            <w:pPr>
              <w:spacing w:after="40"/>
            </w:pPr>
            <w:r>
              <w:rPr>
                <w:rFonts w:ascii="Arial" w:hAnsi="Arial"/>
                <w:sz w:val="17"/>
              </w:rPr>
              <w:t>Trust abuse and unnecessary work</w:t>
            </w:r>
          </w:p>
        </w:tc>
        <w:tc>
          <w:tcPr>
            <w:tcW w:type="dxa" w:w="2952"/>
            <w:vAlign w:val="center"/>
            <w:shd w:fill="F3F6F8"/>
          </w:tcPr>
          <w:p>
            <w:pPr>
              <w:spacing w:after="40"/>
            </w:pPr>
            <w:r>
              <w:rPr>
                <w:rFonts w:ascii="Arial" w:hAnsi="Arial"/>
                <w:sz w:val="17"/>
              </w:rPr>
              <w:t>Permission, evidence, consequence, optional recommendation</w:t>
            </w:r>
          </w:p>
        </w:tc>
      </w:tr>
      <w:tr>
        <w:tc>
          <w:tcPr>
            <w:tcW w:type="dxa" w:w="1512"/>
            <w:vAlign w:val="center"/>
          </w:tcPr>
          <w:p>
            <w:pPr>
              <w:spacing w:after="40"/>
            </w:pPr>
            <w:r>
              <w:rPr>
                <w:rFonts w:ascii="Arial" w:hAnsi="Arial"/>
                <w:sz w:val="17"/>
              </w:rPr>
              <w:t>Canvassing or storm</w:t>
            </w:r>
          </w:p>
        </w:tc>
        <w:tc>
          <w:tcPr>
            <w:tcW w:type="dxa" w:w="1613"/>
            <w:vAlign w:val="center"/>
          </w:tcPr>
          <w:p>
            <w:pPr>
              <w:spacing w:after="40"/>
            </w:pPr>
            <w:r>
              <w:rPr>
                <w:rFonts w:ascii="Arial" w:hAnsi="Arial"/>
                <w:sz w:val="17"/>
              </w:rPr>
              <w:t>Low initial intent or event-triggered demand</w:t>
            </w:r>
          </w:p>
        </w:tc>
        <w:tc>
          <w:tcPr>
            <w:tcW w:type="dxa" w:w="1944"/>
            <w:vAlign w:val="center"/>
          </w:tcPr>
          <w:p>
            <w:pPr>
              <w:spacing w:after="40"/>
            </w:pPr>
            <w:r>
              <w:rPr>
                <w:rFonts w:ascii="Arial" w:hAnsi="Arial"/>
                <w:sz w:val="17"/>
              </w:rPr>
              <w:t>Earn permission for inspection or next step</w:t>
            </w:r>
          </w:p>
        </w:tc>
        <w:tc>
          <w:tcPr>
            <w:tcW w:type="dxa" w:w="1987"/>
            <w:vAlign w:val="center"/>
          </w:tcPr>
          <w:p>
            <w:pPr>
              <w:spacing w:after="40"/>
            </w:pPr>
            <w:r>
              <w:rPr>
                <w:rFonts w:ascii="Arial" w:hAnsi="Arial"/>
                <w:sz w:val="17"/>
              </w:rPr>
              <w:t>High pressure, misrepresentation, legal exposure</w:t>
            </w:r>
          </w:p>
        </w:tc>
        <w:tc>
          <w:tcPr>
            <w:tcW w:type="dxa" w:w="2952"/>
            <w:vAlign w:val="center"/>
          </w:tcPr>
          <w:p>
            <w:pPr>
              <w:spacing w:after="40"/>
            </w:pPr>
            <w:r>
              <w:rPr>
                <w:rFonts w:ascii="Arial" w:hAnsi="Arial"/>
                <w:sz w:val="17"/>
              </w:rPr>
              <w:t>Consent, identity, factual inspection, compliant follow-up</w:t>
            </w:r>
          </w:p>
        </w:tc>
      </w:tr>
      <w:tr>
        <w:tc>
          <w:tcPr>
            <w:tcW w:type="dxa" w:w="1512"/>
            <w:vAlign w:val="center"/>
            <w:shd w:fill="F3F6F8"/>
          </w:tcPr>
          <w:p>
            <w:pPr>
              <w:spacing w:after="40"/>
            </w:pPr>
            <w:r>
              <w:rPr>
                <w:rFonts w:ascii="Arial" w:hAnsi="Arial"/>
                <w:sz w:val="17"/>
              </w:rPr>
              <w:t>Commercial service</w:t>
            </w:r>
          </w:p>
        </w:tc>
        <w:tc>
          <w:tcPr>
            <w:tcW w:type="dxa" w:w="1613"/>
            <w:vAlign w:val="center"/>
            <w:shd w:fill="F3F6F8"/>
          </w:tcPr>
          <w:p>
            <w:pPr>
              <w:spacing w:after="40"/>
            </w:pPr>
            <w:r>
              <w:rPr>
                <w:rFonts w:ascii="Arial" w:hAnsi="Arial"/>
                <w:sz w:val="17"/>
              </w:rPr>
              <w:t>Multiple stakeholders, recurring need</w:t>
            </w:r>
          </w:p>
        </w:tc>
        <w:tc>
          <w:tcPr>
            <w:tcW w:type="dxa" w:w="1944"/>
            <w:vAlign w:val="center"/>
            <w:shd w:fill="F3F6F8"/>
          </w:tcPr>
          <w:p>
            <w:pPr>
              <w:spacing w:after="40"/>
            </w:pPr>
            <w:r>
              <w:rPr>
                <w:rFonts w:ascii="Arial" w:hAnsi="Arial"/>
                <w:sz w:val="17"/>
              </w:rPr>
              <w:t>Reduce operational risk and lifecycle cost</w:t>
            </w:r>
          </w:p>
        </w:tc>
        <w:tc>
          <w:tcPr>
            <w:tcW w:type="dxa" w:w="1987"/>
            <w:vAlign w:val="center"/>
            <w:shd w:fill="F3F6F8"/>
          </w:tcPr>
          <w:p>
            <w:pPr>
              <w:spacing w:after="40"/>
            </w:pPr>
            <w:r>
              <w:rPr>
                <w:rFonts w:ascii="Arial" w:hAnsi="Arial"/>
                <w:sz w:val="17"/>
              </w:rPr>
              <w:t>Selling only price or one contact</w:t>
            </w:r>
          </w:p>
        </w:tc>
        <w:tc>
          <w:tcPr>
            <w:tcW w:type="dxa" w:w="2952"/>
            <w:vAlign w:val="center"/>
            <w:shd w:fill="F3F6F8"/>
          </w:tcPr>
          <w:p>
            <w:pPr>
              <w:spacing w:after="40"/>
            </w:pPr>
            <w:r>
              <w:rPr>
                <w:rFonts w:ascii="Arial" w:hAnsi="Arial"/>
                <w:sz w:val="17"/>
              </w:rPr>
              <w:t>Account research, stakeholder map, service-level value, renewal</w:t>
            </w:r>
          </w:p>
        </w:tc>
      </w:tr>
      <w:tr>
        <w:tc>
          <w:tcPr>
            <w:tcW w:type="dxa" w:w="1512"/>
            <w:vAlign w:val="center"/>
          </w:tcPr>
          <w:p>
            <w:pPr>
              <w:spacing w:after="40"/>
            </w:pPr>
            <w:r>
              <w:rPr>
                <w:rFonts w:ascii="Arial" w:hAnsi="Arial"/>
                <w:sz w:val="17"/>
              </w:rPr>
              <w:t>Commercial project</w:t>
            </w:r>
          </w:p>
        </w:tc>
        <w:tc>
          <w:tcPr>
            <w:tcW w:type="dxa" w:w="1613"/>
            <w:vAlign w:val="center"/>
          </w:tcPr>
          <w:p>
            <w:pPr>
              <w:spacing w:after="40"/>
            </w:pPr>
            <w:r>
              <w:rPr>
                <w:rFonts w:ascii="Arial" w:hAnsi="Arial"/>
                <w:sz w:val="17"/>
              </w:rPr>
              <w:t>Formal pursuit and competitive bid</w:t>
            </w:r>
          </w:p>
        </w:tc>
        <w:tc>
          <w:tcPr>
            <w:tcW w:type="dxa" w:w="1944"/>
            <w:vAlign w:val="center"/>
          </w:tcPr>
          <w:p>
            <w:pPr>
              <w:spacing w:after="40"/>
            </w:pPr>
            <w:r>
              <w:rPr>
                <w:rFonts w:ascii="Arial" w:hAnsi="Arial"/>
                <w:sz w:val="17"/>
              </w:rPr>
              <w:t>Win executable, profitable work</w:t>
            </w:r>
          </w:p>
        </w:tc>
        <w:tc>
          <w:tcPr>
            <w:tcW w:type="dxa" w:w="1987"/>
            <w:vAlign w:val="center"/>
          </w:tcPr>
          <w:p>
            <w:pPr>
              <w:spacing w:after="40"/>
            </w:pPr>
            <w:r>
              <w:rPr>
                <w:rFonts w:ascii="Arial" w:hAnsi="Arial"/>
                <w:sz w:val="17"/>
              </w:rPr>
              <w:t>Bad-fit pursuits and estimating disconnect</w:t>
            </w:r>
          </w:p>
        </w:tc>
        <w:tc>
          <w:tcPr>
            <w:tcW w:type="dxa" w:w="2952"/>
            <w:vAlign w:val="center"/>
          </w:tcPr>
          <w:p>
            <w:pPr>
              <w:spacing w:after="40"/>
            </w:pPr>
            <w:r>
              <w:rPr>
                <w:rFonts w:ascii="Arial" w:hAnsi="Arial"/>
                <w:sz w:val="17"/>
              </w:rPr>
              <w:t>Early positioning, go or no-go, risk, differentiators, handoff</w:t>
            </w:r>
          </w:p>
        </w:tc>
      </w:tr>
    </w:tbl>
    <w:p>
      <w:pPr>
        <w:spacing w:after="40"/>
      </w:pPr>
    </w:p>
    <w:p>
      <w:pPr>
        <w:pStyle w:val="Heading1"/>
      </w:pPr>
      <w:r>
        <w:t>Residential Buyer Reality</w:t>
      </w:r>
    </w:p>
    <w:p>
      <w:r>
        <w:t>A homeowner is often evaluating two things at once: whether the proposed work is sound and whether the person or company can be trusted inside the home. Reviews, referrals, credentials, responsiveness, photos, warranties, and clear written scope act as risk-reduction evidence. Roofing survey data identifies referrals and online reviews as common trust measures, while BrightLocal shows that reviews remain widely used but are increasingly scrutinized for authenticity and recency. [8] [9]</w:t>
      </w:r>
    </w:p>
    <w:p>
      <w:r>
        <w:t>TRUSS should therefore treat proof as part of the sale, not as decoration. Proof must match the claim. A load calculation supports HVAC sizing. Photos and measurements support a roof or plumbing diagnosis. License, insurance, permits, manufacturer credentials, and a written workmanship warranty address execution risk. Testimonials alone cannot substitute for technical evidence.</w:t>
      </w:r>
    </w:p>
    <w:p>
      <w:pPr>
        <w:pStyle w:val="Heading2"/>
      </w:pPr>
      <w:r>
        <w:t>Residential Sales Process</w:t>
      </w:r>
    </w:p>
    <w:p>
      <w:pPr>
        <w:pStyle w:val="ListNumber"/>
      </w:pPr>
      <w:r>
        <w:t>Prepare. Review the lead source, stated problem, prior service history, equipment or property facts, known decision makers, and promised arrival window.</w:t>
      </w:r>
    </w:p>
    <w:p>
      <w:pPr>
        <w:pStyle w:val="ListNumber"/>
      </w:pPr>
      <w:r>
        <w:t>Set the first impression. Confirm identity, protect the home, restate the reason for the visit, explain what will happen, and ask permission to proceed.</w:t>
      </w:r>
    </w:p>
    <w:p>
      <w:pPr>
        <w:pStyle w:val="ListNumber"/>
      </w:pPr>
      <w:r>
        <w:t>Discover. Ask about symptoms, history, impact, prior attempts, desired outcome, timing, budget or payment constraints, and how the household will decide.</w:t>
      </w:r>
    </w:p>
    <w:p>
      <w:pPr>
        <w:pStyle w:val="ListNumber"/>
      </w:pPr>
      <w:r>
        <w:t>Inspect and document. Diagnose the system or project, gather measurements and images, distinguish verified facts from assumptions, and identify safety or code issues without exaggeration.</w:t>
      </w:r>
    </w:p>
    <w:p>
      <w:pPr>
        <w:pStyle w:val="ListNumber"/>
      </w:pPr>
      <w:r>
        <w:t>Confirm understanding. Summarize the problem, consequences, priorities, and constraints in the customer’s language. Correct misunderstandings before proposing work.</w:t>
      </w:r>
    </w:p>
    <w:p>
      <w:pPr>
        <w:pStyle w:val="ListNumber"/>
      </w:pPr>
      <w:r>
        <w:t>Build options. Create genuinely different scopes when appropriate. State what each option solves, what it does not solve, expected life or performance, warranty, timeline, and price.</w:t>
      </w:r>
    </w:p>
    <w:p>
      <w:pPr>
        <w:pStyle w:val="ListNumber"/>
      </w:pPr>
      <w:r>
        <w:t>Present and check. Explain the recommended path first, compare alternatives in plain language, invite questions, and use check-back questions to find unresolved uncertainty.</w:t>
      </w:r>
    </w:p>
    <w:p>
      <w:pPr>
        <w:pStyle w:val="ListNumber"/>
      </w:pPr>
      <w:r>
        <w:t>Ask for a decision. Use a direct, low-pressure next-step question. If the customer is not ready, identify the real barrier and agree on a specific follow-up.</w:t>
      </w:r>
    </w:p>
    <w:p>
      <w:pPr>
        <w:pStyle w:val="ListNumber"/>
      </w:pPr>
      <w:r>
        <w:t>Document and hand off. Record promises, exclusions, selected scope, payment terms, permits, cancellation rights, and operations handoff.</w:t>
      </w:r>
    </w:p>
    <w:p>
      <w:pPr>
        <w:pStyle w:val="ListNumber"/>
      </w:pPr>
      <w:r>
        <w:t>Follow through. Confirm scheduling, communicate changes, request feedback at the right moment, and preserve the relationship even when the buyer says no.</w:t>
      </w:r>
    </w:p>
    <w:p>
      <w:pPr>
        <w:pStyle w:val="Heading2"/>
      </w:pPr>
      <w:r>
        <w:t>Discovery Model for TRUSS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440"/>
            <w:shd w:fill="17324D"/>
            <w:vAlign w:val="center"/>
          </w:tcPr>
          <w:p>
            <w:r>
              <w:rPr>
                <w:b/>
                <w:color w:val="FFFFFF"/>
                <w:sz w:val="18"/>
              </w:rPr>
              <w:t>Question family</w:t>
            </w:r>
          </w:p>
        </w:tc>
        <w:tc>
          <w:tcPr>
            <w:tcW w:type="dxa" w:w="1728"/>
            <w:shd w:fill="17324D"/>
            <w:vAlign w:val="center"/>
          </w:tcPr>
          <w:p>
            <w:r>
              <w:rPr>
                <w:b/>
                <w:color w:val="FFFFFF"/>
                <w:sz w:val="18"/>
              </w:rPr>
              <w:t>Purpose</w:t>
            </w:r>
          </w:p>
        </w:tc>
        <w:tc>
          <w:tcPr>
            <w:tcW w:type="dxa" w:w="3600"/>
            <w:shd w:fill="17324D"/>
            <w:vAlign w:val="center"/>
          </w:tcPr>
          <w:p>
            <w:r>
              <w:rPr>
                <w:b/>
                <w:color w:val="FFFFFF"/>
                <w:sz w:val="18"/>
              </w:rPr>
              <w:t>Example</w:t>
            </w:r>
          </w:p>
        </w:tc>
        <w:tc>
          <w:tcPr>
            <w:tcW w:type="dxa" w:w="3168"/>
            <w:shd w:fill="17324D"/>
            <w:vAlign w:val="center"/>
          </w:tcPr>
          <w:p>
            <w:r>
              <w:rPr>
                <w:b/>
                <w:color w:val="FFFFFF"/>
                <w:sz w:val="18"/>
              </w:rPr>
              <w:t>Coach should flag</w:t>
            </w:r>
          </w:p>
        </w:tc>
      </w:tr>
      <w:tr>
        <w:tc>
          <w:tcPr>
            <w:tcW w:type="dxa" w:w="1440"/>
            <w:vAlign w:val="center"/>
          </w:tcPr>
          <w:p>
            <w:pPr>
              <w:spacing w:after="40"/>
            </w:pPr>
            <w:r>
              <w:rPr>
                <w:rFonts w:ascii="Arial" w:hAnsi="Arial"/>
                <w:sz w:val="17"/>
              </w:rPr>
              <w:t>Situation</w:t>
            </w:r>
          </w:p>
        </w:tc>
        <w:tc>
          <w:tcPr>
            <w:tcW w:type="dxa" w:w="1728"/>
            <w:vAlign w:val="center"/>
          </w:tcPr>
          <w:p>
            <w:pPr>
              <w:spacing w:after="40"/>
            </w:pPr>
            <w:r>
              <w:rPr>
                <w:rFonts w:ascii="Arial" w:hAnsi="Arial"/>
                <w:sz w:val="17"/>
              </w:rPr>
              <w:t>Establish relevant facts</w:t>
            </w:r>
          </w:p>
        </w:tc>
        <w:tc>
          <w:tcPr>
            <w:tcW w:type="dxa" w:w="3600"/>
            <w:vAlign w:val="center"/>
          </w:tcPr>
          <w:p>
            <w:pPr>
              <w:spacing w:after="40"/>
            </w:pPr>
            <w:r>
              <w:rPr>
                <w:rFonts w:ascii="Arial" w:hAnsi="Arial"/>
                <w:sz w:val="17"/>
              </w:rPr>
              <w:t>What changed, and when did you first notice it?</w:t>
            </w:r>
          </w:p>
        </w:tc>
        <w:tc>
          <w:tcPr>
            <w:tcW w:type="dxa" w:w="3168"/>
            <w:vAlign w:val="center"/>
          </w:tcPr>
          <w:p>
            <w:pPr>
              <w:spacing w:after="40"/>
            </w:pPr>
            <w:r>
              <w:rPr>
                <w:rFonts w:ascii="Arial" w:hAnsi="Arial"/>
                <w:sz w:val="17"/>
              </w:rPr>
              <w:t>Interrogation, obvious questions, or excessive fact gathering</w:t>
            </w:r>
          </w:p>
        </w:tc>
      </w:tr>
      <w:tr>
        <w:tc>
          <w:tcPr>
            <w:tcW w:type="dxa" w:w="1440"/>
            <w:vAlign w:val="center"/>
            <w:shd w:fill="F3F6F8"/>
          </w:tcPr>
          <w:p>
            <w:pPr>
              <w:spacing w:after="40"/>
            </w:pPr>
            <w:r>
              <w:rPr>
                <w:rFonts w:ascii="Arial" w:hAnsi="Arial"/>
                <w:sz w:val="17"/>
              </w:rPr>
              <w:t>Problem</w:t>
            </w:r>
          </w:p>
        </w:tc>
        <w:tc>
          <w:tcPr>
            <w:tcW w:type="dxa" w:w="1728"/>
            <w:vAlign w:val="center"/>
            <w:shd w:fill="F3F6F8"/>
          </w:tcPr>
          <w:p>
            <w:pPr>
              <w:spacing w:after="40"/>
            </w:pPr>
            <w:r>
              <w:rPr>
                <w:rFonts w:ascii="Arial" w:hAnsi="Arial"/>
                <w:sz w:val="17"/>
              </w:rPr>
              <w:t>Expose dissatisfaction or risk</w:t>
            </w:r>
          </w:p>
        </w:tc>
        <w:tc>
          <w:tcPr>
            <w:tcW w:type="dxa" w:w="3600"/>
            <w:vAlign w:val="center"/>
            <w:shd w:fill="F3F6F8"/>
          </w:tcPr>
          <w:p>
            <w:pPr>
              <w:spacing w:after="40"/>
            </w:pPr>
            <w:r>
              <w:rPr>
                <w:rFonts w:ascii="Arial" w:hAnsi="Arial"/>
                <w:sz w:val="17"/>
              </w:rPr>
              <w:t>Where is this causing the most disruption?</w:t>
            </w:r>
          </w:p>
        </w:tc>
        <w:tc>
          <w:tcPr>
            <w:tcW w:type="dxa" w:w="3168"/>
            <w:vAlign w:val="center"/>
            <w:shd w:fill="F3F6F8"/>
          </w:tcPr>
          <w:p>
            <w:pPr>
              <w:spacing w:after="40"/>
            </w:pPr>
            <w:r>
              <w:rPr>
                <w:rFonts w:ascii="Arial" w:hAnsi="Arial"/>
                <w:sz w:val="17"/>
              </w:rPr>
              <w:t>Leading the buyer or assuming pain</w:t>
            </w:r>
          </w:p>
        </w:tc>
      </w:tr>
      <w:tr>
        <w:tc>
          <w:tcPr>
            <w:tcW w:type="dxa" w:w="1440"/>
            <w:vAlign w:val="center"/>
          </w:tcPr>
          <w:p>
            <w:pPr>
              <w:spacing w:after="40"/>
            </w:pPr>
            <w:r>
              <w:rPr>
                <w:rFonts w:ascii="Arial" w:hAnsi="Arial"/>
                <w:sz w:val="17"/>
              </w:rPr>
              <w:t>Implication</w:t>
            </w:r>
          </w:p>
        </w:tc>
        <w:tc>
          <w:tcPr>
            <w:tcW w:type="dxa" w:w="1728"/>
            <w:vAlign w:val="center"/>
          </w:tcPr>
          <w:p>
            <w:pPr>
              <w:spacing w:after="40"/>
            </w:pPr>
            <w:r>
              <w:rPr>
                <w:rFonts w:ascii="Arial" w:hAnsi="Arial"/>
                <w:sz w:val="17"/>
              </w:rPr>
              <w:t>Clarify consequence</w:t>
            </w:r>
          </w:p>
        </w:tc>
        <w:tc>
          <w:tcPr>
            <w:tcW w:type="dxa" w:w="3600"/>
            <w:vAlign w:val="center"/>
          </w:tcPr>
          <w:p>
            <w:pPr>
              <w:spacing w:after="40"/>
            </w:pPr>
            <w:r>
              <w:rPr>
                <w:rFonts w:ascii="Arial" w:hAnsi="Arial"/>
                <w:sz w:val="17"/>
              </w:rPr>
              <w:t>If this continues through the next hot week, what happens?</w:t>
            </w:r>
          </w:p>
        </w:tc>
        <w:tc>
          <w:tcPr>
            <w:tcW w:type="dxa" w:w="3168"/>
            <w:vAlign w:val="center"/>
          </w:tcPr>
          <w:p>
            <w:pPr>
              <w:spacing w:after="40"/>
            </w:pPr>
            <w:r>
              <w:rPr>
                <w:rFonts w:ascii="Arial" w:hAnsi="Arial"/>
                <w:sz w:val="17"/>
              </w:rPr>
              <w:t>Fear inflation or unsupported catastrophe</w:t>
            </w:r>
          </w:p>
        </w:tc>
      </w:tr>
      <w:tr>
        <w:tc>
          <w:tcPr>
            <w:tcW w:type="dxa" w:w="1440"/>
            <w:vAlign w:val="center"/>
            <w:shd w:fill="F3F6F8"/>
          </w:tcPr>
          <w:p>
            <w:pPr>
              <w:spacing w:after="40"/>
            </w:pPr>
            <w:r>
              <w:rPr>
                <w:rFonts w:ascii="Arial" w:hAnsi="Arial"/>
                <w:sz w:val="17"/>
              </w:rPr>
              <w:t>Need and outcome</w:t>
            </w:r>
          </w:p>
        </w:tc>
        <w:tc>
          <w:tcPr>
            <w:tcW w:type="dxa" w:w="1728"/>
            <w:vAlign w:val="center"/>
            <w:shd w:fill="F3F6F8"/>
          </w:tcPr>
          <w:p>
            <w:pPr>
              <w:spacing w:after="40"/>
            </w:pPr>
            <w:r>
              <w:rPr>
                <w:rFonts w:ascii="Arial" w:hAnsi="Arial"/>
                <w:sz w:val="17"/>
              </w:rPr>
              <w:t>Define success</w:t>
            </w:r>
          </w:p>
        </w:tc>
        <w:tc>
          <w:tcPr>
            <w:tcW w:type="dxa" w:w="3600"/>
            <w:vAlign w:val="center"/>
            <w:shd w:fill="F3F6F8"/>
          </w:tcPr>
          <w:p>
            <w:pPr>
              <w:spacing w:after="40"/>
            </w:pPr>
            <w:r>
              <w:rPr>
                <w:rFonts w:ascii="Arial" w:hAnsi="Arial"/>
                <w:sz w:val="17"/>
              </w:rPr>
              <w:t>What would a good outcome look like six months from now?</w:t>
            </w:r>
          </w:p>
        </w:tc>
        <w:tc>
          <w:tcPr>
            <w:tcW w:type="dxa" w:w="3168"/>
            <w:vAlign w:val="center"/>
            <w:shd w:fill="F3F6F8"/>
          </w:tcPr>
          <w:p>
            <w:pPr>
              <w:spacing w:after="40"/>
            </w:pPr>
            <w:r>
              <w:rPr>
                <w:rFonts w:ascii="Arial" w:hAnsi="Arial"/>
                <w:sz w:val="17"/>
              </w:rPr>
              <w:t>Jumping straight to product features</w:t>
            </w:r>
          </w:p>
        </w:tc>
      </w:tr>
      <w:tr>
        <w:tc>
          <w:tcPr>
            <w:tcW w:type="dxa" w:w="1440"/>
            <w:vAlign w:val="center"/>
          </w:tcPr>
          <w:p>
            <w:pPr>
              <w:spacing w:after="40"/>
            </w:pPr>
            <w:r>
              <w:rPr>
                <w:rFonts w:ascii="Arial" w:hAnsi="Arial"/>
                <w:sz w:val="17"/>
              </w:rPr>
              <w:t>Decision</w:t>
            </w:r>
          </w:p>
        </w:tc>
        <w:tc>
          <w:tcPr>
            <w:tcW w:type="dxa" w:w="1728"/>
            <w:vAlign w:val="center"/>
          </w:tcPr>
          <w:p>
            <w:pPr>
              <w:spacing w:after="40"/>
            </w:pPr>
            <w:r>
              <w:rPr>
                <w:rFonts w:ascii="Arial" w:hAnsi="Arial"/>
                <w:sz w:val="17"/>
              </w:rPr>
              <w:t>Understand the path</w:t>
            </w:r>
          </w:p>
        </w:tc>
        <w:tc>
          <w:tcPr>
            <w:tcW w:type="dxa" w:w="3600"/>
            <w:vAlign w:val="center"/>
          </w:tcPr>
          <w:p>
            <w:pPr>
              <w:spacing w:after="40"/>
            </w:pPr>
            <w:r>
              <w:rPr>
                <w:rFonts w:ascii="Arial" w:hAnsi="Arial"/>
                <w:sz w:val="17"/>
              </w:rPr>
              <w:t>Who else needs to be comfortable with the plan?</w:t>
            </w:r>
          </w:p>
        </w:tc>
        <w:tc>
          <w:tcPr>
            <w:tcW w:type="dxa" w:w="3168"/>
            <w:vAlign w:val="center"/>
          </w:tcPr>
          <w:p>
            <w:pPr>
              <w:spacing w:after="40"/>
            </w:pPr>
            <w:r>
              <w:rPr>
                <w:rFonts w:ascii="Arial" w:hAnsi="Arial"/>
                <w:sz w:val="17"/>
              </w:rPr>
              <w:t>Manipulating absent decision makers</w:t>
            </w:r>
          </w:p>
        </w:tc>
      </w:tr>
      <w:tr>
        <w:tc>
          <w:tcPr>
            <w:tcW w:type="dxa" w:w="1440"/>
            <w:vAlign w:val="center"/>
            <w:shd w:fill="F3F6F8"/>
          </w:tcPr>
          <w:p>
            <w:pPr>
              <w:spacing w:after="40"/>
            </w:pPr>
            <w:r>
              <w:rPr>
                <w:rFonts w:ascii="Arial" w:hAnsi="Arial"/>
                <w:sz w:val="17"/>
              </w:rPr>
              <w:t>Constraint</w:t>
            </w:r>
          </w:p>
        </w:tc>
        <w:tc>
          <w:tcPr>
            <w:tcW w:type="dxa" w:w="1728"/>
            <w:vAlign w:val="center"/>
            <w:shd w:fill="F3F6F8"/>
          </w:tcPr>
          <w:p>
            <w:pPr>
              <w:spacing w:after="40"/>
            </w:pPr>
            <w:r>
              <w:rPr>
                <w:rFonts w:ascii="Arial" w:hAnsi="Arial"/>
                <w:sz w:val="17"/>
              </w:rPr>
              <w:t>Surface boundaries</w:t>
            </w:r>
          </w:p>
        </w:tc>
        <w:tc>
          <w:tcPr>
            <w:tcW w:type="dxa" w:w="3600"/>
            <w:vAlign w:val="center"/>
            <w:shd w:fill="F3F6F8"/>
          </w:tcPr>
          <w:p>
            <w:pPr>
              <w:spacing w:after="40"/>
            </w:pPr>
            <w:r>
              <w:rPr>
                <w:rFonts w:ascii="Arial" w:hAnsi="Arial"/>
                <w:sz w:val="17"/>
              </w:rPr>
              <w:t>Is timing, upfront cost, monthly payment, or disruption the biggest constraint?</w:t>
            </w:r>
          </w:p>
        </w:tc>
        <w:tc>
          <w:tcPr>
            <w:tcW w:type="dxa" w:w="3168"/>
            <w:vAlign w:val="center"/>
            <w:shd w:fill="F3F6F8"/>
          </w:tcPr>
          <w:p>
            <w:pPr>
              <w:spacing w:after="40"/>
            </w:pPr>
            <w:r>
              <w:rPr>
                <w:rFonts w:ascii="Arial" w:hAnsi="Arial"/>
                <w:sz w:val="17"/>
              </w:rPr>
              <w:t>Using budget questions to maximize price rather than fit</w:t>
            </w:r>
          </w:p>
        </w:tc>
      </w:tr>
    </w:tbl>
    <w:p>
      <w:pPr>
        <w:spacing w:after="40"/>
      </w:pPr>
    </w:p>
    <w:p>
      <w:r>
        <w:t>This structure borrows the logic of SPIN, which was developed from large-scale observation of sales calls, while adapting it to technical, in-home work. [24]</w:t>
      </w:r>
    </w:p>
    <w:p>
      <w:pPr>
        <w:pStyle w:val="Heading2"/>
      </w:pPr>
      <w:r>
        <w:t>Presenting Options Without Manipulation</w:t>
      </w:r>
    </w:p>
    <w:p>
      <w:pPr>
        <w:pStyle w:val="ListBullet"/>
      </w:pPr>
      <w:r>
        <w:t>Every option must be safe, legal, technically viable, and deliverable.</w:t>
      </w:r>
    </w:p>
    <w:p>
      <w:pPr>
        <w:pStyle w:val="ListBullet"/>
      </w:pPr>
      <w:r>
        <w:t>Differences must be material: scope, performance, longevity, risk transferred, warranty, convenience, or timing.</w:t>
      </w:r>
    </w:p>
    <w:p>
      <w:pPr>
        <w:pStyle w:val="ListBullet"/>
      </w:pPr>
      <w:r>
        <w:t>State exclusions and residual risk. A repair option should not be described as equivalent to replacement if it is not.</w:t>
      </w:r>
    </w:p>
    <w:p>
      <w:pPr>
        <w:pStyle w:val="ListBullet"/>
      </w:pPr>
      <w:r>
        <w:t>Recommend one option and explain why it fits the priorities the buyer stated.</w:t>
      </w:r>
    </w:p>
    <w:p>
      <w:pPr>
        <w:pStyle w:val="ListBullet"/>
      </w:pPr>
      <w:r>
        <w:t>Show full price and financing terms clearly. A monthly payment is context, not a substitute for total cost.</w:t>
      </w:r>
    </w:p>
    <w:p>
      <w:pPr>
        <w:pStyle w:val="ListBullet"/>
      </w:pPr>
      <w:r>
        <w:t>Do not create a fake premium anchor, false scarcity, unsupported savings claim, or misleading emergency.</w:t>
      </w:r>
    </w:p>
    <w:p>
      <w:pPr>
        <w:pStyle w:val="ListBullet"/>
      </w:pPr>
      <w:r>
        <w:t>Give the buyer a clean way to pause, compare, or decline.</w:t>
      </w:r>
    </w:p>
    <w:p>
      <w:pPr>
        <w:pStyle w:val="Heading1"/>
      </w:pPr>
      <w:r>
        <w:t>Trade Specific Coaching Differences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c>
          <w:tcPr>
            <w:tcW w:type="dxa" w:w="1152"/>
            <w:shd w:fill="17324D"/>
            <w:vAlign w:val="center"/>
          </w:tcPr>
          <w:p>
            <w:r>
              <w:rPr>
                <w:b/>
                <w:color w:val="FFFFFF"/>
                <w:sz w:val="18"/>
              </w:rPr>
              <w:t>Trade</w:t>
            </w:r>
          </w:p>
        </w:tc>
        <w:tc>
          <w:tcPr>
            <w:tcW w:type="dxa" w:w="2304"/>
            <w:shd w:fill="17324D"/>
            <w:vAlign w:val="center"/>
          </w:tcPr>
          <w:p>
            <w:r>
              <w:rPr>
                <w:b/>
                <w:color w:val="FFFFFF"/>
                <w:sz w:val="18"/>
              </w:rPr>
              <w:t>Discovery priorities</w:t>
            </w:r>
          </w:p>
        </w:tc>
        <w:tc>
          <w:tcPr>
            <w:tcW w:type="dxa" w:w="2520"/>
            <w:shd w:fill="17324D"/>
            <w:vAlign w:val="center"/>
          </w:tcPr>
          <w:p>
            <w:r>
              <w:rPr>
                <w:b/>
                <w:color w:val="FFFFFF"/>
                <w:sz w:val="18"/>
              </w:rPr>
              <w:t>Proof and explanation</w:t>
            </w:r>
          </w:p>
        </w:tc>
        <w:tc>
          <w:tcPr>
            <w:tcW w:type="dxa" w:w="1944"/>
            <w:shd w:fill="17324D"/>
            <w:vAlign w:val="center"/>
          </w:tcPr>
          <w:p>
            <w:r>
              <w:rPr>
                <w:b/>
                <w:color w:val="FFFFFF"/>
                <w:sz w:val="18"/>
              </w:rPr>
              <w:t>Common objections</w:t>
            </w:r>
          </w:p>
        </w:tc>
        <w:tc>
          <w:tcPr>
            <w:tcW w:type="dxa" w:w="1944"/>
            <w:shd w:fill="17324D"/>
            <w:vAlign w:val="center"/>
          </w:tcPr>
          <w:p>
            <w:r>
              <w:rPr>
                <w:b/>
                <w:color w:val="FFFFFF"/>
                <w:sz w:val="18"/>
              </w:rPr>
              <w:t>Do not coach</w:t>
            </w:r>
          </w:p>
        </w:tc>
      </w:tr>
      <w:tr>
        <w:tc>
          <w:tcPr>
            <w:tcW w:type="dxa" w:w="1152"/>
            <w:vAlign w:val="center"/>
          </w:tcPr>
          <w:p>
            <w:pPr>
              <w:spacing w:after="40"/>
            </w:pPr>
            <w:r>
              <w:rPr>
                <w:rFonts w:ascii="Arial" w:hAnsi="Arial"/>
                <w:sz w:val="17"/>
              </w:rPr>
              <w:t>HVAC</w:t>
            </w:r>
          </w:p>
        </w:tc>
        <w:tc>
          <w:tcPr>
            <w:tcW w:type="dxa" w:w="2304"/>
            <w:vAlign w:val="center"/>
          </w:tcPr>
          <w:p>
            <w:pPr>
              <w:spacing w:after="40"/>
            </w:pPr>
            <w:r>
              <w:rPr>
                <w:rFonts w:ascii="Arial" w:hAnsi="Arial"/>
                <w:sz w:val="17"/>
              </w:rPr>
              <w:t>Comfort, rooms affected, energy use, humidity, noise, health, equipment history</w:t>
            </w:r>
          </w:p>
        </w:tc>
        <w:tc>
          <w:tcPr>
            <w:tcW w:type="dxa" w:w="2520"/>
            <w:vAlign w:val="center"/>
          </w:tcPr>
          <w:p>
            <w:pPr>
              <w:spacing w:after="40"/>
            </w:pPr>
            <w:r>
              <w:rPr>
                <w:rFonts w:ascii="Arial" w:hAnsi="Arial"/>
                <w:sz w:val="17"/>
              </w:rPr>
              <w:t>Load sizing, airflow, duct condition, matched equipment, operating assumptions</w:t>
            </w:r>
          </w:p>
        </w:tc>
        <w:tc>
          <w:tcPr>
            <w:tcW w:type="dxa" w:w="1944"/>
            <w:vAlign w:val="center"/>
          </w:tcPr>
          <w:p>
            <w:pPr>
              <w:spacing w:after="40"/>
            </w:pPr>
            <w:r>
              <w:rPr>
                <w:rFonts w:ascii="Arial" w:hAnsi="Arial"/>
                <w:sz w:val="17"/>
              </w:rPr>
              <w:t>Price, repair versus replace, efficiency payback, brand</w:t>
            </w:r>
          </w:p>
        </w:tc>
        <w:tc>
          <w:tcPr>
            <w:tcW w:type="dxa" w:w="1944"/>
            <w:vAlign w:val="center"/>
          </w:tcPr>
          <w:p>
            <w:pPr>
              <w:spacing w:after="40"/>
            </w:pPr>
            <w:r>
              <w:rPr>
                <w:rFonts w:ascii="Arial" w:hAnsi="Arial"/>
                <w:sz w:val="17"/>
              </w:rPr>
              <w:t>Rules of thumb as certainty; guaranteed utility savings</w:t>
            </w:r>
          </w:p>
        </w:tc>
      </w:tr>
      <w:tr>
        <w:tc>
          <w:tcPr>
            <w:tcW w:type="dxa" w:w="1152"/>
            <w:vAlign w:val="center"/>
            <w:shd w:fill="F3F6F8"/>
          </w:tcPr>
          <w:p>
            <w:pPr>
              <w:spacing w:after="40"/>
            </w:pPr>
            <w:r>
              <w:rPr>
                <w:rFonts w:ascii="Arial" w:hAnsi="Arial"/>
                <w:sz w:val="17"/>
              </w:rPr>
              <w:t>Plumbing</w:t>
            </w:r>
          </w:p>
        </w:tc>
        <w:tc>
          <w:tcPr>
            <w:tcW w:type="dxa" w:w="2304"/>
            <w:vAlign w:val="center"/>
            <w:shd w:fill="F3F6F8"/>
          </w:tcPr>
          <w:p>
            <w:pPr>
              <w:spacing w:after="40"/>
            </w:pPr>
            <w:r>
              <w:rPr>
                <w:rFonts w:ascii="Arial" w:hAnsi="Arial"/>
                <w:sz w:val="17"/>
              </w:rPr>
              <w:t>Location, recurrence, damage, water quality, pressure, access, shutdown impact</w:t>
            </w:r>
          </w:p>
        </w:tc>
        <w:tc>
          <w:tcPr>
            <w:tcW w:type="dxa" w:w="2520"/>
            <w:vAlign w:val="center"/>
            <w:shd w:fill="F3F6F8"/>
          </w:tcPr>
          <w:p>
            <w:pPr>
              <w:spacing w:after="40"/>
            </w:pPr>
            <w:r>
              <w:rPr>
                <w:rFonts w:ascii="Arial" w:hAnsi="Arial"/>
                <w:sz w:val="17"/>
              </w:rPr>
              <w:t>Camera images, readings, failed component, code and access implications</w:t>
            </w:r>
          </w:p>
        </w:tc>
        <w:tc>
          <w:tcPr>
            <w:tcW w:type="dxa" w:w="1944"/>
            <w:vAlign w:val="center"/>
            <w:shd w:fill="F3F6F8"/>
          </w:tcPr>
          <w:p>
            <w:pPr>
              <w:spacing w:after="40"/>
            </w:pPr>
            <w:r>
              <w:rPr>
                <w:rFonts w:ascii="Arial" w:hAnsi="Arial"/>
                <w:sz w:val="17"/>
              </w:rPr>
              <w:t>Why full replacement, disruption, restoration, price</w:t>
            </w:r>
          </w:p>
        </w:tc>
        <w:tc>
          <w:tcPr>
            <w:tcW w:type="dxa" w:w="1944"/>
            <w:vAlign w:val="center"/>
            <w:shd w:fill="F3F6F8"/>
          </w:tcPr>
          <w:p>
            <w:pPr>
              <w:spacing w:after="40"/>
            </w:pPr>
            <w:r>
              <w:rPr>
                <w:rFonts w:ascii="Arial" w:hAnsi="Arial"/>
                <w:sz w:val="17"/>
              </w:rPr>
              <w:t>Catastrophizing leaks or sewer conditions</w:t>
            </w:r>
          </w:p>
        </w:tc>
      </w:tr>
      <w:tr>
        <w:tc>
          <w:tcPr>
            <w:tcW w:type="dxa" w:w="1152"/>
            <w:vAlign w:val="center"/>
          </w:tcPr>
          <w:p>
            <w:pPr>
              <w:spacing w:after="40"/>
            </w:pPr>
            <w:r>
              <w:rPr>
                <w:rFonts w:ascii="Arial" w:hAnsi="Arial"/>
                <w:sz w:val="17"/>
              </w:rPr>
              <w:t>Electrical</w:t>
            </w:r>
          </w:p>
        </w:tc>
        <w:tc>
          <w:tcPr>
            <w:tcW w:type="dxa" w:w="2304"/>
            <w:vAlign w:val="center"/>
          </w:tcPr>
          <w:p>
            <w:pPr>
              <w:spacing w:after="40"/>
            </w:pPr>
            <w:r>
              <w:rPr>
                <w:rFonts w:ascii="Arial" w:hAnsi="Arial"/>
                <w:sz w:val="17"/>
              </w:rPr>
              <w:t>Symptoms, load needs, safety, remodel plans, nuisance trips, future equipment</w:t>
            </w:r>
          </w:p>
        </w:tc>
        <w:tc>
          <w:tcPr>
            <w:tcW w:type="dxa" w:w="2520"/>
            <w:vAlign w:val="center"/>
          </w:tcPr>
          <w:p>
            <w:pPr>
              <w:spacing w:after="40"/>
            </w:pPr>
            <w:r>
              <w:rPr>
                <w:rFonts w:ascii="Arial" w:hAnsi="Arial"/>
                <w:sz w:val="17"/>
              </w:rPr>
              <w:t>Measurements, panel and circuit facts, code basis, permit and inspection path</w:t>
            </w:r>
          </w:p>
        </w:tc>
        <w:tc>
          <w:tcPr>
            <w:tcW w:type="dxa" w:w="1944"/>
            <w:vAlign w:val="center"/>
          </w:tcPr>
          <w:p>
            <w:pPr>
              <w:spacing w:after="40"/>
            </w:pPr>
            <w:r>
              <w:rPr>
                <w:rFonts w:ascii="Arial" w:hAnsi="Arial"/>
                <w:sz w:val="17"/>
              </w:rPr>
              <w:t>Urgency, panel scope, alternatives, price</w:t>
            </w:r>
          </w:p>
        </w:tc>
        <w:tc>
          <w:tcPr>
            <w:tcW w:type="dxa" w:w="1944"/>
            <w:vAlign w:val="center"/>
          </w:tcPr>
          <w:p>
            <w:pPr>
              <w:spacing w:after="40"/>
            </w:pPr>
            <w:r>
              <w:rPr>
                <w:rFonts w:ascii="Arial" w:hAnsi="Arial"/>
                <w:sz w:val="17"/>
              </w:rPr>
              <w:t>Unsupported fire claims or code claims</w:t>
            </w:r>
          </w:p>
        </w:tc>
      </w:tr>
      <w:tr>
        <w:tc>
          <w:tcPr>
            <w:tcW w:type="dxa" w:w="1152"/>
            <w:vAlign w:val="center"/>
            <w:shd w:fill="F3F6F8"/>
          </w:tcPr>
          <w:p>
            <w:pPr>
              <w:spacing w:after="40"/>
            </w:pPr>
            <w:r>
              <w:rPr>
                <w:rFonts w:ascii="Arial" w:hAnsi="Arial"/>
                <w:sz w:val="17"/>
              </w:rPr>
              <w:t>Roofing</w:t>
            </w:r>
          </w:p>
        </w:tc>
        <w:tc>
          <w:tcPr>
            <w:tcW w:type="dxa" w:w="2304"/>
            <w:vAlign w:val="center"/>
            <w:shd w:fill="F3F6F8"/>
          </w:tcPr>
          <w:p>
            <w:pPr>
              <w:spacing w:after="40"/>
            </w:pPr>
            <w:r>
              <w:rPr>
                <w:rFonts w:ascii="Arial" w:hAnsi="Arial"/>
                <w:sz w:val="17"/>
              </w:rPr>
              <w:t>Leak history, storm timing, roof age, interior impact, insurance status, long-term plans</w:t>
            </w:r>
          </w:p>
        </w:tc>
        <w:tc>
          <w:tcPr>
            <w:tcW w:type="dxa" w:w="2520"/>
            <w:vAlign w:val="center"/>
            <w:shd w:fill="F3F6F8"/>
          </w:tcPr>
          <w:p>
            <w:pPr>
              <w:spacing w:after="40"/>
            </w:pPr>
            <w:r>
              <w:rPr>
                <w:rFonts w:ascii="Arial" w:hAnsi="Arial"/>
                <w:sz w:val="17"/>
              </w:rPr>
              <w:t>Photos, measurements, material condition, ventilation, flashing, scope and exclusions</w:t>
            </w:r>
          </w:p>
        </w:tc>
        <w:tc>
          <w:tcPr>
            <w:tcW w:type="dxa" w:w="1944"/>
            <w:vAlign w:val="center"/>
            <w:shd w:fill="F3F6F8"/>
          </w:tcPr>
          <w:p>
            <w:pPr>
              <w:spacing w:after="40"/>
            </w:pPr>
            <w:r>
              <w:rPr>
                <w:rFonts w:ascii="Arial" w:hAnsi="Arial"/>
                <w:sz w:val="17"/>
              </w:rPr>
              <w:t>Insurance, deductible, repair versus replace, contractor trust</w:t>
            </w:r>
          </w:p>
        </w:tc>
        <w:tc>
          <w:tcPr>
            <w:tcW w:type="dxa" w:w="1944"/>
            <w:vAlign w:val="center"/>
            <w:shd w:fill="F3F6F8"/>
          </w:tcPr>
          <w:p>
            <w:pPr>
              <w:spacing w:after="40"/>
            </w:pPr>
            <w:r>
              <w:rPr>
                <w:rFonts w:ascii="Arial" w:hAnsi="Arial"/>
                <w:sz w:val="17"/>
              </w:rPr>
              <w:t>Promising coverage, waiving deductibles where prohibited, manufactured damage</w:t>
            </w:r>
          </w:p>
        </w:tc>
      </w:tr>
      <w:tr>
        <w:tc>
          <w:tcPr>
            <w:tcW w:type="dxa" w:w="1152"/>
            <w:vAlign w:val="center"/>
          </w:tcPr>
          <w:p>
            <w:pPr>
              <w:spacing w:after="40"/>
            </w:pPr>
            <w:r>
              <w:rPr>
                <w:rFonts w:ascii="Arial" w:hAnsi="Arial"/>
                <w:sz w:val="17"/>
              </w:rPr>
              <w:t>Remodeling</w:t>
            </w:r>
          </w:p>
        </w:tc>
        <w:tc>
          <w:tcPr>
            <w:tcW w:type="dxa" w:w="2304"/>
            <w:vAlign w:val="center"/>
          </w:tcPr>
          <w:p>
            <w:pPr>
              <w:spacing w:after="40"/>
            </w:pPr>
            <w:r>
              <w:rPr>
                <w:rFonts w:ascii="Arial" w:hAnsi="Arial"/>
                <w:sz w:val="17"/>
              </w:rPr>
              <w:t>Vision, function, priorities, finishes, household disruption, budget range, timeline</w:t>
            </w:r>
          </w:p>
        </w:tc>
        <w:tc>
          <w:tcPr>
            <w:tcW w:type="dxa" w:w="2520"/>
            <w:vAlign w:val="center"/>
          </w:tcPr>
          <w:p>
            <w:pPr>
              <w:spacing w:after="40"/>
            </w:pPr>
            <w:r>
              <w:rPr>
                <w:rFonts w:ascii="Arial" w:hAnsi="Arial"/>
                <w:sz w:val="17"/>
              </w:rPr>
              <w:t>Portfolio relevance, design process, allowances, schedule, change-order method</w:t>
            </w:r>
          </w:p>
        </w:tc>
        <w:tc>
          <w:tcPr>
            <w:tcW w:type="dxa" w:w="1944"/>
            <w:vAlign w:val="center"/>
          </w:tcPr>
          <w:p>
            <w:pPr>
              <w:spacing w:after="40"/>
            </w:pPr>
            <w:r>
              <w:rPr>
                <w:rFonts w:ascii="Arial" w:hAnsi="Arial"/>
                <w:sz w:val="17"/>
              </w:rPr>
              <w:t>Budget, uncertainty, timeline, comparison bids</w:t>
            </w:r>
          </w:p>
        </w:tc>
        <w:tc>
          <w:tcPr>
            <w:tcW w:type="dxa" w:w="1944"/>
            <w:vAlign w:val="center"/>
          </w:tcPr>
          <w:p>
            <w:pPr>
              <w:spacing w:after="40"/>
            </w:pPr>
            <w:r>
              <w:rPr>
                <w:rFonts w:ascii="Arial" w:hAnsi="Arial"/>
                <w:sz w:val="17"/>
              </w:rPr>
              <w:t>Lowball scope that depends on later change orders</w:t>
            </w:r>
          </w:p>
        </w:tc>
      </w:tr>
      <w:tr>
        <w:tc>
          <w:tcPr>
            <w:tcW w:type="dxa" w:w="1152"/>
            <w:vAlign w:val="center"/>
            <w:shd w:fill="F3F6F8"/>
          </w:tcPr>
          <w:p>
            <w:pPr>
              <w:spacing w:after="40"/>
            </w:pPr>
            <w:r>
              <w:rPr>
                <w:rFonts w:ascii="Arial" w:hAnsi="Arial"/>
                <w:sz w:val="17"/>
              </w:rPr>
              <w:t>Landscaping and outdoor</w:t>
            </w:r>
          </w:p>
        </w:tc>
        <w:tc>
          <w:tcPr>
            <w:tcW w:type="dxa" w:w="2304"/>
            <w:vAlign w:val="center"/>
            <w:shd w:fill="F3F6F8"/>
          </w:tcPr>
          <w:p>
            <w:pPr>
              <w:spacing w:after="40"/>
            </w:pPr>
            <w:r>
              <w:rPr>
                <w:rFonts w:ascii="Arial" w:hAnsi="Arial"/>
                <w:sz w:val="17"/>
              </w:rPr>
              <w:t>Use, drainage, maintenance tolerance, seasonality, aesthetics, access</w:t>
            </w:r>
          </w:p>
        </w:tc>
        <w:tc>
          <w:tcPr>
            <w:tcW w:type="dxa" w:w="2520"/>
            <w:vAlign w:val="center"/>
            <w:shd w:fill="F3F6F8"/>
          </w:tcPr>
          <w:p>
            <w:pPr>
              <w:spacing w:after="40"/>
            </w:pPr>
            <w:r>
              <w:rPr>
                <w:rFonts w:ascii="Arial" w:hAnsi="Arial"/>
                <w:sz w:val="17"/>
              </w:rPr>
              <w:t>Site plan, drainage logic, plant or material suitability, maintenance needs</w:t>
            </w:r>
          </w:p>
        </w:tc>
        <w:tc>
          <w:tcPr>
            <w:tcW w:type="dxa" w:w="1944"/>
            <w:vAlign w:val="center"/>
            <w:shd w:fill="F3F6F8"/>
          </w:tcPr>
          <w:p>
            <w:pPr>
              <w:spacing w:after="40"/>
            </w:pPr>
            <w:r>
              <w:rPr>
                <w:rFonts w:ascii="Arial" w:hAnsi="Arial"/>
                <w:sz w:val="17"/>
              </w:rPr>
              <w:t>Price, upkeep, phased work</w:t>
            </w:r>
          </w:p>
        </w:tc>
        <w:tc>
          <w:tcPr>
            <w:tcW w:type="dxa" w:w="1944"/>
            <w:vAlign w:val="center"/>
            <w:shd w:fill="F3F6F8"/>
          </w:tcPr>
          <w:p>
            <w:pPr>
              <w:spacing w:after="40"/>
            </w:pPr>
            <w:r>
              <w:rPr>
                <w:rFonts w:ascii="Arial" w:hAnsi="Arial"/>
                <w:sz w:val="17"/>
              </w:rPr>
              <w:t>Ignoring long-term maintenance or site constraints</w:t>
            </w:r>
          </w:p>
        </w:tc>
      </w:tr>
      <w:tr>
        <w:tc>
          <w:tcPr>
            <w:tcW w:type="dxa" w:w="1152"/>
            <w:vAlign w:val="center"/>
          </w:tcPr>
          <w:p>
            <w:pPr>
              <w:spacing w:after="40"/>
            </w:pPr>
            <w:r>
              <w:rPr>
                <w:rFonts w:ascii="Arial" w:hAnsi="Arial"/>
                <w:sz w:val="17"/>
              </w:rPr>
              <w:t>Pest and recurring service</w:t>
            </w:r>
          </w:p>
        </w:tc>
        <w:tc>
          <w:tcPr>
            <w:tcW w:type="dxa" w:w="2304"/>
            <w:vAlign w:val="center"/>
          </w:tcPr>
          <w:p>
            <w:pPr>
              <w:spacing w:after="40"/>
            </w:pPr>
            <w:r>
              <w:rPr>
                <w:rFonts w:ascii="Arial" w:hAnsi="Arial"/>
                <w:sz w:val="17"/>
              </w:rPr>
              <w:t>Evidence, severity, entry points, occupants, pets, prior treatment</w:t>
            </w:r>
          </w:p>
        </w:tc>
        <w:tc>
          <w:tcPr>
            <w:tcW w:type="dxa" w:w="2520"/>
            <w:vAlign w:val="center"/>
          </w:tcPr>
          <w:p>
            <w:pPr>
              <w:spacing w:after="40"/>
            </w:pPr>
            <w:r>
              <w:rPr>
                <w:rFonts w:ascii="Arial" w:hAnsi="Arial"/>
                <w:sz w:val="17"/>
              </w:rPr>
              <w:t>Inspection findings, treatment plan, limitations, visit cadence</w:t>
            </w:r>
          </w:p>
        </w:tc>
        <w:tc>
          <w:tcPr>
            <w:tcW w:type="dxa" w:w="1944"/>
            <w:vAlign w:val="center"/>
          </w:tcPr>
          <w:p>
            <w:pPr>
              <w:spacing w:after="40"/>
            </w:pPr>
            <w:r>
              <w:rPr>
                <w:rFonts w:ascii="Arial" w:hAnsi="Arial"/>
                <w:sz w:val="17"/>
              </w:rPr>
              <w:t>Contract term, safety, recurrence</w:t>
            </w:r>
          </w:p>
        </w:tc>
        <w:tc>
          <w:tcPr>
            <w:tcW w:type="dxa" w:w="1944"/>
            <w:vAlign w:val="center"/>
          </w:tcPr>
          <w:p>
            <w:pPr>
              <w:spacing w:after="40"/>
            </w:pPr>
            <w:r>
              <w:rPr>
                <w:rFonts w:ascii="Arial" w:hAnsi="Arial"/>
                <w:sz w:val="17"/>
              </w:rPr>
              <w:t>Guaranteed eradication when conditions make it uncertain</w:t>
            </w:r>
          </w:p>
        </w:tc>
      </w:tr>
    </w:tbl>
    <w:p>
      <w:pPr>
        <w:spacing w:after="40"/>
      </w:pPr>
    </w:p>
    <w:p>
      <w:pPr>
        <w:pStyle w:val="Heading1"/>
      </w:pPr>
      <w:r>
        <w:t>The Front Office Sales Layer</w:t>
      </w:r>
    </w:p>
    <w:p>
      <w:r>
        <w:t>A booked appointment is a conversion event. ServiceTitan reported a 42 percent average booking rate across a cited dataset of trade businesses, which means substantial revenue can be lost before a technician or salesperson is dispatched. [1] TRUSS should coach call handlers on responsiveness, empathy, control of the call, problem capture, expectation setting, and a clear appointment 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512"/>
            <w:shd w:fill="17324D"/>
            <w:vAlign w:val="center"/>
          </w:tcPr>
          <w:p>
            <w:r>
              <w:rPr>
                <w:b/>
                <w:color w:val="FFFFFF"/>
                <w:sz w:val="18"/>
              </w:rPr>
              <w:t>Stage</w:t>
            </w:r>
          </w:p>
        </w:tc>
        <w:tc>
          <w:tcPr>
            <w:tcW w:type="dxa" w:w="5976"/>
            <w:shd w:fill="17324D"/>
            <w:vAlign w:val="center"/>
          </w:tcPr>
          <w:p>
            <w:r>
              <w:rPr>
                <w:b/>
                <w:color w:val="FFFFFF"/>
                <w:sz w:val="18"/>
              </w:rPr>
              <w:t>Observable behavior</w:t>
            </w:r>
          </w:p>
        </w:tc>
        <w:tc>
          <w:tcPr>
            <w:tcW w:type="dxa" w:w="2520"/>
            <w:shd w:fill="17324D"/>
            <w:vAlign w:val="center"/>
          </w:tcPr>
          <w:p>
            <w:r>
              <w:rPr>
                <w:b/>
                <w:color w:val="FFFFFF"/>
                <w:sz w:val="18"/>
              </w:rPr>
              <w:t>Core metric</w:t>
            </w:r>
          </w:p>
        </w:tc>
      </w:tr>
      <w:tr>
        <w:tc>
          <w:tcPr>
            <w:tcW w:type="dxa" w:w="1512"/>
            <w:vAlign w:val="center"/>
          </w:tcPr>
          <w:p>
            <w:pPr>
              <w:spacing w:after="40"/>
            </w:pPr>
            <w:r>
              <w:rPr>
                <w:rFonts w:ascii="Arial" w:hAnsi="Arial"/>
                <w:sz w:val="17"/>
              </w:rPr>
              <w:t>Lead response</w:t>
            </w:r>
          </w:p>
        </w:tc>
        <w:tc>
          <w:tcPr>
            <w:tcW w:type="dxa" w:w="5976"/>
            <w:vAlign w:val="center"/>
          </w:tcPr>
          <w:p>
            <w:pPr>
              <w:spacing w:after="40"/>
            </w:pPr>
            <w:r>
              <w:rPr>
                <w:rFonts w:ascii="Arial" w:hAnsi="Arial"/>
                <w:sz w:val="17"/>
              </w:rPr>
              <w:t>Answers or returns contact quickly and uses the customer’s preferred channel</w:t>
            </w:r>
          </w:p>
        </w:tc>
        <w:tc>
          <w:tcPr>
            <w:tcW w:type="dxa" w:w="2520"/>
            <w:vAlign w:val="center"/>
          </w:tcPr>
          <w:p>
            <w:pPr>
              <w:spacing w:after="40"/>
            </w:pPr>
            <w:r>
              <w:rPr>
                <w:rFonts w:ascii="Arial" w:hAnsi="Arial"/>
                <w:sz w:val="17"/>
              </w:rPr>
              <w:t>Speed to first response and contact rate</w:t>
            </w:r>
          </w:p>
        </w:tc>
      </w:tr>
      <w:tr>
        <w:tc>
          <w:tcPr>
            <w:tcW w:type="dxa" w:w="1512"/>
            <w:vAlign w:val="center"/>
            <w:shd w:fill="F3F6F8"/>
          </w:tcPr>
          <w:p>
            <w:pPr>
              <w:spacing w:after="40"/>
            </w:pPr>
            <w:r>
              <w:rPr>
                <w:rFonts w:ascii="Arial" w:hAnsi="Arial"/>
                <w:sz w:val="17"/>
              </w:rPr>
              <w:t>Call handling</w:t>
            </w:r>
          </w:p>
        </w:tc>
        <w:tc>
          <w:tcPr>
            <w:tcW w:type="dxa" w:w="5976"/>
            <w:vAlign w:val="center"/>
            <w:shd w:fill="F3F6F8"/>
          </w:tcPr>
          <w:p>
            <w:pPr>
              <w:spacing w:after="40"/>
            </w:pPr>
            <w:r>
              <w:rPr>
                <w:rFonts w:ascii="Arial" w:hAnsi="Arial"/>
                <w:sz w:val="17"/>
              </w:rPr>
              <w:t>Confirms need, location, urgency, eligibility, and next step without overdiagnosing</w:t>
            </w:r>
          </w:p>
        </w:tc>
        <w:tc>
          <w:tcPr>
            <w:tcW w:type="dxa" w:w="2520"/>
            <w:vAlign w:val="center"/>
            <w:shd w:fill="F3F6F8"/>
          </w:tcPr>
          <w:p>
            <w:pPr>
              <w:spacing w:after="40"/>
            </w:pPr>
            <w:r>
              <w:rPr>
                <w:rFonts w:ascii="Arial" w:hAnsi="Arial"/>
                <w:sz w:val="17"/>
              </w:rPr>
              <w:t>Qualified call to booked appointment</w:t>
            </w:r>
          </w:p>
        </w:tc>
      </w:tr>
      <w:tr>
        <w:tc>
          <w:tcPr>
            <w:tcW w:type="dxa" w:w="1512"/>
            <w:vAlign w:val="center"/>
          </w:tcPr>
          <w:p>
            <w:pPr>
              <w:spacing w:after="40"/>
            </w:pPr>
            <w:r>
              <w:rPr>
                <w:rFonts w:ascii="Arial" w:hAnsi="Arial"/>
                <w:sz w:val="17"/>
              </w:rPr>
              <w:t>Scheduling</w:t>
            </w:r>
          </w:p>
        </w:tc>
        <w:tc>
          <w:tcPr>
            <w:tcW w:type="dxa" w:w="5976"/>
            <w:vAlign w:val="center"/>
          </w:tcPr>
          <w:p>
            <w:pPr>
              <w:spacing w:after="40"/>
            </w:pPr>
            <w:r>
              <w:rPr>
                <w:rFonts w:ascii="Arial" w:hAnsi="Arial"/>
                <w:sz w:val="17"/>
              </w:rPr>
              <w:t>Offers realistic windows and explains fees and preparation</w:t>
            </w:r>
          </w:p>
        </w:tc>
        <w:tc>
          <w:tcPr>
            <w:tcW w:type="dxa" w:w="2520"/>
            <w:vAlign w:val="center"/>
          </w:tcPr>
          <w:p>
            <w:pPr>
              <w:spacing w:after="40"/>
            </w:pPr>
            <w:r>
              <w:rPr>
                <w:rFonts w:ascii="Arial" w:hAnsi="Arial"/>
                <w:sz w:val="17"/>
              </w:rPr>
              <w:t>Booking rate and cancellation rate</w:t>
            </w:r>
          </w:p>
        </w:tc>
      </w:tr>
      <w:tr>
        <w:tc>
          <w:tcPr>
            <w:tcW w:type="dxa" w:w="1512"/>
            <w:vAlign w:val="center"/>
            <w:shd w:fill="F3F6F8"/>
          </w:tcPr>
          <w:p>
            <w:pPr>
              <w:spacing w:after="40"/>
            </w:pPr>
            <w:r>
              <w:rPr>
                <w:rFonts w:ascii="Arial" w:hAnsi="Arial"/>
                <w:sz w:val="17"/>
              </w:rPr>
              <w:t>Pre-arrival</w:t>
            </w:r>
          </w:p>
        </w:tc>
        <w:tc>
          <w:tcPr>
            <w:tcW w:type="dxa" w:w="5976"/>
            <w:vAlign w:val="center"/>
            <w:shd w:fill="F3F6F8"/>
          </w:tcPr>
          <w:p>
            <w:pPr>
              <w:spacing w:after="40"/>
            </w:pPr>
            <w:r>
              <w:rPr>
                <w:rFonts w:ascii="Arial" w:hAnsi="Arial"/>
                <w:sz w:val="17"/>
              </w:rPr>
              <w:t>Confirms appointment and technician identity; updates delays</w:t>
            </w:r>
          </w:p>
        </w:tc>
        <w:tc>
          <w:tcPr>
            <w:tcW w:type="dxa" w:w="2520"/>
            <w:vAlign w:val="center"/>
            <w:shd w:fill="F3F6F8"/>
          </w:tcPr>
          <w:p>
            <w:pPr>
              <w:spacing w:after="40"/>
            </w:pPr>
            <w:r>
              <w:rPr>
                <w:rFonts w:ascii="Arial" w:hAnsi="Arial"/>
                <w:sz w:val="17"/>
              </w:rPr>
              <w:t>Show rate and reschedule rate</w:t>
            </w:r>
          </w:p>
        </w:tc>
      </w:tr>
      <w:tr>
        <w:tc>
          <w:tcPr>
            <w:tcW w:type="dxa" w:w="1512"/>
            <w:vAlign w:val="center"/>
          </w:tcPr>
          <w:p>
            <w:pPr>
              <w:spacing w:after="40"/>
            </w:pPr>
            <w:r>
              <w:rPr>
                <w:rFonts w:ascii="Arial" w:hAnsi="Arial"/>
                <w:sz w:val="17"/>
              </w:rPr>
              <w:t>Post-visit</w:t>
            </w:r>
          </w:p>
        </w:tc>
        <w:tc>
          <w:tcPr>
            <w:tcW w:type="dxa" w:w="5976"/>
            <w:vAlign w:val="center"/>
          </w:tcPr>
          <w:p>
            <w:pPr>
              <w:spacing w:after="40"/>
            </w:pPr>
            <w:r>
              <w:rPr>
                <w:rFonts w:ascii="Arial" w:hAnsi="Arial"/>
                <w:sz w:val="17"/>
              </w:rPr>
              <w:t>Sends proposal, answers questions, and follows an agreed cadence</w:t>
            </w:r>
          </w:p>
        </w:tc>
        <w:tc>
          <w:tcPr>
            <w:tcW w:type="dxa" w:w="2520"/>
            <w:vAlign w:val="center"/>
          </w:tcPr>
          <w:p>
            <w:pPr>
              <w:spacing w:after="40"/>
            </w:pPr>
            <w:r>
              <w:rPr>
                <w:rFonts w:ascii="Arial" w:hAnsi="Arial"/>
                <w:sz w:val="17"/>
              </w:rPr>
              <w:t>Proposal follow-up conversion</w:t>
            </w:r>
          </w:p>
        </w:tc>
      </w:tr>
    </w:tbl>
    <w:p>
      <w:pPr>
        <w:spacing w:after="40"/>
      </w:pPr>
    </w:p>
    <w:p>
      <w:pPr>
        <w:pStyle w:val="Heading1"/>
      </w:pPr>
      <w:r>
        <w:t>Objection Handling Doctrine</w:t>
      </w:r>
    </w:p>
    <w:p>
      <w:r>
        <w:t>An objection is usually unresolved uncertainty, a real constraint, or a polite refusal. TRUSS should diagnose before responding. It should never teach reflexive rebuttals.</w:t>
      </w:r>
    </w:p>
    <w:p>
      <w:pPr>
        <w:pStyle w:val="ListNumber"/>
      </w:pPr>
      <w:r>
        <w:t>Acknowledge without surrendering or arguing.</w:t>
      </w:r>
    </w:p>
    <w:p>
      <w:pPr>
        <w:pStyle w:val="ListNumber"/>
      </w:pPr>
      <w:r>
        <w:t>Clarify what the statement means in this case.</w:t>
      </w:r>
    </w:p>
    <w:p>
      <w:pPr>
        <w:pStyle w:val="ListNumber"/>
      </w:pPr>
      <w:r>
        <w:t>Isolate whether it is the only barrier or one of several.</w:t>
      </w:r>
    </w:p>
    <w:p>
      <w:pPr>
        <w:pStyle w:val="ListNumber"/>
      </w:pPr>
      <w:r>
        <w:t>Respond with relevant evidence, an adjusted option, or a truthful limitation.</w:t>
      </w:r>
    </w:p>
    <w:p>
      <w:pPr>
        <w:pStyle w:val="ListNumber"/>
      </w:pPr>
      <w:r>
        <w:t>Confirm whether the concern is resolved.</w:t>
      </w:r>
    </w:p>
    <w:p>
      <w:pPr>
        <w:pStyle w:val="ListNumber"/>
      </w:pPr>
      <w:r>
        <w:t>Ask for the next step, or respectfully close the loop.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016"/>
            <w:shd w:fill="17324D"/>
            <w:vAlign w:val="center"/>
          </w:tcPr>
          <w:p>
            <w:r>
              <w:rPr>
                <w:b/>
                <w:color w:val="FFFFFF"/>
                <w:sz w:val="18"/>
              </w:rPr>
              <w:t>Objection</w:t>
            </w:r>
          </w:p>
        </w:tc>
        <w:tc>
          <w:tcPr>
            <w:tcW w:type="dxa" w:w="3240"/>
            <w:shd w:fill="17324D"/>
            <w:vAlign w:val="center"/>
          </w:tcPr>
          <w:p>
            <w:r>
              <w:rPr>
                <w:b/>
                <w:color w:val="FFFFFF"/>
                <w:sz w:val="18"/>
              </w:rPr>
              <w:t>Useful clarification</w:t>
            </w:r>
          </w:p>
        </w:tc>
        <w:tc>
          <w:tcPr>
            <w:tcW w:type="dxa" w:w="4752"/>
            <w:shd w:fill="17324D"/>
            <w:vAlign w:val="center"/>
          </w:tcPr>
          <w:p>
            <w:r>
              <w:rPr>
                <w:b/>
                <w:color w:val="FFFFFF"/>
                <w:sz w:val="18"/>
              </w:rPr>
              <w:t>Appropriate response direction</w:t>
            </w:r>
          </w:p>
        </w:tc>
      </w:tr>
      <w:tr>
        <w:tc>
          <w:tcPr>
            <w:tcW w:type="dxa" w:w="2016"/>
            <w:vAlign w:val="center"/>
          </w:tcPr>
          <w:p>
            <w:pPr>
              <w:spacing w:after="40"/>
            </w:pPr>
            <w:r>
              <w:rPr>
                <w:rFonts w:ascii="Arial" w:hAnsi="Arial"/>
                <w:sz w:val="17"/>
              </w:rPr>
              <w:t>The price is too high</w:t>
            </w:r>
          </w:p>
        </w:tc>
        <w:tc>
          <w:tcPr>
            <w:tcW w:type="dxa" w:w="3240"/>
            <w:vAlign w:val="center"/>
          </w:tcPr>
          <w:p>
            <w:pPr>
              <w:spacing w:after="40"/>
            </w:pPr>
            <w:r>
              <w:rPr>
                <w:rFonts w:ascii="Arial" w:hAnsi="Arial"/>
                <w:sz w:val="17"/>
              </w:rPr>
              <w:t>Compared with another scope, the expected budget, or available cash?</w:t>
            </w:r>
          </w:p>
        </w:tc>
        <w:tc>
          <w:tcPr>
            <w:tcW w:type="dxa" w:w="4752"/>
            <w:vAlign w:val="center"/>
          </w:tcPr>
          <w:p>
            <w:pPr>
              <w:spacing w:after="40"/>
            </w:pPr>
            <w:r>
              <w:rPr>
                <w:rFonts w:ascii="Arial" w:hAnsi="Arial"/>
                <w:sz w:val="17"/>
              </w:rPr>
              <w:t>Reconcile scope, risk, warranty, and payment options. Reduce scope only if viable.</w:t>
            </w:r>
          </w:p>
        </w:tc>
      </w:tr>
      <w:tr>
        <w:tc>
          <w:tcPr>
            <w:tcW w:type="dxa" w:w="2016"/>
            <w:vAlign w:val="center"/>
            <w:shd w:fill="F3F6F8"/>
          </w:tcPr>
          <w:p>
            <w:pPr>
              <w:spacing w:after="40"/>
            </w:pPr>
            <w:r>
              <w:rPr>
                <w:rFonts w:ascii="Arial" w:hAnsi="Arial"/>
                <w:sz w:val="17"/>
              </w:rPr>
              <w:t>I need more estimates</w:t>
            </w:r>
          </w:p>
        </w:tc>
        <w:tc>
          <w:tcPr>
            <w:tcW w:type="dxa" w:w="3240"/>
            <w:vAlign w:val="center"/>
            <w:shd w:fill="F3F6F8"/>
          </w:tcPr>
          <w:p>
            <w:pPr>
              <w:spacing w:after="40"/>
            </w:pPr>
            <w:r>
              <w:rPr>
                <w:rFonts w:ascii="Arial" w:hAnsi="Arial"/>
                <w:sz w:val="17"/>
              </w:rPr>
              <w:t>What do you want the additional estimate to help you compare?</w:t>
            </w:r>
          </w:p>
        </w:tc>
        <w:tc>
          <w:tcPr>
            <w:tcW w:type="dxa" w:w="4752"/>
            <w:vAlign w:val="center"/>
            <w:shd w:fill="F3F6F8"/>
          </w:tcPr>
          <w:p>
            <w:pPr>
              <w:spacing w:after="40"/>
            </w:pPr>
            <w:r>
              <w:rPr>
                <w:rFonts w:ascii="Arial" w:hAnsi="Arial"/>
                <w:sz w:val="17"/>
              </w:rPr>
              <w:t>Provide a comparison checklist and written scope. Set a follow-up date.</w:t>
            </w:r>
          </w:p>
        </w:tc>
      </w:tr>
      <w:tr>
        <w:tc>
          <w:tcPr>
            <w:tcW w:type="dxa" w:w="2016"/>
            <w:vAlign w:val="center"/>
          </w:tcPr>
          <w:p>
            <w:pPr>
              <w:spacing w:after="40"/>
            </w:pPr>
            <w:r>
              <w:rPr>
                <w:rFonts w:ascii="Arial" w:hAnsi="Arial"/>
                <w:sz w:val="17"/>
              </w:rPr>
              <w:t>I need to think about it</w:t>
            </w:r>
          </w:p>
        </w:tc>
        <w:tc>
          <w:tcPr>
            <w:tcW w:type="dxa" w:w="3240"/>
            <w:vAlign w:val="center"/>
          </w:tcPr>
          <w:p>
            <w:pPr>
              <w:spacing w:after="40"/>
            </w:pPr>
            <w:r>
              <w:rPr>
                <w:rFonts w:ascii="Arial" w:hAnsi="Arial"/>
                <w:sz w:val="17"/>
              </w:rPr>
              <w:t>Which part feels least settled?</w:t>
            </w:r>
          </w:p>
        </w:tc>
        <w:tc>
          <w:tcPr>
            <w:tcW w:type="dxa" w:w="4752"/>
            <w:vAlign w:val="center"/>
          </w:tcPr>
          <w:p>
            <w:pPr>
              <w:spacing w:after="40"/>
            </w:pPr>
            <w:r>
              <w:rPr>
                <w:rFonts w:ascii="Arial" w:hAnsi="Arial"/>
                <w:sz w:val="17"/>
              </w:rPr>
              <w:t>Identify missing confidence, information, stakeholder, or affordability.</w:t>
            </w:r>
          </w:p>
        </w:tc>
      </w:tr>
      <w:tr>
        <w:tc>
          <w:tcPr>
            <w:tcW w:type="dxa" w:w="2016"/>
            <w:vAlign w:val="center"/>
            <w:shd w:fill="F3F6F8"/>
          </w:tcPr>
          <w:p>
            <w:pPr>
              <w:spacing w:after="40"/>
            </w:pPr>
            <w:r>
              <w:rPr>
                <w:rFonts w:ascii="Arial" w:hAnsi="Arial"/>
                <w:sz w:val="17"/>
              </w:rPr>
              <w:t>I need to ask my spouse or partner</w:t>
            </w:r>
          </w:p>
        </w:tc>
        <w:tc>
          <w:tcPr>
            <w:tcW w:type="dxa" w:w="3240"/>
            <w:vAlign w:val="center"/>
            <w:shd w:fill="F3F6F8"/>
          </w:tcPr>
          <w:p>
            <w:pPr>
              <w:spacing w:after="40"/>
            </w:pPr>
            <w:r>
              <w:rPr>
                <w:rFonts w:ascii="Arial" w:hAnsi="Arial"/>
                <w:sz w:val="17"/>
              </w:rPr>
              <w:t>What will they need to see or understand?</w:t>
            </w:r>
          </w:p>
        </w:tc>
        <w:tc>
          <w:tcPr>
            <w:tcW w:type="dxa" w:w="4752"/>
            <w:vAlign w:val="center"/>
            <w:shd w:fill="F3F6F8"/>
          </w:tcPr>
          <w:p>
            <w:pPr>
              <w:spacing w:after="40"/>
            </w:pPr>
            <w:r>
              <w:rPr>
                <w:rFonts w:ascii="Arial" w:hAnsi="Arial"/>
                <w:sz w:val="17"/>
              </w:rPr>
              <w:t>Offer a joint review or concise written recap without pressuring the absent person.</w:t>
            </w:r>
          </w:p>
        </w:tc>
      </w:tr>
      <w:tr>
        <w:tc>
          <w:tcPr>
            <w:tcW w:type="dxa" w:w="2016"/>
            <w:vAlign w:val="center"/>
          </w:tcPr>
          <w:p>
            <w:pPr>
              <w:spacing w:after="40"/>
            </w:pPr>
            <w:r>
              <w:rPr>
                <w:rFonts w:ascii="Arial" w:hAnsi="Arial"/>
                <w:sz w:val="17"/>
              </w:rPr>
              <w:t>Can you just repair it?</w:t>
            </w:r>
          </w:p>
        </w:tc>
        <w:tc>
          <w:tcPr>
            <w:tcW w:type="dxa" w:w="3240"/>
            <w:vAlign w:val="center"/>
          </w:tcPr>
          <w:p>
            <w:pPr>
              <w:spacing w:after="40"/>
            </w:pPr>
            <w:r>
              <w:rPr>
                <w:rFonts w:ascii="Arial" w:hAnsi="Arial"/>
                <w:sz w:val="17"/>
              </w:rPr>
              <w:t>Is the priority lowest immediate cost or avoiding another interruption?</w:t>
            </w:r>
          </w:p>
        </w:tc>
        <w:tc>
          <w:tcPr>
            <w:tcW w:type="dxa" w:w="4752"/>
            <w:vAlign w:val="center"/>
          </w:tcPr>
          <w:p>
            <w:pPr>
              <w:spacing w:after="40"/>
            </w:pPr>
            <w:r>
              <w:rPr>
                <w:rFonts w:ascii="Arial" w:hAnsi="Arial"/>
                <w:sz w:val="17"/>
              </w:rPr>
              <w:t>Explain whether repair is safe and viable, its limits, and replacement alternative.</w:t>
            </w:r>
          </w:p>
        </w:tc>
      </w:tr>
      <w:tr>
        <w:tc>
          <w:tcPr>
            <w:tcW w:type="dxa" w:w="2016"/>
            <w:vAlign w:val="center"/>
            <w:shd w:fill="F3F6F8"/>
          </w:tcPr>
          <w:p>
            <w:pPr>
              <w:spacing w:after="40"/>
            </w:pPr>
            <w:r>
              <w:rPr>
                <w:rFonts w:ascii="Arial" w:hAnsi="Arial"/>
                <w:sz w:val="17"/>
              </w:rPr>
              <w:t>Your competitor is cheaper</w:t>
            </w:r>
          </w:p>
        </w:tc>
        <w:tc>
          <w:tcPr>
            <w:tcW w:type="dxa" w:w="3240"/>
            <w:vAlign w:val="center"/>
            <w:shd w:fill="F3F6F8"/>
          </w:tcPr>
          <w:p>
            <w:pPr>
              <w:spacing w:after="40"/>
            </w:pPr>
            <w:r>
              <w:rPr>
                <w:rFonts w:ascii="Arial" w:hAnsi="Arial"/>
                <w:sz w:val="17"/>
              </w:rPr>
              <w:t>Does their proposal include the same work and protections?</w:t>
            </w:r>
          </w:p>
        </w:tc>
        <w:tc>
          <w:tcPr>
            <w:tcW w:type="dxa" w:w="4752"/>
            <w:vAlign w:val="center"/>
            <w:shd w:fill="F3F6F8"/>
          </w:tcPr>
          <w:p>
            <w:pPr>
              <w:spacing w:after="40"/>
            </w:pPr>
            <w:r>
              <w:rPr>
                <w:rFonts w:ascii="Arial" w:hAnsi="Arial"/>
                <w:sz w:val="17"/>
              </w:rPr>
              <w:t>Compare line by line. Never disparage or invent competitor deficiencies.</w:t>
            </w:r>
          </w:p>
        </w:tc>
      </w:tr>
    </w:tbl>
    <w:p>
      <w:pPr>
        <w:spacing w:after="40"/>
      </w:pPr>
    </w:p>
    <w:p>
      <w:pPr>
        <w:pStyle w:val="Heading1"/>
      </w:pPr>
      <w:r>
        <w:t>Commercial Trades Sales</w:t>
      </w:r>
    </w:p>
    <w:p>
      <w:r>
        <w:t>Commercial construction and service sales are multi-person decisions tied to operational, financial, schedule, safety, and procurement risk. AGC and Procore frame business development as an integrated pipeline that connects market choice, early intelligence, relationships, qualification, preconstruction, estimating, and handoff. [17] [19]</w:t>
      </w:r>
    </w:p>
    <w:p>
      <w:pPr>
        <w:pStyle w:val="Heading2"/>
      </w:pPr>
      <w:r>
        <w:t>Commercial Account and Pursuit Process</w:t>
      </w:r>
    </w:p>
    <w:p>
      <w:pPr>
        <w:pStyle w:val="ListNumber"/>
      </w:pPr>
      <w:r>
        <w:t>Choose where to play. Define ideal client, geography, asset or project type, contract size, service capability, risk tolerance, and strategic fit.</w:t>
      </w:r>
    </w:p>
    <w:p>
      <w:pPr>
        <w:pStyle w:val="ListNumber"/>
      </w:pPr>
      <w:r>
        <w:t>Research the account. Map properties, installed assets, project pipeline, incumbent relationships, procurement rules, safety demands, payment reputation, and likely triggers.</w:t>
      </w:r>
    </w:p>
    <w:p>
      <w:pPr>
        <w:pStyle w:val="ListNumber"/>
      </w:pPr>
      <w:r>
        <w:t>Map stakeholders. Distinguish operational user, technical evaluator, facility leader, estimator, project executive, procurement, finance, safety, and executive sponsor.</w:t>
      </w:r>
    </w:p>
    <w:p>
      <w:pPr>
        <w:pStyle w:val="ListNumber"/>
      </w:pPr>
      <w:r>
        <w:t>Create relevance. Lead with a specific operational or project insight, not a generic capability statement.</w:t>
      </w:r>
    </w:p>
    <w:p>
      <w:pPr>
        <w:pStyle w:val="ListNumber"/>
      </w:pPr>
      <w:r>
        <w:t>Discover business impact. Translate technical conditions into downtime, tenant impact, schedule exposure, energy, compliance, lifecycle cost, labor demand, or revenue risk.</w:t>
      </w:r>
    </w:p>
    <w:p>
      <w:pPr>
        <w:pStyle w:val="ListNumber"/>
      </w:pPr>
      <w:r>
        <w:t>Qualify rigorously. Confirm fit, access, timing, decision method, competitive position, resource demand, bonding or insurance, contract terms, and probability of profitable delivery.</w:t>
      </w:r>
    </w:p>
    <w:p>
      <w:pPr>
        <w:pStyle w:val="ListNumber"/>
      </w:pPr>
      <w:r>
        <w:t>Make the go or no-go decision. Decline work that is structurally unwinnable, outside capability, or likely to destroy margin.</w:t>
      </w:r>
    </w:p>
    <w:p>
      <w:pPr>
        <w:pStyle w:val="ListNumber"/>
      </w:pPr>
      <w:r>
        <w:t>Shape the solution. Align scope, alternates, service levels, schedule, staffing, reporting, and risk controls to stakeholder needs.</w:t>
      </w:r>
    </w:p>
    <w:p>
      <w:pPr>
        <w:pStyle w:val="ListNumber"/>
      </w:pPr>
      <w:r>
        <w:t>Build consensus. Give each stakeholder the evidence needed to support the same decision. Gartner reports that buyer-team consensus is associated with higher reported deal quality. [23]</w:t>
      </w:r>
    </w:p>
    <w:p>
      <w:pPr>
        <w:pStyle w:val="ListNumber"/>
      </w:pPr>
      <w:r>
        <w:t>Hand off and expand. Transfer every promise to operations, review performance, pursue renewals, and grow through adjacent sites, systems, or services.</w:t>
      </w:r>
    </w:p>
    <w:p>
      <w:pPr>
        <w:pStyle w:val="Heading2"/>
      </w:pPr>
      <w:r>
        <w:t>Commercial Value Language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520"/>
            <w:shd w:fill="17324D"/>
            <w:vAlign w:val="center"/>
          </w:tcPr>
          <w:p>
            <w:r>
              <w:rPr>
                <w:b/>
                <w:color w:val="FFFFFF"/>
                <w:sz w:val="18"/>
              </w:rPr>
              <w:t>Technical fact</w:t>
            </w:r>
          </w:p>
        </w:tc>
        <w:tc>
          <w:tcPr>
            <w:tcW w:type="dxa" w:w="3672"/>
            <w:shd w:fill="17324D"/>
            <w:vAlign w:val="center"/>
          </w:tcPr>
          <w:p>
            <w:r>
              <w:rPr>
                <w:b/>
                <w:color w:val="FFFFFF"/>
                <w:sz w:val="18"/>
              </w:rPr>
              <w:t>Business translation</w:t>
            </w:r>
          </w:p>
        </w:tc>
        <w:tc>
          <w:tcPr>
            <w:tcW w:type="dxa" w:w="3816"/>
            <w:shd w:fill="17324D"/>
            <w:vAlign w:val="center"/>
          </w:tcPr>
          <w:p>
            <w:r>
              <w:rPr>
                <w:b/>
                <w:color w:val="FFFFFF"/>
                <w:sz w:val="18"/>
              </w:rPr>
              <w:t>Evidence</w:t>
            </w:r>
          </w:p>
        </w:tc>
      </w:tr>
      <w:tr>
        <w:tc>
          <w:tcPr>
            <w:tcW w:type="dxa" w:w="2520"/>
            <w:vAlign w:val="center"/>
          </w:tcPr>
          <w:p>
            <w:pPr>
              <w:spacing w:after="40"/>
            </w:pPr>
            <w:r>
              <w:rPr>
                <w:rFonts w:ascii="Arial" w:hAnsi="Arial"/>
                <w:sz w:val="17"/>
              </w:rPr>
              <w:t>Aging rooftop units with reactive maintenance</w:t>
            </w:r>
          </w:p>
        </w:tc>
        <w:tc>
          <w:tcPr>
            <w:tcW w:type="dxa" w:w="3672"/>
            <w:vAlign w:val="center"/>
          </w:tcPr>
          <w:p>
            <w:pPr>
              <w:spacing w:after="40"/>
            </w:pPr>
            <w:r>
              <w:rPr>
                <w:rFonts w:ascii="Arial" w:hAnsi="Arial"/>
                <w:sz w:val="17"/>
              </w:rPr>
              <w:t>More unplanned downtime, comfort complaints, and budget volatility</w:t>
            </w:r>
          </w:p>
        </w:tc>
        <w:tc>
          <w:tcPr>
            <w:tcW w:type="dxa" w:w="3816"/>
            <w:vAlign w:val="center"/>
          </w:tcPr>
          <w:p>
            <w:pPr>
              <w:spacing w:after="40"/>
            </w:pPr>
            <w:r>
              <w:rPr>
                <w:rFonts w:ascii="Arial" w:hAnsi="Arial"/>
                <w:sz w:val="17"/>
              </w:rPr>
              <w:t>Asset history, failure frequency, parts availability, repair spend</w:t>
            </w:r>
          </w:p>
        </w:tc>
      </w:tr>
      <w:tr>
        <w:tc>
          <w:tcPr>
            <w:tcW w:type="dxa" w:w="2520"/>
            <w:vAlign w:val="center"/>
            <w:shd w:fill="F3F6F8"/>
          </w:tcPr>
          <w:p>
            <w:pPr>
              <w:spacing w:after="40"/>
            </w:pPr>
            <w:r>
              <w:rPr>
                <w:rFonts w:ascii="Arial" w:hAnsi="Arial"/>
                <w:sz w:val="17"/>
              </w:rPr>
              <w:t>Incomplete preventive maintenance</w:t>
            </w:r>
          </w:p>
        </w:tc>
        <w:tc>
          <w:tcPr>
            <w:tcW w:type="dxa" w:w="3672"/>
            <w:vAlign w:val="center"/>
            <w:shd w:fill="F3F6F8"/>
          </w:tcPr>
          <w:p>
            <w:pPr>
              <w:spacing w:after="40"/>
            </w:pPr>
            <w:r>
              <w:rPr>
                <w:rFonts w:ascii="Arial" w:hAnsi="Arial"/>
                <w:sz w:val="17"/>
              </w:rPr>
              <w:t>Shorter asset life and avoidable emergency demand</w:t>
            </w:r>
          </w:p>
        </w:tc>
        <w:tc>
          <w:tcPr>
            <w:tcW w:type="dxa" w:w="3816"/>
            <w:vAlign w:val="center"/>
            <w:shd w:fill="F3F6F8"/>
          </w:tcPr>
          <w:p>
            <w:pPr>
              <w:spacing w:after="40"/>
            </w:pPr>
            <w:r>
              <w:rPr>
                <w:rFonts w:ascii="Arial" w:hAnsi="Arial"/>
                <w:sz w:val="17"/>
              </w:rPr>
              <w:t>Inspection records, task completion, fault trends</w:t>
            </w:r>
          </w:p>
        </w:tc>
      </w:tr>
      <w:tr>
        <w:tc>
          <w:tcPr>
            <w:tcW w:type="dxa" w:w="2520"/>
            <w:vAlign w:val="center"/>
          </w:tcPr>
          <w:p>
            <w:pPr>
              <w:spacing w:after="40"/>
            </w:pPr>
            <w:r>
              <w:rPr>
                <w:rFonts w:ascii="Arial" w:hAnsi="Arial"/>
                <w:sz w:val="17"/>
              </w:rPr>
              <w:t>Weak subcontractor coordination</w:t>
            </w:r>
          </w:p>
        </w:tc>
        <w:tc>
          <w:tcPr>
            <w:tcW w:type="dxa" w:w="3672"/>
            <w:vAlign w:val="center"/>
          </w:tcPr>
          <w:p>
            <w:pPr>
              <w:spacing w:after="40"/>
            </w:pPr>
            <w:r>
              <w:rPr>
                <w:rFonts w:ascii="Arial" w:hAnsi="Arial"/>
                <w:sz w:val="17"/>
              </w:rPr>
              <w:t>Schedule compression and rework exposure</w:t>
            </w:r>
          </w:p>
        </w:tc>
        <w:tc>
          <w:tcPr>
            <w:tcW w:type="dxa" w:w="3816"/>
            <w:vAlign w:val="center"/>
          </w:tcPr>
          <w:p>
            <w:pPr>
              <w:spacing w:after="40"/>
            </w:pPr>
            <w:r>
              <w:rPr>
                <w:rFonts w:ascii="Arial" w:hAnsi="Arial"/>
                <w:sz w:val="17"/>
              </w:rPr>
              <w:t>Look-ahead plan, coordination process, similar-project results</w:t>
            </w:r>
          </w:p>
        </w:tc>
      </w:tr>
      <w:tr>
        <w:tc>
          <w:tcPr>
            <w:tcW w:type="dxa" w:w="2520"/>
            <w:vAlign w:val="center"/>
            <w:shd w:fill="F3F6F8"/>
          </w:tcPr>
          <w:p>
            <w:pPr>
              <w:spacing w:after="40"/>
            </w:pPr>
            <w:r>
              <w:rPr>
                <w:rFonts w:ascii="Arial" w:hAnsi="Arial"/>
                <w:sz w:val="17"/>
              </w:rPr>
              <w:t>Strong safety system</w:t>
            </w:r>
          </w:p>
        </w:tc>
        <w:tc>
          <w:tcPr>
            <w:tcW w:type="dxa" w:w="3672"/>
            <w:vAlign w:val="center"/>
            <w:shd w:fill="F3F6F8"/>
          </w:tcPr>
          <w:p>
            <w:pPr>
              <w:spacing w:after="40"/>
            </w:pPr>
            <w:r>
              <w:rPr>
                <w:rFonts w:ascii="Arial" w:hAnsi="Arial"/>
                <w:sz w:val="17"/>
              </w:rPr>
              <w:t>Lower interruption and owner risk</w:t>
            </w:r>
          </w:p>
        </w:tc>
        <w:tc>
          <w:tcPr>
            <w:tcW w:type="dxa" w:w="3816"/>
            <w:vAlign w:val="center"/>
            <w:shd w:fill="F3F6F8"/>
          </w:tcPr>
          <w:p>
            <w:pPr>
              <w:spacing w:after="40"/>
            </w:pPr>
            <w:r>
              <w:rPr>
                <w:rFonts w:ascii="Arial" w:hAnsi="Arial"/>
                <w:sz w:val="17"/>
              </w:rPr>
              <w:t>EMR, incident data, training, site-specific plan</w:t>
            </w:r>
          </w:p>
        </w:tc>
      </w:tr>
      <w:tr>
        <w:tc>
          <w:tcPr>
            <w:tcW w:type="dxa" w:w="2520"/>
            <w:vAlign w:val="center"/>
          </w:tcPr>
          <w:p>
            <w:pPr>
              <w:spacing w:after="40"/>
            </w:pPr>
            <w:r>
              <w:rPr>
                <w:rFonts w:ascii="Arial" w:hAnsi="Arial"/>
                <w:sz w:val="17"/>
              </w:rPr>
              <w:t>Prefab or standardized installation</w:t>
            </w:r>
          </w:p>
        </w:tc>
        <w:tc>
          <w:tcPr>
            <w:tcW w:type="dxa" w:w="3672"/>
            <w:vAlign w:val="center"/>
          </w:tcPr>
          <w:p>
            <w:pPr>
              <w:spacing w:after="40"/>
            </w:pPr>
            <w:r>
              <w:rPr>
                <w:rFonts w:ascii="Arial" w:hAnsi="Arial"/>
                <w:sz w:val="17"/>
              </w:rPr>
              <w:t>Less field labor and more predictable schedule</w:t>
            </w:r>
          </w:p>
        </w:tc>
        <w:tc>
          <w:tcPr>
            <w:tcW w:type="dxa" w:w="3816"/>
            <w:vAlign w:val="center"/>
          </w:tcPr>
          <w:p>
            <w:pPr>
              <w:spacing w:after="40"/>
            </w:pPr>
            <w:r>
              <w:rPr>
                <w:rFonts w:ascii="Arial" w:hAnsi="Arial"/>
                <w:sz w:val="17"/>
              </w:rPr>
              <w:t>Production plan, quality checks, prior cycle-time results</w:t>
            </w:r>
          </w:p>
        </w:tc>
      </w:tr>
      <w:tr>
        <w:tc>
          <w:tcPr>
            <w:tcW w:type="dxa" w:w="2520"/>
            <w:vAlign w:val="center"/>
            <w:shd w:fill="F3F6F8"/>
          </w:tcPr>
          <w:p>
            <w:pPr>
              <w:spacing w:after="40"/>
            </w:pPr>
            <w:r>
              <w:rPr>
                <w:rFonts w:ascii="Arial" w:hAnsi="Arial"/>
                <w:sz w:val="17"/>
              </w:rPr>
              <w:t>Integrated service agreement</w:t>
            </w:r>
          </w:p>
        </w:tc>
        <w:tc>
          <w:tcPr>
            <w:tcW w:type="dxa" w:w="3672"/>
            <w:vAlign w:val="center"/>
            <w:shd w:fill="F3F6F8"/>
          </w:tcPr>
          <w:p>
            <w:pPr>
              <w:spacing w:after="40"/>
            </w:pPr>
            <w:r>
              <w:rPr>
                <w:rFonts w:ascii="Arial" w:hAnsi="Arial"/>
                <w:sz w:val="17"/>
              </w:rPr>
              <w:t>Fewer vendors and clearer accountability</w:t>
            </w:r>
          </w:p>
        </w:tc>
        <w:tc>
          <w:tcPr>
            <w:tcW w:type="dxa" w:w="3816"/>
            <w:vAlign w:val="center"/>
            <w:shd w:fill="F3F6F8"/>
          </w:tcPr>
          <w:p>
            <w:pPr>
              <w:spacing w:after="40"/>
            </w:pPr>
            <w:r>
              <w:rPr>
                <w:rFonts w:ascii="Arial" w:hAnsi="Arial"/>
                <w:sz w:val="17"/>
              </w:rPr>
              <w:t>Response terms, reporting cadence, escalation path, renewal review</w:t>
            </w:r>
          </w:p>
        </w:tc>
      </w:tr>
    </w:tbl>
    <w:p>
      <w:pPr>
        <w:spacing w:after="40"/>
      </w:pPr>
    </w:p>
    <w:p>
      <w:pPr>
        <w:pStyle w:val="Heading2"/>
      </w:pPr>
      <w:r>
        <w:t>Seller Doer Model</w:t>
      </w:r>
    </w:p>
    <w:p>
      <w:r>
        <w:t>In construction and technical services, credibility often sits with the person who will perform or lead the work. SMPS research describes roles for both dedicated business developers and technical seller-doers. [20] TRUSS should train a shared model: the business developer earns access and coordinates the pursuit, while technical leaders diagnose, validate, and build delivery confidence. CRM ownership and follow-up responsibility must still be explicit.</w:t>
      </w:r>
    </w:p>
    <w:p>
      <w:pPr>
        <w:pStyle w:val="Heading1"/>
      </w:pPr>
      <w:r>
        <w:t>Metrics and Coaching Scorecard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800"/>
            <w:shd w:fill="17324D"/>
            <w:vAlign w:val="center"/>
          </w:tcPr>
          <w:p>
            <w:r>
              <w:rPr>
                <w:b/>
                <w:color w:val="FFFFFF"/>
                <w:sz w:val="18"/>
              </w:rPr>
              <w:t>Layer</w:t>
            </w:r>
          </w:p>
        </w:tc>
        <w:tc>
          <w:tcPr>
            <w:tcW w:type="dxa" w:w="4680"/>
            <w:shd w:fill="17324D"/>
            <w:vAlign w:val="center"/>
          </w:tcPr>
          <w:p>
            <w:r>
              <w:rPr>
                <w:b/>
                <w:color w:val="FFFFFF"/>
                <w:sz w:val="18"/>
              </w:rPr>
              <w:t>Metrics</w:t>
            </w:r>
          </w:p>
        </w:tc>
        <w:tc>
          <w:tcPr>
            <w:tcW w:type="dxa" w:w="3528"/>
            <w:shd w:fill="17324D"/>
            <w:vAlign w:val="center"/>
          </w:tcPr>
          <w:p>
            <w:r>
              <w:rPr>
                <w:b/>
                <w:color w:val="FFFFFF"/>
                <w:sz w:val="18"/>
              </w:rPr>
              <w:t>Diagnostic use</w:t>
            </w:r>
          </w:p>
        </w:tc>
      </w:tr>
      <w:tr>
        <w:tc>
          <w:tcPr>
            <w:tcW w:type="dxa" w:w="1800"/>
            <w:vAlign w:val="center"/>
          </w:tcPr>
          <w:p>
            <w:pPr>
              <w:spacing w:after="40"/>
            </w:pPr>
            <w:r>
              <w:rPr>
                <w:rFonts w:ascii="Arial" w:hAnsi="Arial"/>
                <w:sz w:val="17"/>
              </w:rPr>
              <w:t>Demand</w:t>
            </w:r>
          </w:p>
        </w:tc>
        <w:tc>
          <w:tcPr>
            <w:tcW w:type="dxa" w:w="4680"/>
            <w:vAlign w:val="center"/>
          </w:tcPr>
          <w:p>
            <w:pPr>
              <w:spacing w:after="40"/>
            </w:pPr>
            <w:r>
              <w:rPr>
                <w:rFonts w:ascii="Arial" w:hAnsi="Arial"/>
                <w:sz w:val="17"/>
              </w:rPr>
              <w:t>Lead volume, source, cost per lead, target-account coverage</w:t>
            </w:r>
          </w:p>
        </w:tc>
        <w:tc>
          <w:tcPr>
            <w:tcW w:type="dxa" w:w="3528"/>
            <w:vAlign w:val="center"/>
          </w:tcPr>
          <w:p>
            <w:pPr>
              <w:spacing w:after="40"/>
            </w:pPr>
            <w:r>
              <w:rPr>
                <w:rFonts w:ascii="Arial" w:hAnsi="Arial"/>
                <w:sz w:val="17"/>
              </w:rPr>
              <w:t>Separates opportunity quality from seller execution</w:t>
            </w:r>
          </w:p>
        </w:tc>
      </w:tr>
      <w:tr>
        <w:tc>
          <w:tcPr>
            <w:tcW w:type="dxa" w:w="1800"/>
            <w:vAlign w:val="center"/>
            <w:shd w:fill="F3F6F8"/>
          </w:tcPr>
          <w:p>
            <w:pPr>
              <w:spacing w:after="40"/>
            </w:pPr>
            <w:r>
              <w:rPr>
                <w:rFonts w:ascii="Arial" w:hAnsi="Arial"/>
                <w:sz w:val="17"/>
              </w:rPr>
              <w:t>Contact</w:t>
            </w:r>
          </w:p>
        </w:tc>
        <w:tc>
          <w:tcPr>
            <w:tcW w:type="dxa" w:w="4680"/>
            <w:vAlign w:val="center"/>
            <w:shd w:fill="F3F6F8"/>
          </w:tcPr>
          <w:p>
            <w:pPr>
              <w:spacing w:after="40"/>
            </w:pPr>
            <w:r>
              <w:rPr>
                <w:rFonts w:ascii="Arial" w:hAnsi="Arial"/>
                <w:sz w:val="17"/>
              </w:rPr>
              <w:t>Speed to lead, answer rate, contact rate, booking rate</w:t>
            </w:r>
          </w:p>
        </w:tc>
        <w:tc>
          <w:tcPr>
            <w:tcW w:type="dxa" w:w="3528"/>
            <w:vAlign w:val="center"/>
            <w:shd w:fill="F3F6F8"/>
          </w:tcPr>
          <w:p>
            <w:pPr>
              <w:spacing w:after="40"/>
            </w:pPr>
            <w:r>
              <w:rPr>
                <w:rFonts w:ascii="Arial" w:hAnsi="Arial"/>
                <w:sz w:val="17"/>
              </w:rPr>
              <w:t>Finds front-office leakage</w:t>
            </w:r>
          </w:p>
        </w:tc>
      </w:tr>
      <w:tr>
        <w:tc>
          <w:tcPr>
            <w:tcW w:type="dxa" w:w="1800"/>
            <w:vAlign w:val="center"/>
          </w:tcPr>
          <w:p>
            <w:pPr>
              <w:spacing w:after="40"/>
            </w:pPr>
            <w:r>
              <w:rPr>
                <w:rFonts w:ascii="Arial" w:hAnsi="Arial"/>
                <w:sz w:val="17"/>
              </w:rPr>
              <w:t>Appointment</w:t>
            </w:r>
          </w:p>
        </w:tc>
        <w:tc>
          <w:tcPr>
            <w:tcW w:type="dxa" w:w="4680"/>
            <w:vAlign w:val="center"/>
          </w:tcPr>
          <w:p>
            <w:pPr>
              <w:spacing w:after="40"/>
            </w:pPr>
            <w:r>
              <w:rPr>
                <w:rFonts w:ascii="Arial" w:hAnsi="Arial"/>
                <w:sz w:val="17"/>
              </w:rPr>
              <w:t>Show rate, run rate, decision-maker participation</w:t>
            </w:r>
          </w:p>
        </w:tc>
        <w:tc>
          <w:tcPr>
            <w:tcW w:type="dxa" w:w="3528"/>
            <w:vAlign w:val="center"/>
          </w:tcPr>
          <w:p>
            <w:pPr>
              <w:spacing w:after="40"/>
            </w:pPr>
            <w:r>
              <w:rPr>
                <w:rFonts w:ascii="Arial" w:hAnsi="Arial"/>
                <w:sz w:val="17"/>
              </w:rPr>
              <w:t>Tests scheduling and qualification</w:t>
            </w:r>
          </w:p>
        </w:tc>
      </w:tr>
      <w:tr>
        <w:tc>
          <w:tcPr>
            <w:tcW w:type="dxa" w:w="1800"/>
            <w:vAlign w:val="center"/>
            <w:shd w:fill="F3F6F8"/>
          </w:tcPr>
          <w:p>
            <w:pPr>
              <w:spacing w:after="40"/>
            </w:pPr>
            <w:r>
              <w:rPr>
                <w:rFonts w:ascii="Arial" w:hAnsi="Arial"/>
                <w:sz w:val="17"/>
              </w:rPr>
              <w:t>Conversation</w:t>
            </w:r>
          </w:p>
        </w:tc>
        <w:tc>
          <w:tcPr>
            <w:tcW w:type="dxa" w:w="4680"/>
            <w:vAlign w:val="center"/>
            <w:shd w:fill="F3F6F8"/>
          </w:tcPr>
          <w:p>
            <w:pPr>
              <w:spacing w:after="40"/>
            </w:pPr>
            <w:r>
              <w:rPr>
                <w:rFonts w:ascii="Arial" w:hAnsi="Arial"/>
                <w:sz w:val="17"/>
              </w:rPr>
              <w:t>Discovery coverage, talk balance, verified needs, stakeholder map</w:t>
            </w:r>
          </w:p>
        </w:tc>
        <w:tc>
          <w:tcPr>
            <w:tcW w:type="dxa" w:w="3528"/>
            <w:vAlign w:val="center"/>
            <w:shd w:fill="F3F6F8"/>
          </w:tcPr>
          <w:p>
            <w:pPr>
              <w:spacing w:after="40"/>
            </w:pPr>
            <w:r>
              <w:rPr>
                <w:rFonts w:ascii="Arial" w:hAnsi="Arial"/>
                <w:sz w:val="17"/>
              </w:rPr>
              <w:t>Measures behaviors that create decision quality</w:t>
            </w:r>
          </w:p>
        </w:tc>
      </w:tr>
      <w:tr>
        <w:tc>
          <w:tcPr>
            <w:tcW w:type="dxa" w:w="1800"/>
            <w:vAlign w:val="center"/>
          </w:tcPr>
          <w:p>
            <w:pPr>
              <w:spacing w:after="40"/>
            </w:pPr>
            <w:r>
              <w:rPr>
                <w:rFonts w:ascii="Arial" w:hAnsi="Arial"/>
                <w:sz w:val="17"/>
              </w:rPr>
              <w:t>Proposal</w:t>
            </w:r>
          </w:p>
        </w:tc>
        <w:tc>
          <w:tcPr>
            <w:tcW w:type="dxa" w:w="4680"/>
            <w:vAlign w:val="center"/>
          </w:tcPr>
          <w:p>
            <w:pPr>
              <w:spacing w:after="40"/>
            </w:pPr>
            <w:r>
              <w:rPr>
                <w:rFonts w:ascii="Arial" w:hAnsi="Arial"/>
                <w:sz w:val="17"/>
              </w:rPr>
              <w:t>Proposal rate, option mix, time to proposal, scope revisions</w:t>
            </w:r>
          </w:p>
        </w:tc>
        <w:tc>
          <w:tcPr>
            <w:tcW w:type="dxa" w:w="3528"/>
            <w:vAlign w:val="center"/>
          </w:tcPr>
          <w:p>
            <w:pPr>
              <w:spacing w:after="40"/>
            </w:pPr>
            <w:r>
              <w:rPr>
                <w:rFonts w:ascii="Arial" w:hAnsi="Arial"/>
                <w:sz w:val="17"/>
              </w:rPr>
              <w:t>Finds diagnostic and estimating friction</w:t>
            </w:r>
          </w:p>
        </w:tc>
      </w:tr>
      <w:tr>
        <w:tc>
          <w:tcPr>
            <w:tcW w:type="dxa" w:w="1800"/>
            <w:vAlign w:val="center"/>
            <w:shd w:fill="F3F6F8"/>
          </w:tcPr>
          <w:p>
            <w:pPr>
              <w:spacing w:after="40"/>
            </w:pPr>
            <w:r>
              <w:rPr>
                <w:rFonts w:ascii="Arial" w:hAnsi="Arial"/>
                <w:sz w:val="17"/>
              </w:rPr>
              <w:t>Outcome</w:t>
            </w:r>
          </w:p>
        </w:tc>
        <w:tc>
          <w:tcPr>
            <w:tcW w:type="dxa" w:w="4680"/>
            <w:vAlign w:val="center"/>
            <w:shd w:fill="F3F6F8"/>
          </w:tcPr>
          <w:p>
            <w:pPr>
              <w:spacing w:after="40"/>
            </w:pPr>
            <w:r>
              <w:rPr>
                <w:rFonts w:ascii="Arial" w:hAnsi="Arial"/>
                <w:sz w:val="17"/>
              </w:rPr>
              <w:t>Close or win rate, revenue per lead, average ticket, gross margin</w:t>
            </w:r>
          </w:p>
        </w:tc>
        <w:tc>
          <w:tcPr>
            <w:tcW w:type="dxa" w:w="3528"/>
            <w:vAlign w:val="center"/>
            <w:shd w:fill="F3F6F8"/>
          </w:tcPr>
          <w:p>
            <w:pPr>
              <w:spacing w:after="40"/>
            </w:pPr>
            <w:r>
              <w:rPr>
                <w:rFonts w:ascii="Arial" w:hAnsi="Arial"/>
                <w:sz w:val="17"/>
              </w:rPr>
              <w:t>Measures economic result without using close rate alone</w:t>
            </w:r>
          </w:p>
        </w:tc>
      </w:tr>
      <w:tr>
        <w:tc>
          <w:tcPr>
            <w:tcW w:type="dxa" w:w="1800"/>
            <w:vAlign w:val="center"/>
          </w:tcPr>
          <w:p>
            <w:pPr>
              <w:spacing w:after="40"/>
            </w:pPr>
            <w:r>
              <w:rPr>
                <w:rFonts w:ascii="Arial" w:hAnsi="Arial"/>
                <w:sz w:val="17"/>
              </w:rPr>
              <w:t>Quality</w:t>
            </w:r>
          </w:p>
        </w:tc>
        <w:tc>
          <w:tcPr>
            <w:tcW w:type="dxa" w:w="4680"/>
            <w:vAlign w:val="center"/>
          </w:tcPr>
          <w:p>
            <w:pPr>
              <w:spacing w:after="40"/>
            </w:pPr>
            <w:r>
              <w:rPr>
                <w:rFonts w:ascii="Arial" w:hAnsi="Arial"/>
                <w:sz w:val="17"/>
              </w:rPr>
              <w:t>Cancellation, financing fallout, callbacks, rework, complaints, review sentiment</w:t>
            </w:r>
          </w:p>
        </w:tc>
        <w:tc>
          <w:tcPr>
            <w:tcW w:type="dxa" w:w="3528"/>
            <w:vAlign w:val="center"/>
          </w:tcPr>
          <w:p>
            <w:pPr>
              <w:spacing w:after="40"/>
            </w:pPr>
            <w:r>
              <w:rPr>
                <w:rFonts w:ascii="Arial" w:hAnsi="Arial"/>
                <w:sz w:val="17"/>
              </w:rPr>
              <w:t>Protects against low-quality selling</w:t>
            </w:r>
          </w:p>
        </w:tc>
      </w:tr>
      <w:tr>
        <w:tc>
          <w:tcPr>
            <w:tcW w:type="dxa" w:w="1800"/>
            <w:vAlign w:val="center"/>
            <w:shd w:fill="F3F6F8"/>
          </w:tcPr>
          <w:p>
            <w:pPr>
              <w:spacing w:after="40"/>
            </w:pPr>
            <w:r>
              <w:rPr>
                <w:rFonts w:ascii="Arial" w:hAnsi="Arial"/>
                <w:sz w:val="17"/>
              </w:rPr>
              <w:t>Relationship</w:t>
            </w:r>
          </w:p>
        </w:tc>
        <w:tc>
          <w:tcPr>
            <w:tcW w:type="dxa" w:w="4680"/>
            <w:vAlign w:val="center"/>
            <w:shd w:fill="F3F6F8"/>
          </w:tcPr>
          <w:p>
            <w:pPr>
              <w:spacing w:after="40"/>
            </w:pPr>
            <w:r>
              <w:rPr>
                <w:rFonts w:ascii="Arial" w:hAnsi="Arial"/>
                <w:sz w:val="17"/>
              </w:rPr>
              <w:t>Repeat rate, agreement renewal, referral rate, account expansion</w:t>
            </w:r>
          </w:p>
        </w:tc>
        <w:tc>
          <w:tcPr>
            <w:tcW w:type="dxa" w:w="3528"/>
            <w:vAlign w:val="center"/>
            <w:shd w:fill="F3F6F8"/>
          </w:tcPr>
          <w:p>
            <w:pPr>
              <w:spacing w:after="40"/>
            </w:pPr>
            <w:r>
              <w:rPr>
                <w:rFonts w:ascii="Arial" w:hAnsi="Arial"/>
                <w:sz w:val="17"/>
              </w:rPr>
              <w:t>Measures durable value</w:t>
            </w:r>
          </w:p>
        </w:tc>
      </w:tr>
      <w:tr>
        <w:tc>
          <w:tcPr>
            <w:tcW w:type="dxa" w:w="1800"/>
            <w:vAlign w:val="center"/>
          </w:tcPr>
          <w:p>
            <w:pPr>
              <w:spacing w:after="40"/>
            </w:pPr>
            <w:r>
              <w:rPr>
                <w:rFonts w:ascii="Arial" w:hAnsi="Arial"/>
                <w:sz w:val="17"/>
              </w:rPr>
              <w:t>Commercial pursuit</w:t>
            </w:r>
          </w:p>
        </w:tc>
        <w:tc>
          <w:tcPr>
            <w:tcW w:type="dxa" w:w="4680"/>
            <w:vAlign w:val="center"/>
          </w:tcPr>
          <w:p>
            <w:pPr>
              <w:spacing w:after="40"/>
            </w:pPr>
            <w:r>
              <w:rPr>
                <w:rFonts w:ascii="Arial" w:hAnsi="Arial"/>
                <w:sz w:val="17"/>
              </w:rPr>
              <w:t>Go or no-go rate, shortlist rate, hit rate, estimate cost, backlog quality</w:t>
            </w:r>
          </w:p>
        </w:tc>
        <w:tc>
          <w:tcPr>
            <w:tcW w:type="dxa" w:w="3528"/>
            <w:vAlign w:val="center"/>
          </w:tcPr>
          <w:p>
            <w:pPr>
              <w:spacing w:after="40"/>
            </w:pPr>
            <w:r>
              <w:rPr>
                <w:rFonts w:ascii="Arial" w:hAnsi="Arial"/>
                <w:sz w:val="17"/>
              </w:rPr>
              <w:t>Tests pursuit selection and positioning</w:t>
            </w:r>
          </w:p>
        </w:tc>
      </w:tr>
    </w:tbl>
    <w:p>
      <w:pPr>
        <w:spacing w:after="40"/>
      </w:pPr>
    </w:p>
    <w:p>
      <w:pPr>
        <w:pStyle w:val="Heading2"/>
      </w:pPr>
      <w:r>
        <w:t>Recommended TRUSS Coaching Rubric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880"/>
            <w:shd w:fill="17324D"/>
            <w:vAlign w:val="center"/>
          </w:tcPr>
          <w:p>
            <w:r>
              <w:rPr>
                <w:b/>
                <w:color w:val="FFFFFF"/>
                <w:sz w:val="18"/>
              </w:rPr>
              <w:t>Dimension</w:t>
            </w:r>
          </w:p>
        </w:tc>
        <w:tc>
          <w:tcPr>
            <w:tcW w:type="dxa" w:w="1152"/>
            <w:shd w:fill="17324D"/>
            <w:vAlign w:val="center"/>
          </w:tcPr>
          <w:p>
            <w:r>
              <w:rPr>
                <w:b/>
                <w:color w:val="FFFFFF"/>
                <w:sz w:val="18"/>
              </w:rPr>
              <w:t>Weight</w:t>
            </w:r>
          </w:p>
        </w:tc>
        <w:tc>
          <w:tcPr>
            <w:tcW w:type="dxa" w:w="5976"/>
            <w:shd w:fill="17324D"/>
            <w:vAlign w:val="center"/>
          </w:tcPr>
          <w:p>
            <w:r>
              <w:rPr>
                <w:b/>
                <w:color w:val="FFFFFF"/>
                <w:sz w:val="18"/>
              </w:rPr>
              <w:t>What good looks like</w:t>
            </w:r>
          </w:p>
        </w:tc>
      </w:tr>
      <w:tr>
        <w:tc>
          <w:tcPr>
            <w:tcW w:type="dxa" w:w="2880"/>
            <w:vAlign w:val="center"/>
          </w:tcPr>
          <w:p>
            <w:pPr>
              <w:spacing w:after="40"/>
            </w:pPr>
            <w:r>
              <w:rPr>
                <w:rFonts w:ascii="Arial" w:hAnsi="Arial"/>
                <w:sz w:val="17"/>
              </w:rPr>
              <w:t>Trust and professionalism</w:t>
            </w:r>
          </w:p>
        </w:tc>
        <w:tc>
          <w:tcPr>
            <w:tcW w:type="dxa" w:w="1152"/>
            <w:vAlign w:val="center"/>
          </w:tcPr>
          <w:p>
            <w:pPr>
              <w:spacing w:after="40"/>
            </w:pPr>
            <w:r>
              <w:rPr>
                <w:rFonts w:ascii="Arial" w:hAnsi="Arial"/>
                <w:sz w:val="17"/>
              </w:rPr>
              <w:t>15%</w:t>
            </w:r>
          </w:p>
        </w:tc>
        <w:tc>
          <w:tcPr>
            <w:tcW w:type="dxa" w:w="5976"/>
            <w:vAlign w:val="center"/>
          </w:tcPr>
          <w:p>
            <w:pPr>
              <w:spacing w:after="40"/>
            </w:pPr>
            <w:r>
              <w:rPr>
                <w:rFonts w:ascii="Arial" w:hAnsi="Arial"/>
                <w:sz w:val="17"/>
              </w:rPr>
              <w:t>Clear identity, respect, permission, accurate expectations, no pressure</w:t>
            </w:r>
          </w:p>
        </w:tc>
      </w:tr>
      <w:tr>
        <w:tc>
          <w:tcPr>
            <w:tcW w:type="dxa" w:w="2880"/>
            <w:vAlign w:val="center"/>
            <w:shd w:fill="F3F6F8"/>
          </w:tcPr>
          <w:p>
            <w:pPr>
              <w:spacing w:after="40"/>
            </w:pPr>
            <w:r>
              <w:rPr>
                <w:rFonts w:ascii="Arial" w:hAnsi="Arial"/>
                <w:sz w:val="17"/>
              </w:rPr>
              <w:t>Discovery</w:t>
            </w:r>
          </w:p>
        </w:tc>
        <w:tc>
          <w:tcPr>
            <w:tcW w:type="dxa" w:w="1152"/>
            <w:vAlign w:val="center"/>
            <w:shd w:fill="F3F6F8"/>
          </w:tcPr>
          <w:p>
            <w:pPr>
              <w:spacing w:after="40"/>
            </w:pPr>
            <w:r>
              <w:rPr>
                <w:rFonts w:ascii="Arial" w:hAnsi="Arial"/>
                <w:sz w:val="17"/>
              </w:rPr>
              <w:t>20%</w:t>
            </w:r>
          </w:p>
        </w:tc>
        <w:tc>
          <w:tcPr>
            <w:tcW w:type="dxa" w:w="5976"/>
            <w:vAlign w:val="center"/>
            <w:shd w:fill="F3F6F8"/>
          </w:tcPr>
          <w:p>
            <w:pPr>
              <w:spacing w:after="40"/>
            </w:pPr>
            <w:r>
              <w:rPr>
                <w:rFonts w:ascii="Arial" w:hAnsi="Arial"/>
                <w:sz w:val="17"/>
              </w:rPr>
              <w:t>Relevant facts, problems, consequences, outcomes, constraints, and decision path</w:t>
            </w:r>
          </w:p>
        </w:tc>
      </w:tr>
      <w:tr>
        <w:tc>
          <w:tcPr>
            <w:tcW w:type="dxa" w:w="2880"/>
            <w:vAlign w:val="center"/>
          </w:tcPr>
          <w:p>
            <w:pPr>
              <w:spacing w:after="40"/>
            </w:pPr>
            <w:r>
              <w:rPr>
                <w:rFonts w:ascii="Arial" w:hAnsi="Arial"/>
                <w:sz w:val="17"/>
              </w:rPr>
              <w:t>Technical accuracy</w:t>
            </w:r>
          </w:p>
        </w:tc>
        <w:tc>
          <w:tcPr>
            <w:tcW w:type="dxa" w:w="1152"/>
            <w:vAlign w:val="center"/>
          </w:tcPr>
          <w:p>
            <w:pPr>
              <w:spacing w:after="40"/>
            </w:pPr>
            <w:r>
              <w:rPr>
                <w:rFonts w:ascii="Arial" w:hAnsi="Arial"/>
                <w:sz w:val="17"/>
              </w:rPr>
              <w:t>20%</w:t>
            </w:r>
          </w:p>
        </w:tc>
        <w:tc>
          <w:tcPr>
            <w:tcW w:type="dxa" w:w="5976"/>
            <w:vAlign w:val="center"/>
          </w:tcPr>
          <w:p>
            <w:pPr>
              <w:spacing w:after="40"/>
            </w:pPr>
            <w:r>
              <w:rPr>
                <w:rFonts w:ascii="Arial" w:hAnsi="Arial"/>
                <w:sz w:val="17"/>
              </w:rPr>
              <w:t>Evidence-based diagnosis, correct limitations, no unsupported claims</w:t>
            </w:r>
          </w:p>
        </w:tc>
      </w:tr>
      <w:tr>
        <w:tc>
          <w:tcPr>
            <w:tcW w:type="dxa" w:w="2880"/>
            <w:vAlign w:val="center"/>
            <w:shd w:fill="F3F6F8"/>
          </w:tcPr>
          <w:p>
            <w:pPr>
              <w:spacing w:after="40"/>
            </w:pPr>
            <w:r>
              <w:rPr>
                <w:rFonts w:ascii="Arial" w:hAnsi="Arial"/>
                <w:sz w:val="17"/>
              </w:rPr>
              <w:t>Value translation</w:t>
            </w:r>
          </w:p>
        </w:tc>
        <w:tc>
          <w:tcPr>
            <w:tcW w:type="dxa" w:w="1152"/>
            <w:vAlign w:val="center"/>
            <w:shd w:fill="F3F6F8"/>
          </w:tcPr>
          <w:p>
            <w:pPr>
              <w:spacing w:after="40"/>
            </w:pPr>
            <w:r>
              <w:rPr>
                <w:rFonts w:ascii="Arial" w:hAnsi="Arial"/>
                <w:sz w:val="17"/>
              </w:rPr>
              <w:t>15%</w:t>
            </w:r>
          </w:p>
        </w:tc>
        <w:tc>
          <w:tcPr>
            <w:tcW w:type="dxa" w:w="5976"/>
            <w:vAlign w:val="center"/>
            <w:shd w:fill="F3F6F8"/>
          </w:tcPr>
          <w:p>
            <w:pPr>
              <w:spacing w:after="40"/>
            </w:pPr>
            <w:r>
              <w:rPr>
                <w:rFonts w:ascii="Arial" w:hAnsi="Arial"/>
                <w:sz w:val="17"/>
              </w:rPr>
              <w:t>Connects scope to buyer outcomes and risk in plain language</w:t>
            </w:r>
          </w:p>
        </w:tc>
      </w:tr>
      <w:tr>
        <w:tc>
          <w:tcPr>
            <w:tcW w:type="dxa" w:w="2880"/>
            <w:vAlign w:val="center"/>
          </w:tcPr>
          <w:p>
            <w:pPr>
              <w:spacing w:after="40"/>
            </w:pPr>
            <w:r>
              <w:rPr>
                <w:rFonts w:ascii="Arial" w:hAnsi="Arial"/>
                <w:sz w:val="17"/>
              </w:rPr>
              <w:t>Options and recommendation</w:t>
            </w:r>
          </w:p>
        </w:tc>
        <w:tc>
          <w:tcPr>
            <w:tcW w:type="dxa" w:w="1152"/>
            <w:vAlign w:val="center"/>
          </w:tcPr>
          <w:p>
            <w:pPr>
              <w:spacing w:after="40"/>
            </w:pPr>
            <w:r>
              <w:rPr>
                <w:rFonts w:ascii="Arial" w:hAnsi="Arial"/>
                <w:sz w:val="17"/>
              </w:rPr>
              <w:t>10%</w:t>
            </w:r>
          </w:p>
        </w:tc>
        <w:tc>
          <w:tcPr>
            <w:tcW w:type="dxa" w:w="5976"/>
            <w:vAlign w:val="center"/>
          </w:tcPr>
          <w:p>
            <w:pPr>
              <w:spacing w:after="40"/>
            </w:pPr>
            <w:r>
              <w:rPr>
                <w:rFonts w:ascii="Arial" w:hAnsi="Arial"/>
                <w:sz w:val="17"/>
              </w:rPr>
              <w:t>Viable differentiated choices and a reasoned recommendation</w:t>
            </w:r>
          </w:p>
        </w:tc>
      </w:tr>
      <w:tr>
        <w:tc>
          <w:tcPr>
            <w:tcW w:type="dxa" w:w="2880"/>
            <w:vAlign w:val="center"/>
            <w:shd w:fill="F3F6F8"/>
          </w:tcPr>
          <w:p>
            <w:pPr>
              <w:spacing w:after="40"/>
            </w:pPr>
            <w:r>
              <w:rPr>
                <w:rFonts w:ascii="Arial" w:hAnsi="Arial"/>
                <w:sz w:val="17"/>
              </w:rPr>
              <w:t>Objection navigation</w:t>
            </w:r>
          </w:p>
        </w:tc>
        <w:tc>
          <w:tcPr>
            <w:tcW w:type="dxa" w:w="1152"/>
            <w:vAlign w:val="center"/>
            <w:shd w:fill="F3F6F8"/>
          </w:tcPr>
          <w:p>
            <w:pPr>
              <w:spacing w:after="40"/>
            </w:pPr>
            <w:r>
              <w:rPr>
                <w:rFonts w:ascii="Arial" w:hAnsi="Arial"/>
                <w:sz w:val="17"/>
              </w:rPr>
              <w:t>10%</w:t>
            </w:r>
          </w:p>
        </w:tc>
        <w:tc>
          <w:tcPr>
            <w:tcW w:type="dxa" w:w="5976"/>
            <w:vAlign w:val="center"/>
            <w:shd w:fill="F3F6F8"/>
          </w:tcPr>
          <w:p>
            <w:pPr>
              <w:spacing w:after="40"/>
            </w:pPr>
            <w:r>
              <w:rPr>
                <w:rFonts w:ascii="Arial" w:hAnsi="Arial"/>
                <w:sz w:val="17"/>
              </w:rPr>
              <w:t>Clarifies concern, responds specifically, verifies resolution</w:t>
            </w:r>
          </w:p>
        </w:tc>
      </w:tr>
      <w:tr>
        <w:tc>
          <w:tcPr>
            <w:tcW w:type="dxa" w:w="2880"/>
            <w:vAlign w:val="center"/>
          </w:tcPr>
          <w:p>
            <w:pPr>
              <w:spacing w:after="40"/>
            </w:pPr>
            <w:r>
              <w:rPr>
                <w:rFonts w:ascii="Arial" w:hAnsi="Arial"/>
                <w:sz w:val="17"/>
              </w:rPr>
              <w:t>Next-step control</w:t>
            </w:r>
          </w:p>
        </w:tc>
        <w:tc>
          <w:tcPr>
            <w:tcW w:type="dxa" w:w="1152"/>
            <w:vAlign w:val="center"/>
          </w:tcPr>
          <w:p>
            <w:pPr>
              <w:spacing w:after="40"/>
            </w:pPr>
            <w:r>
              <w:rPr>
                <w:rFonts w:ascii="Arial" w:hAnsi="Arial"/>
                <w:sz w:val="17"/>
              </w:rPr>
              <w:t>5%</w:t>
            </w:r>
          </w:p>
        </w:tc>
        <w:tc>
          <w:tcPr>
            <w:tcW w:type="dxa" w:w="5976"/>
            <w:vAlign w:val="center"/>
          </w:tcPr>
          <w:p>
            <w:pPr>
              <w:spacing w:after="40"/>
            </w:pPr>
            <w:r>
              <w:rPr>
                <w:rFonts w:ascii="Arial" w:hAnsi="Arial"/>
                <w:sz w:val="17"/>
              </w:rPr>
              <w:t>Direct ask and mutually clear follow-up</w:t>
            </w:r>
          </w:p>
        </w:tc>
      </w:tr>
      <w:tr>
        <w:tc>
          <w:tcPr>
            <w:tcW w:type="dxa" w:w="2880"/>
            <w:vAlign w:val="center"/>
            <w:shd w:fill="F3F6F8"/>
          </w:tcPr>
          <w:p>
            <w:pPr>
              <w:spacing w:after="40"/>
            </w:pPr>
            <w:r>
              <w:rPr>
                <w:rFonts w:ascii="Arial" w:hAnsi="Arial"/>
                <w:sz w:val="17"/>
              </w:rPr>
              <w:t>Documentation and ethics</w:t>
            </w:r>
          </w:p>
        </w:tc>
        <w:tc>
          <w:tcPr>
            <w:tcW w:type="dxa" w:w="1152"/>
            <w:vAlign w:val="center"/>
            <w:shd w:fill="F3F6F8"/>
          </w:tcPr>
          <w:p>
            <w:pPr>
              <w:spacing w:after="40"/>
            </w:pPr>
            <w:r>
              <w:rPr>
                <w:rFonts w:ascii="Arial" w:hAnsi="Arial"/>
                <w:sz w:val="17"/>
              </w:rPr>
              <w:t>5%</w:t>
            </w:r>
          </w:p>
        </w:tc>
        <w:tc>
          <w:tcPr>
            <w:tcW w:type="dxa" w:w="5976"/>
            <w:vAlign w:val="center"/>
            <w:shd w:fill="F3F6F8"/>
          </w:tcPr>
          <w:p>
            <w:pPr>
              <w:spacing w:after="40"/>
            </w:pPr>
            <w:r>
              <w:rPr>
                <w:rFonts w:ascii="Arial" w:hAnsi="Arial"/>
                <w:sz w:val="17"/>
              </w:rPr>
              <w:t>Accurate scope, promises, disclosures, and handoff</w:t>
            </w:r>
          </w:p>
        </w:tc>
      </w:tr>
    </w:tbl>
    <w:p>
      <w:pPr>
        <w:spacing w:after="40"/>
      </w:pPr>
    </w:p>
    <w:p>
      <w:r>
        <w:t>A critical violation should override the numeric score. Examples include invented hazards, discriminatory conduct, concealed financing cost, knowingly false insurance or code claims, unauthorized work, and a promise operations cannot fulfill.</w:t>
      </w:r>
    </w:p>
    <w:p>
      <w:pPr>
        <w:pStyle w:val="Heading1"/>
      </w:pPr>
      <w:r>
        <w:t>TRUSS Knowledge Architecture</w:t>
      </w:r>
    </w:p>
    <w:p>
      <w:r>
        <w:t>The knowledge base should use small, source-tagged units rather than entire books, videos, or podcast transcripts. Copyrighted works should be summarized into original doctrine and linked metadata unless TRUSS has explicit rights to ingest the full 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728"/>
            <w:shd w:fill="17324D"/>
            <w:vAlign w:val="center"/>
          </w:tcPr>
          <w:p>
            <w:r>
              <w:rPr>
                <w:b/>
                <w:color w:val="FFFFFF"/>
                <w:sz w:val="18"/>
              </w:rPr>
              <w:t>Object</w:t>
            </w:r>
          </w:p>
        </w:tc>
        <w:tc>
          <w:tcPr>
            <w:tcW w:type="dxa" w:w="5472"/>
            <w:shd w:fill="17324D"/>
            <w:vAlign w:val="center"/>
          </w:tcPr>
          <w:p>
            <w:r>
              <w:rPr>
                <w:b/>
                <w:color w:val="FFFFFF"/>
                <w:sz w:val="18"/>
              </w:rPr>
              <w:t>Required fields</w:t>
            </w:r>
          </w:p>
        </w:tc>
        <w:tc>
          <w:tcPr>
            <w:tcW w:type="dxa" w:w="2880"/>
            <w:shd w:fill="17324D"/>
            <w:vAlign w:val="center"/>
          </w:tcPr>
          <w:p>
            <w:r>
              <w:rPr>
                <w:b/>
                <w:color w:val="FFFFFF"/>
                <w:sz w:val="18"/>
              </w:rPr>
              <w:t>Example use</w:t>
            </w:r>
          </w:p>
        </w:tc>
      </w:tr>
      <w:tr>
        <w:tc>
          <w:tcPr>
            <w:tcW w:type="dxa" w:w="1728"/>
            <w:vAlign w:val="center"/>
          </w:tcPr>
          <w:p>
            <w:pPr>
              <w:spacing w:after="40"/>
            </w:pPr>
            <w:r>
              <w:rPr>
                <w:rFonts w:ascii="Arial" w:hAnsi="Arial"/>
                <w:sz w:val="17"/>
              </w:rPr>
              <w:t>Doctrine</w:t>
            </w:r>
          </w:p>
        </w:tc>
        <w:tc>
          <w:tcPr>
            <w:tcW w:type="dxa" w:w="5472"/>
            <w:vAlign w:val="center"/>
          </w:tcPr>
          <w:p>
            <w:pPr>
              <w:spacing w:after="40"/>
            </w:pPr>
            <w:r>
              <w:rPr>
                <w:rFonts w:ascii="Arial" w:hAnsi="Arial"/>
                <w:sz w:val="17"/>
              </w:rPr>
              <w:t>Rule, rationale, applicable motions, exceptions, evidence level, sources</w:t>
            </w:r>
          </w:p>
        </w:tc>
        <w:tc>
          <w:tcPr>
            <w:tcW w:type="dxa" w:w="2880"/>
            <w:vAlign w:val="center"/>
          </w:tcPr>
          <w:p>
            <w:pPr>
              <w:spacing w:after="40"/>
            </w:pPr>
            <w:r>
              <w:rPr>
                <w:rFonts w:ascii="Arial" w:hAnsi="Arial"/>
                <w:sz w:val="17"/>
              </w:rPr>
              <w:t>Diagnosis precedes recommendation</w:t>
            </w:r>
          </w:p>
        </w:tc>
      </w:tr>
      <w:tr>
        <w:tc>
          <w:tcPr>
            <w:tcW w:type="dxa" w:w="1728"/>
            <w:vAlign w:val="center"/>
            <w:shd w:fill="F3F6F8"/>
          </w:tcPr>
          <w:p>
            <w:pPr>
              <w:spacing w:after="40"/>
            </w:pPr>
            <w:r>
              <w:rPr>
                <w:rFonts w:ascii="Arial" w:hAnsi="Arial"/>
                <w:sz w:val="17"/>
              </w:rPr>
              <w:t>Skill</w:t>
            </w:r>
          </w:p>
        </w:tc>
        <w:tc>
          <w:tcPr>
            <w:tcW w:type="dxa" w:w="5472"/>
            <w:vAlign w:val="center"/>
            <w:shd w:fill="F3F6F8"/>
          </w:tcPr>
          <w:p>
            <w:pPr>
              <w:spacing w:after="40"/>
            </w:pPr>
            <w:r>
              <w:rPr>
                <w:rFonts w:ascii="Arial" w:hAnsi="Arial"/>
                <w:sz w:val="17"/>
              </w:rPr>
              <w:t>Behavior, steps, examples, failure modes, scoring anchors</w:t>
            </w:r>
          </w:p>
        </w:tc>
        <w:tc>
          <w:tcPr>
            <w:tcW w:type="dxa" w:w="2880"/>
            <w:vAlign w:val="center"/>
            <w:shd w:fill="F3F6F8"/>
          </w:tcPr>
          <w:p>
            <w:pPr>
              <w:spacing w:after="40"/>
            </w:pPr>
            <w:r>
              <w:rPr>
                <w:rFonts w:ascii="Arial" w:hAnsi="Arial"/>
                <w:sz w:val="17"/>
              </w:rPr>
              <w:t>Clarifying a price objection</w:t>
            </w:r>
          </w:p>
        </w:tc>
      </w:tr>
      <w:tr>
        <w:tc>
          <w:tcPr>
            <w:tcW w:type="dxa" w:w="1728"/>
            <w:vAlign w:val="center"/>
          </w:tcPr>
          <w:p>
            <w:pPr>
              <w:spacing w:after="40"/>
            </w:pPr>
            <w:r>
              <w:rPr>
                <w:rFonts w:ascii="Arial" w:hAnsi="Arial"/>
                <w:sz w:val="17"/>
              </w:rPr>
              <w:t>Scenario</w:t>
            </w:r>
          </w:p>
        </w:tc>
        <w:tc>
          <w:tcPr>
            <w:tcW w:type="dxa" w:w="5472"/>
            <w:vAlign w:val="center"/>
          </w:tcPr>
          <w:p>
            <w:pPr>
              <w:spacing w:after="40"/>
            </w:pPr>
            <w:r>
              <w:rPr>
                <w:rFonts w:ascii="Arial" w:hAnsi="Arial"/>
                <w:sz w:val="17"/>
              </w:rPr>
              <w:t>Trade, motion, buyer state, facts, hidden concerns, constraints, ideal outcome</w:t>
            </w:r>
          </w:p>
        </w:tc>
        <w:tc>
          <w:tcPr>
            <w:tcW w:type="dxa" w:w="2880"/>
            <w:vAlign w:val="center"/>
          </w:tcPr>
          <w:p>
            <w:pPr>
              <w:spacing w:after="40"/>
            </w:pPr>
            <w:r>
              <w:rPr>
                <w:rFonts w:ascii="Arial" w:hAnsi="Arial"/>
                <w:sz w:val="17"/>
              </w:rPr>
              <w:t>No-cool emergency HVAC call</w:t>
            </w:r>
          </w:p>
        </w:tc>
      </w:tr>
      <w:tr>
        <w:tc>
          <w:tcPr>
            <w:tcW w:type="dxa" w:w="1728"/>
            <w:vAlign w:val="center"/>
            <w:shd w:fill="F3F6F8"/>
          </w:tcPr>
          <w:p>
            <w:pPr>
              <w:spacing w:after="40"/>
            </w:pPr>
            <w:r>
              <w:rPr>
                <w:rFonts w:ascii="Arial" w:hAnsi="Arial"/>
                <w:sz w:val="17"/>
              </w:rPr>
              <w:t>Objection</w:t>
            </w:r>
          </w:p>
        </w:tc>
        <w:tc>
          <w:tcPr>
            <w:tcW w:type="dxa" w:w="5472"/>
            <w:vAlign w:val="center"/>
            <w:shd w:fill="F3F6F8"/>
          </w:tcPr>
          <w:p>
            <w:pPr>
              <w:spacing w:after="40"/>
            </w:pPr>
            <w:r>
              <w:rPr>
                <w:rFonts w:ascii="Arial" w:hAnsi="Arial"/>
                <w:sz w:val="17"/>
              </w:rPr>
              <w:t>Utterance variants, likely meanings, clarifiers, allowed responses, prohibited tactics</w:t>
            </w:r>
          </w:p>
        </w:tc>
        <w:tc>
          <w:tcPr>
            <w:tcW w:type="dxa" w:w="2880"/>
            <w:vAlign w:val="center"/>
            <w:shd w:fill="F3F6F8"/>
          </w:tcPr>
          <w:p>
            <w:pPr>
              <w:spacing w:after="40"/>
            </w:pPr>
            <w:r>
              <w:rPr>
                <w:rFonts w:ascii="Arial" w:hAnsi="Arial"/>
                <w:sz w:val="17"/>
              </w:rPr>
              <w:t>I need another estimate</w:t>
            </w:r>
          </w:p>
        </w:tc>
      </w:tr>
      <w:tr>
        <w:tc>
          <w:tcPr>
            <w:tcW w:type="dxa" w:w="1728"/>
            <w:vAlign w:val="center"/>
          </w:tcPr>
          <w:p>
            <w:pPr>
              <w:spacing w:after="40"/>
            </w:pPr>
            <w:r>
              <w:rPr>
                <w:rFonts w:ascii="Arial" w:hAnsi="Arial"/>
                <w:sz w:val="17"/>
              </w:rPr>
              <w:t>Proof item</w:t>
            </w:r>
          </w:p>
        </w:tc>
        <w:tc>
          <w:tcPr>
            <w:tcW w:type="dxa" w:w="5472"/>
            <w:vAlign w:val="center"/>
          </w:tcPr>
          <w:p>
            <w:pPr>
              <w:spacing w:after="40"/>
            </w:pPr>
            <w:r>
              <w:rPr>
                <w:rFonts w:ascii="Arial" w:hAnsi="Arial"/>
                <w:sz w:val="17"/>
              </w:rPr>
              <w:t>Claim, acceptable evidence, limitations, trade and jurisdiction tags</w:t>
            </w:r>
          </w:p>
        </w:tc>
        <w:tc>
          <w:tcPr>
            <w:tcW w:type="dxa" w:w="2880"/>
            <w:vAlign w:val="center"/>
          </w:tcPr>
          <w:p>
            <w:pPr>
              <w:spacing w:after="40"/>
            </w:pPr>
            <w:r>
              <w:rPr>
                <w:rFonts w:ascii="Arial" w:hAnsi="Arial"/>
                <w:sz w:val="17"/>
              </w:rPr>
              <w:t>Manual J supports sizing</w:t>
            </w:r>
          </w:p>
        </w:tc>
      </w:tr>
      <w:tr>
        <w:tc>
          <w:tcPr>
            <w:tcW w:type="dxa" w:w="1728"/>
            <w:vAlign w:val="center"/>
            <w:shd w:fill="F3F6F8"/>
          </w:tcPr>
          <w:p>
            <w:pPr>
              <w:spacing w:after="40"/>
            </w:pPr>
            <w:r>
              <w:rPr>
                <w:rFonts w:ascii="Arial" w:hAnsi="Arial"/>
                <w:sz w:val="17"/>
              </w:rPr>
              <w:t>Metric</w:t>
            </w:r>
          </w:p>
        </w:tc>
        <w:tc>
          <w:tcPr>
            <w:tcW w:type="dxa" w:w="5472"/>
            <w:vAlign w:val="center"/>
            <w:shd w:fill="F3F6F8"/>
          </w:tcPr>
          <w:p>
            <w:pPr>
              <w:spacing w:after="40"/>
            </w:pPr>
            <w:r>
              <w:rPr>
                <w:rFonts w:ascii="Arial" w:hAnsi="Arial"/>
                <w:sz w:val="17"/>
              </w:rPr>
              <w:t>Definition, formula, source system, interpretation, guardrails</w:t>
            </w:r>
          </w:p>
        </w:tc>
        <w:tc>
          <w:tcPr>
            <w:tcW w:type="dxa" w:w="2880"/>
            <w:vAlign w:val="center"/>
            <w:shd w:fill="F3F6F8"/>
          </w:tcPr>
          <w:p>
            <w:pPr>
              <w:spacing w:after="40"/>
            </w:pPr>
            <w:r>
              <w:rPr>
                <w:rFonts w:ascii="Arial" w:hAnsi="Arial"/>
                <w:sz w:val="17"/>
              </w:rPr>
              <w:t>Revenue per lead</w:t>
            </w:r>
          </w:p>
        </w:tc>
      </w:tr>
      <w:tr>
        <w:tc>
          <w:tcPr>
            <w:tcW w:type="dxa" w:w="1728"/>
            <w:vAlign w:val="center"/>
          </w:tcPr>
          <w:p>
            <w:pPr>
              <w:spacing w:after="40"/>
            </w:pPr>
            <w:r>
              <w:rPr>
                <w:rFonts w:ascii="Arial" w:hAnsi="Arial"/>
                <w:sz w:val="17"/>
              </w:rPr>
              <w:t>Compliance rule</w:t>
            </w:r>
          </w:p>
        </w:tc>
        <w:tc>
          <w:tcPr>
            <w:tcW w:type="dxa" w:w="5472"/>
            <w:vAlign w:val="center"/>
          </w:tcPr>
          <w:p>
            <w:pPr>
              <w:spacing w:after="40"/>
            </w:pPr>
            <w:r>
              <w:rPr>
                <w:rFonts w:ascii="Arial" w:hAnsi="Arial"/>
                <w:sz w:val="17"/>
              </w:rPr>
              <w:t>Jurisdiction, trigger, required action, prohibited action, review date, source</w:t>
            </w:r>
          </w:p>
        </w:tc>
        <w:tc>
          <w:tcPr>
            <w:tcW w:type="dxa" w:w="2880"/>
            <w:vAlign w:val="center"/>
          </w:tcPr>
          <w:p>
            <w:pPr>
              <w:spacing w:after="40"/>
            </w:pPr>
            <w:r>
              <w:rPr>
                <w:rFonts w:ascii="Arial" w:hAnsi="Arial"/>
                <w:sz w:val="17"/>
              </w:rPr>
              <w:t>Federal Cooling-Off Rule</w:t>
            </w:r>
          </w:p>
        </w:tc>
      </w:tr>
      <w:tr>
        <w:tc>
          <w:tcPr>
            <w:tcW w:type="dxa" w:w="1728"/>
            <w:vAlign w:val="center"/>
            <w:shd w:fill="F3F6F8"/>
          </w:tcPr>
          <w:p>
            <w:pPr>
              <w:spacing w:after="40"/>
            </w:pPr>
            <w:r>
              <w:rPr>
                <w:rFonts w:ascii="Arial" w:hAnsi="Arial"/>
                <w:sz w:val="17"/>
              </w:rPr>
              <w:t>Source record</w:t>
            </w:r>
          </w:p>
        </w:tc>
        <w:tc>
          <w:tcPr>
            <w:tcW w:type="dxa" w:w="5472"/>
            <w:vAlign w:val="center"/>
            <w:shd w:fill="F3F6F8"/>
          </w:tcPr>
          <w:p>
            <w:pPr>
              <w:spacing w:after="40"/>
            </w:pPr>
            <w:r>
              <w:rPr>
                <w:rFonts w:ascii="Arial" w:hAnsi="Arial"/>
                <w:sz w:val="17"/>
              </w:rPr>
              <w:t>Creator, title, format, date, URL, rights status, reliability, topics</w:t>
            </w:r>
          </w:p>
        </w:tc>
        <w:tc>
          <w:tcPr>
            <w:tcW w:type="dxa" w:w="2880"/>
            <w:vAlign w:val="center"/>
            <w:shd w:fill="F3F6F8"/>
          </w:tcPr>
          <w:p>
            <w:pPr>
              <w:spacing w:after="40"/>
            </w:pPr>
            <w:r>
              <w:rPr>
                <w:rFonts w:ascii="Arial" w:hAnsi="Arial"/>
                <w:sz w:val="17"/>
              </w:rPr>
              <w:t>Podcast episode or survey report</w:t>
            </w:r>
          </w:p>
        </w:tc>
      </w:tr>
    </w:tbl>
    <w:p>
      <w:pPr>
        <w:spacing w:after="40"/>
      </w:pPr>
    </w:p>
    <w:p>
      <w:pPr>
        <w:pStyle w:val="Heading2"/>
      </w:pPr>
      <w:r>
        <w:t>Retrieval and Response Rules</w:t>
      </w:r>
    </w:p>
    <w:p>
      <w:pPr>
        <w:pStyle w:val="ListBullet"/>
      </w:pPr>
      <w:r>
        <w:t>Retrieve by sales motion before trade. Then filter by trade, buyer type, funnel stage, and jurisdiction.</w:t>
      </w:r>
    </w:p>
    <w:p>
      <w:pPr>
        <w:pStyle w:val="ListBullet"/>
      </w:pPr>
      <w:r>
        <w:t>Prefer official and independent evidence for factual claims. Use practitioner material for technique and language, clearly labeled as practitioner guidance.</w:t>
      </w:r>
    </w:p>
    <w:p>
      <w:pPr>
        <w:pStyle w:val="ListBullet"/>
      </w:pPr>
      <w:r>
        <w:t>Never output a numeric benchmark without its population, period, and source.</w:t>
      </w:r>
    </w:p>
    <w:p>
      <w:pPr>
        <w:pStyle w:val="ListBullet"/>
      </w:pPr>
      <w:r>
        <w:t>When technical or legal certainty is missing, ask for evidence or advise verification. Do not improvise code, safety, insurance, or financing claims.</w:t>
      </w:r>
    </w:p>
    <w:p>
      <w:pPr>
        <w:pStyle w:val="ListBullet"/>
      </w:pPr>
      <w:r>
        <w:t>Generate questions and decision support before generating rebuttals.</w:t>
      </w:r>
    </w:p>
    <w:p>
      <w:pPr>
        <w:pStyle w:val="ListBullet"/>
      </w:pPr>
      <w:r>
        <w:t>Keep customer-facing language natural. The representative should understand the principle rather than recite a rigid script.</w:t>
      </w:r>
    </w:p>
    <w:p>
      <w:pPr>
        <w:pStyle w:val="ListBullet"/>
      </w:pPr>
      <w:r>
        <w:t>Score both effectiveness and integrity. Penalize pressure, exaggeration, premature pitching, weak listening, and undocumented promises.</w:t>
      </w:r>
    </w:p>
    <w:p>
      <w:pPr>
        <w:pStyle w:val="Heading1"/>
      </w:pPr>
      <w:r>
        <w:t>Training Content Roadmap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936"/>
            <w:shd w:fill="17324D"/>
            <w:vAlign w:val="center"/>
          </w:tcPr>
          <w:p>
            <w:r>
              <w:rPr>
                <w:b/>
                <w:color w:val="FFFFFF"/>
                <w:sz w:val="18"/>
              </w:rPr>
              <w:t>Priority</w:t>
            </w:r>
          </w:p>
        </w:tc>
        <w:tc>
          <w:tcPr>
            <w:tcW w:type="dxa" w:w="3456"/>
            <w:shd w:fill="17324D"/>
            <w:vAlign w:val="center"/>
          </w:tcPr>
          <w:p>
            <w:r>
              <w:rPr>
                <w:b/>
                <w:color w:val="FFFFFF"/>
                <w:sz w:val="18"/>
              </w:rPr>
              <w:t>Module</w:t>
            </w:r>
          </w:p>
        </w:tc>
        <w:tc>
          <w:tcPr>
            <w:tcW w:type="dxa" w:w="5760"/>
            <w:shd w:fill="17324D"/>
            <w:vAlign w:val="center"/>
          </w:tcPr>
          <w:p>
            <w:r>
              <w:rPr>
                <w:b/>
                <w:color w:val="FFFFFF"/>
                <w:sz w:val="18"/>
              </w:rPr>
              <w:t>Core assets to build</w:t>
            </w:r>
          </w:p>
        </w:tc>
      </w:tr>
      <w:tr>
        <w:tc>
          <w:tcPr>
            <w:tcW w:type="dxa" w:w="936"/>
            <w:vAlign w:val="center"/>
          </w:tcPr>
          <w:p>
            <w:pPr>
              <w:spacing w:after="40"/>
            </w:pPr>
            <w:r>
              <w:rPr>
                <w:rFonts w:ascii="Arial" w:hAnsi="Arial"/>
                <w:sz w:val="17"/>
              </w:rPr>
              <w:t>1</w:t>
            </w:r>
          </w:p>
        </w:tc>
        <w:tc>
          <w:tcPr>
            <w:tcW w:type="dxa" w:w="3456"/>
            <w:vAlign w:val="center"/>
          </w:tcPr>
          <w:p>
            <w:pPr>
              <w:spacing w:after="40"/>
            </w:pPr>
            <w:r>
              <w:rPr>
                <w:rFonts w:ascii="Arial" w:hAnsi="Arial"/>
                <w:sz w:val="17"/>
              </w:rPr>
              <w:t>Sales motion identification</w:t>
            </w:r>
          </w:p>
        </w:tc>
        <w:tc>
          <w:tcPr>
            <w:tcW w:type="dxa" w:w="5760"/>
            <w:vAlign w:val="center"/>
          </w:tcPr>
          <w:p>
            <w:pPr>
              <w:spacing w:after="40"/>
            </w:pPr>
            <w:r>
              <w:rPr>
                <w:rFonts w:ascii="Arial" w:hAnsi="Arial"/>
                <w:sz w:val="17"/>
              </w:rPr>
              <w:t>Classifier examples, edge cases, coaching-mode rules</w:t>
            </w:r>
          </w:p>
        </w:tc>
      </w:tr>
      <w:tr>
        <w:tc>
          <w:tcPr>
            <w:tcW w:type="dxa" w:w="936"/>
            <w:vAlign w:val="center"/>
            <w:shd w:fill="F3F6F8"/>
          </w:tcPr>
          <w:p>
            <w:pPr>
              <w:spacing w:after="40"/>
            </w:pPr>
            <w:r>
              <w:rPr>
                <w:rFonts w:ascii="Arial" w:hAnsi="Arial"/>
                <w:sz w:val="17"/>
              </w:rPr>
              <w:t>1</w:t>
            </w:r>
          </w:p>
        </w:tc>
        <w:tc>
          <w:tcPr>
            <w:tcW w:type="dxa" w:w="3456"/>
            <w:vAlign w:val="center"/>
            <w:shd w:fill="F3F6F8"/>
          </w:tcPr>
          <w:p>
            <w:pPr>
              <w:spacing w:after="40"/>
            </w:pPr>
            <w:r>
              <w:rPr>
                <w:rFonts w:ascii="Arial" w:hAnsi="Arial"/>
                <w:sz w:val="17"/>
              </w:rPr>
              <w:t>Trust and first impression</w:t>
            </w:r>
          </w:p>
        </w:tc>
        <w:tc>
          <w:tcPr>
            <w:tcW w:type="dxa" w:w="5760"/>
            <w:vAlign w:val="center"/>
            <w:shd w:fill="F3F6F8"/>
          </w:tcPr>
          <w:p>
            <w:pPr>
              <w:spacing w:after="40"/>
            </w:pPr>
            <w:r>
              <w:rPr>
                <w:rFonts w:ascii="Arial" w:hAnsi="Arial"/>
                <w:sz w:val="17"/>
              </w:rPr>
              <w:t>Call and arrival roleplays, professionalism rubric</w:t>
            </w:r>
          </w:p>
        </w:tc>
      </w:tr>
      <w:tr>
        <w:tc>
          <w:tcPr>
            <w:tcW w:type="dxa" w:w="936"/>
            <w:vAlign w:val="center"/>
          </w:tcPr>
          <w:p>
            <w:pPr>
              <w:spacing w:after="40"/>
            </w:pPr>
            <w:r>
              <w:rPr>
                <w:rFonts w:ascii="Arial" w:hAnsi="Arial"/>
                <w:sz w:val="17"/>
              </w:rPr>
              <w:t>1</w:t>
            </w:r>
          </w:p>
        </w:tc>
        <w:tc>
          <w:tcPr>
            <w:tcW w:type="dxa" w:w="3456"/>
            <w:vAlign w:val="center"/>
          </w:tcPr>
          <w:p>
            <w:pPr>
              <w:spacing w:after="40"/>
            </w:pPr>
            <w:r>
              <w:rPr>
                <w:rFonts w:ascii="Arial" w:hAnsi="Arial"/>
                <w:sz w:val="17"/>
              </w:rPr>
              <w:t>Diagnostic discovery</w:t>
            </w:r>
          </w:p>
        </w:tc>
        <w:tc>
          <w:tcPr>
            <w:tcW w:type="dxa" w:w="5760"/>
            <w:vAlign w:val="center"/>
          </w:tcPr>
          <w:p>
            <w:pPr>
              <w:spacing w:after="40"/>
            </w:pPr>
            <w:r>
              <w:rPr>
                <w:rFonts w:ascii="Arial" w:hAnsi="Arial"/>
                <w:sz w:val="17"/>
              </w:rPr>
              <w:t>Question bank by trade, listening drills, implication guardrails</w:t>
            </w:r>
          </w:p>
        </w:tc>
      </w:tr>
      <w:tr>
        <w:tc>
          <w:tcPr>
            <w:tcW w:type="dxa" w:w="936"/>
            <w:vAlign w:val="center"/>
            <w:shd w:fill="F3F6F8"/>
          </w:tcPr>
          <w:p>
            <w:pPr>
              <w:spacing w:after="40"/>
            </w:pPr>
            <w:r>
              <w:rPr>
                <w:rFonts w:ascii="Arial" w:hAnsi="Arial"/>
                <w:sz w:val="17"/>
              </w:rPr>
              <w:t>1</w:t>
            </w:r>
          </w:p>
        </w:tc>
        <w:tc>
          <w:tcPr>
            <w:tcW w:type="dxa" w:w="3456"/>
            <w:vAlign w:val="center"/>
            <w:shd w:fill="F3F6F8"/>
          </w:tcPr>
          <w:p>
            <w:pPr>
              <w:spacing w:after="40"/>
            </w:pPr>
            <w:r>
              <w:rPr>
                <w:rFonts w:ascii="Arial" w:hAnsi="Arial"/>
                <w:sz w:val="17"/>
              </w:rPr>
              <w:t>Options and recommendations</w:t>
            </w:r>
          </w:p>
        </w:tc>
        <w:tc>
          <w:tcPr>
            <w:tcW w:type="dxa" w:w="5760"/>
            <w:vAlign w:val="center"/>
            <w:shd w:fill="F3F6F8"/>
          </w:tcPr>
          <w:p>
            <w:pPr>
              <w:spacing w:after="40"/>
            </w:pPr>
            <w:r>
              <w:rPr>
                <w:rFonts w:ascii="Arial" w:hAnsi="Arial"/>
                <w:sz w:val="17"/>
              </w:rPr>
              <w:t>Proposal examples, option-quality test, presentation roleplays</w:t>
            </w:r>
          </w:p>
        </w:tc>
      </w:tr>
      <w:tr>
        <w:tc>
          <w:tcPr>
            <w:tcW w:type="dxa" w:w="936"/>
            <w:vAlign w:val="center"/>
          </w:tcPr>
          <w:p>
            <w:pPr>
              <w:spacing w:after="40"/>
            </w:pPr>
            <w:r>
              <w:rPr>
                <w:rFonts w:ascii="Arial" w:hAnsi="Arial"/>
                <w:sz w:val="17"/>
              </w:rPr>
              <w:t>1</w:t>
            </w:r>
          </w:p>
        </w:tc>
        <w:tc>
          <w:tcPr>
            <w:tcW w:type="dxa" w:w="3456"/>
            <w:vAlign w:val="center"/>
          </w:tcPr>
          <w:p>
            <w:pPr>
              <w:spacing w:after="40"/>
            </w:pPr>
            <w:r>
              <w:rPr>
                <w:rFonts w:ascii="Arial" w:hAnsi="Arial"/>
                <w:sz w:val="17"/>
              </w:rPr>
              <w:t>Objections and decisions</w:t>
            </w:r>
          </w:p>
        </w:tc>
        <w:tc>
          <w:tcPr>
            <w:tcW w:type="dxa" w:w="5760"/>
            <w:vAlign w:val="center"/>
          </w:tcPr>
          <w:p>
            <w:pPr>
              <w:spacing w:after="40"/>
            </w:pPr>
            <w:r>
              <w:rPr>
                <w:rFonts w:ascii="Arial" w:hAnsi="Arial"/>
                <w:sz w:val="17"/>
              </w:rPr>
              <w:t>Objection library, clarifying drills, follow-up patterns</w:t>
            </w:r>
          </w:p>
        </w:tc>
      </w:tr>
      <w:tr>
        <w:tc>
          <w:tcPr>
            <w:tcW w:type="dxa" w:w="936"/>
            <w:vAlign w:val="center"/>
            <w:shd w:fill="F3F6F8"/>
          </w:tcPr>
          <w:p>
            <w:pPr>
              <w:spacing w:after="40"/>
            </w:pPr>
            <w:r>
              <w:rPr>
                <w:rFonts w:ascii="Arial" w:hAnsi="Arial"/>
                <w:sz w:val="17"/>
              </w:rPr>
              <w:t>1</w:t>
            </w:r>
          </w:p>
        </w:tc>
        <w:tc>
          <w:tcPr>
            <w:tcW w:type="dxa" w:w="3456"/>
            <w:vAlign w:val="center"/>
            <w:shd w:fill="F3F6F8"/>
          </w:tcPr>
          <w:p>
            <w:pPr>
              <w:spacing w:after="40"/>
            </w:pPr>
            <w:r>
              <w:rPr>
                <w:rFonts w:ascii="Arial" w:hAnsi="Arial"/>
                <w:sz w:val="17"/>
              </w:rPr>
              <w:t>Ethics and compliance</w:t>
            </w:r>
          </w:p>
        </w:tc>
        <w:tc>
          <w:tcPr>
            <w:tcW w:type="dxa" w:w="5760"/>
            <w:vAlign w:val="center"/>
            <w:shd w:fill="F3F6F8"/>
          </w:tcPr>
          <w:p>
            <w:pPr>
              <w:spacing w:after="40"/>
            </w:pPr>
            <w:r>
              <w:rPr>
                <w:rFonts w:ascii="Arial" w:hAnsi="Arial"/>
                <w:sz w:val="17"/>
              </w:rPr>
              <w:t>Red-flag classifier, refusal rules, federal baseline, state review workflow</w:t>
            </w:r>
          </w:p>
        </w:tc>
      </w:tr>
      <w:tr>
        <w:tc>
          <w:tcPr>
            <w:tcW w:type="dxa" w:w="936"/>
            <w:vAlign w:val="center"/>
          </w:tcPr>
          <w:p>
            <w:pPr>
              <w:spacing w:after="40"/>
            </w:pPr>
            <w:r>
              <w:rPr>
                <w:rFonts w:ascii="Arial" w:hAnsi="Arial"/>
                <w:sz w:val="17"/>
              </w:rPr>
              <w:t>2</w:t>
            </w:r>
          </w:p>
        </w:tc>
        <w:tc>
          <w:tcPr>
            <w:tcW w:type="dxa" w:w="3456"/>
            <w:vAlign w:val="center"/>
          </w:tcPr>
          <w:p>
            <w:pPr>
              <w:spacing w:after="40"/>
            </w:pPr>
            <w:r>
              <w:rPr>
                <w:rFonts w:ascii="Arial" w:hAnsi="Arial"/>
                <w:sz w:val="17"/>
              </w:rPr>
              <w:t>Front office conversion</w:t>
            </w:r>
          </w:p>
        </w:tc>
        <w:tc>
          <w:tcPr>
            <w:tcW w:type="dxa" w:w="5760"/>
            <w:vAlign w:val="center"/>
          </w:tcPr>
          <w:p>
            <w:pPr>
              <w:spacing w:after="40"/>
            </w:pPr>
            <w:r>
              <w:rPr>
                <w:rFonts w:ascii="Arial" w:hAnsi="Arial"/>
                <w:sz w:val="17"/>
              </w:rPr>
              <w:t>Call scoring, booking simulations, dispatch handoff</w:t>
            </w:r>
          </w:p>
        </w:tc>
      </w:tr>
      <w:tr>
        <w:tc>
          <w:tcPr>
            <w:tcW w:type="dxa" w:w="936"/>
            <w:vAlign w:val="center"/>
            <w:shd w:fill="F3F6F8"/>
          </w:tcPr>
          <w:p>
            <w:pPr>
              <w:spacing w:after="40"/>
            </w:pPr>
            <w:r>
              <w:rPr>
                <w:rFonts w:ascii="Arial" w:hAnsi="Arial"/>
                <w:sz w:val="17"/>
              </w:rPr>
              <w:t>2</w:t>
            </w:r>
          </w:p>
        </w:tc>
        <w:tc>
          <w:tcPr>
            <w:tcW w:type="dxa" w:w="3456"/>
            <w:vAlign w:val="center"/>
            <w:shd w:fill="F3F6F8"/>
          </w:tcPr>
          <w:p>
            <w:pPr>
              <w:spacing w:after="40"/>
            </w:pPr>
            <w:r>
              <w:rPr>
                <w:rFonts w:ascii="Arial" w:hAnsi="Arial"/>
                <w:sz w:val="17"/>
              </w:rPr>
              <w:t>Technician-led opportunities</w:t>
            </w:r>
          </w:p>
        </w:tc>
        <w:tc>
          <w:tcPr>
            <w:tcW w:type="dxa" w:w="5760"/>
            <w:vAlign w:val="center"/>
            <w:shd w:fill="F3F6F8"/>
          </w:tcPr>
          <w:p>
            <w:pPr>
              <w:spacing w:after="40"/>
            </w:pPr>
            <w:r>
              <w:rPr>
                <w:rFonts w:ascii="Arial" w:hAnsi="Arial"/>
                <w:sz w:val="17"/>
              </w:rPr>
              <w:t>Permission language, evidence thresholds, no-pressure recommendations</w:t>
            </w:r>
          </w:p>
        </w:tc>
      </w:tr>
      <w:tr>
        <w:tc>
          <w:tcPr>
            <w:tcW w:type="dxa" w:w="936"/>
            <w:vAlign w:val="center"/>
          </w:tcPr>
          <w:p>
            <w:pPr>
              <w:spacing w:after="40"/>
            </w:pPr>
            <w:r>
              <w:rPr>
                <w:rFonts w:ascii="Arial" w:hAnsi="Arial"/>
                <w:sz w:val="17"/>
              </w:rPr>
              <w:t>2</w:t>
            </w:r>
          </w:p>
        </w:tc>
        <w:tc>
          <w:tcPr>
            <w:tcW w:type="dxa" w:w="3456"/>
            <w:vAlign w:val="center"/>
          </w:tcPr>
          <w:p>
            <w:pPr>
              <w:spacing w:after="40"/>
            </w:pPr>
            <w:r>
              <w:rPr>
                <w:rFonts w:ascii="Arial" w:hAnsi="Arial"/>
                <w:sz w:val="17"/>
              </w:rPr>
              <w:t>Commercial account development</w:t>
            </w:r>
          </w:p>
        </w:tc>
        <w:tc>
          <w:tcPr>
            <w:tcW w:type="dxa" w:w="5760"/>
            <w:vAlign w:val="center"/>
          </w:tcPr>
          <w:p>
            <w:pPr>
              <w:spacing w:after="40"/>
            </w:pPr>
            <w:r>
              <w:rPr>
                <w:rFonts w:ascii="Arial" w:hAnsi="Arial"/>
                <w:sz w:val="17"/>
              </w:rPr>
              <w:t>ICP, research, stakeholder maps, outreach, meeting planning</w:t>
            </w:r>
          </w:p>
        </w:tc>
      </w:tr>
      <w:tr>
        <w:tc>
          <w:tcPr>
            <w:tcW w:type="dxa" w:w="936"/>
            <w:vAlign w:val="center"/>
            <w:shd w:fill="F3F6F8"/>
          </w:tcPr>
          <w:p>
            <w:pPr>
              <w:spacing w:after="40"/>
            </w:pPr>
            <w:r>
              <w:rPr>
                <w:rFonts w:ascii="Arial" w:hAnsi="Arial"/>
                <w:sz w:val="17"/>
              </w:rPr>
              <w:t>2</w:t>
            </w:r>
          </w:p>
        </w:tc>
        <w:tc>
          <w:tcPr>
            <w:tcW w:type="dxa" w:w="3456"/>
            <w:vAlign w:val="center"/>
            <w:shd w:fill="F3F6F8"/>
          </w:tcPr>
          <w:p>
            <w:pPr>
              <w:spacing w:after="40"/>
            </w:pPr>
            <w:r>
              <w:rPr>
                <w:rFonts w:ascii="Arial" w:hAnsi="Arial"/>
                <w:sz w:val="17"/>
              </w:rPr>
              <w:t>Commercial pursuits</w:t>
            </w:r>
          </w:p>
        </w:tc>
        <w:tc>
          <w:tcPr>
            <w:tcW w:type="dxa" w:w="5760"/>
            <w:vAlign w:val="center"/>
            <w:shd w:fill="F3F6F8"/>
          </w:tcPr>
          <w:p>
            <w:pPr>
              <w:spacing w:after="40"/>
            </w:pPr>
            <w:r>
              <w:rPr>
                <w:rFonts w:ascii="Arial" w:hAnsi="Arial"/>
                <w:sz w:val="17"/>
              </w:rPr>
              <w:t>Qualification, go or no-go, proposal and interview coaching</w:t>
            </w:r>
          </w:p>
        </w:tc>
      </w:tr>
      <w:tr>
        <w:tc>
          <w:tcPr>
            <w:tcW w:type="dxa" w:w="936"/>
            <w:vAlign w:val="center"/>
          </w:tcPr>
          <w:p>
            <w:pPr>
              <w:spacing w:after="40"/>
            </w:pPr>
            <w:r>
              <w:rPr>
                <w:rFonts w:ascii="Arial" w:hAnsi="Arial"/>
                <w:sz w:val="17"/>
              </w:rPr>
              <w:t>3</w:t>
            </w:r>
          </w:p>
        </w:tc>
        <w:tc>
          <w:tcPr>
            <w:tcW w:type="dxa" w:w="3456"/>
            <w:vAlign w:val="center"/>
          </w:tcPr>
          <w:p>
            <w:pPr>
              <w:spacing w:after="40"/>
            </w:pPr>
            <w:r>
              <w:rPr>
                <w:rFonts w:ascii="Arial" w:hAnsi="Arial"/>
                <w:sz w:val="17"/>
              </w:rPr>
              <w:t>Trade depth packs</w:t>
            </w:r>
          </w:p>
        </w:tc>
        <w:tc>
          <w:tcPr>
            <w:tcW w:type="dxa" w:w="5760"/>
            <w:vAlign w:val="center"/>
          </w:tcPr>
          <w:p>
            <w:pPr>
              <w:spacing w:after="40"/>
            </w:pPr>
            <w:r>
              <w:rPr>
                <w:rFonts w:ascii="Arial" w:hAnsi="Arial"/>
                <w:sz w:val="17"/>
              </w:rPr>
              <w:t>HVAC, plumbing, electrical, roofing, remodeling, landscaping, pest</w:t>
            </w:r>
          </w:p>
        </w:tc>
      </w:tr>
      <w:tr>
        <w:tc>
          <w:tcPr>
            <w:tcW w:type="dxa" w:w="936"/>
            <w:vAlign w:val="center"/>
            <w:shd w:fill="F3F6F8"/>
          </w:tcPr>
          <w:p>
            <w:pPr>
              <w:spacing w:after="40"/>
            </w:pPr>
            <w:r>
              <w:rPr>
                <w:rFonts w:ascii="Arial" w:hAnsi="Arial"/>
                <w:sz w:val="17"/>
              </w:rPr>
              <w:t>3</w:t>
            </w:r>
          </w:p>
        </w:tc>
        <w:tc>
          <w:tcPr>
            <w:tcW w:type="dxa" w:w="3456"/>
            <w:vAlign w:val="center"/>
            <w:shd w:fill="F3F6F8"/>
          </w:tcPr>
          <w:p>
            <w:pPr>
              <w:spacing w:after="40"/>
            </w:pPr>
            <w:r>
              <w:rPr>
                <w:rFonts w:ascii="Arial" w:hAnsi="Arial"/>
                <w:sz w:val="17"/>
              </w:rPr>
              <w:t>Manager coaching</w:t>
            </w:r>
          </w:p>
        </w:tc>
        <w:tc>
          <w:tcPr>
            <w:tcW w:type="dxa" w:w="5760"/>
            <w:vAlign w:val="center"/>
            <w:shd w:fill="F3F6F8"/>
          </w:tcPr>
          <w:p>
            <w:pPr>
              <w:spacing w:after="40"/>
            </w:pPr>
            <w:r>
              <w:rPr>
                <w:rFonts w:ascii="Arial" w:hAnsi="Arial"/>
                <w:sz w:val="17"/>
              </w:rPr>
              <w:t>Call review, KPI diagnosis, calibration cases, coaching plans</w:t>
            </w:r>
          </w:p>
        </w:tc>
      </w:tr>
    </w:tbl>
    <w:p>
      <w:pPr>
        <w:spacing w:after="40"/>
      </w:pPr>
    </w:p>
    <w:p>
      <w:pPr>
        <w:pStyle w:val="Heading1"/>
      </w:pPr>
      <w:r>
        <w:t>Source Use Policy</w:t>
      </w:r>
    </w:p>
    <w:p>
      <w:pPr>
        <w:pStyle w:val="ListBullet"/>
      </w:pPr>
      <w:r>
        <w:t>Tier A: Government rules, standards bodies, original datasets, and peer-reviewed research. Use for facts, safety, compliance, and durable principles.</w:t>
      </w:r>
    </w:p>
    <w:p>
      <w:pPr>
        <w:pStyle w:val="ListBullet"/>
      </w:pPr>
      <w:r>
        <w:t>Tier B: Transparent industry surveys and platform datasets. Use with population, date, and vendor-interest caveats.</w:t>
      </w:r>
    </w:p>
    <w:p>
      <w:pPr>
        <w:pStyle w:val="ListBullet"/>
      </w:pPr>
      <w:r>
        <w:t>Tier C: Established practitioner books, podcasts, courses, and roleplays. Use for hypotheses, language, scenarios, and drills. Validate before presenting claims as universal.</w:t>
      </w:r>
    </w:p>
    <w:p>
      <w:pPr>
        <w:pStyle w:val="ListBullet"/>
      </w:pPr>
      <w:r>
        <w:t>Tier D: Anonymous posts, isolated testimonials, and promotional claims without methods. Use only to discover questions or objections, not as authoritative training truth.</w:t>
      </w:r>
    </w:p>
    <w:p>
      <w:pPr>
        <w:pStyle w:val="ListBullet"/>
      </w:pPr>
      <w:r>
        <w:t>Track publication date, jurisdiction, trade, buyer type, funnel stage, rights status, and last review date for every record.</w:t>
      </w:r>
    </w:p>
    <w:p>
      <w:pPr>
        <w:pStyle w:val="Heading1"/>
      </w:pPr>
      <w:r>
        <w:t>Books and Long Form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3240"/>
            <w:shd w:fill="17324D"/>
            <w:vAlign w:val="center"/>
          </w:tcPr>
          <w:p>
            <w:r>
              <w:rPr>
                <w:b/>
                <w:color w:val="FFFFFF"/>
                <w:sz w:val="18"/>
              </w:rPr>
              <w:t>Resource</w:t>
            </w:r>
          </w:p>
        </w:tc>
        <w:tc>
          <w:tcPr>
            <w:tcW w:type="dxa" w:w="2880"/>
            <w:shd w:fill="17324D"/>
            <w:vAlign w:val="center"/>
          </w:tcPr>
          <w:p>
            <w:r>
              <w:rPr>
                <w:b/>
                <w:color w:val="FFFFFF"/>
                <w:sz w:val="18"/>
              </w:rPr>
              <w:t>Best contribution</w:t>
            </w:r>
          </w:p>
        </w:tc>
        <w:tc>
          <w:tcPr>
            <w:tcW w:type="dxa" w:w="2880"/>
            <w:shd w:fill="17324D"/>
            <w:vAlign w:val="center"/>
          </w:tcPr>
          <w:p>
            <w:r>
              <w:rPr>
                <w:b/>
                <w:color w:val="FFFFFF"/>
                <w:sz w:val="18"/>
              </w:rPr>
              <w:t>Use inside TRUSS</w:t>
            </w:r>
          </w:p>
        </w:tc>
        <w:tc>
          <w:tcPr>
            <w:tcW w:type="dxa" w:w="1800"/>
            <w:shd w:fill="17324D"/>
            <w:vAlign w:val="center"/>
          </w:tcPr>
          <w:p>
            <w:r>
              <w:rPr>
                <w:b/>
                <w:color w:val="FFFFFF"/>
                <w:sz w:val="18"/>
              </w:rPr>
              <w:t>Caution</w:t>
            </w:r>
          </w:p>
        </w:tc>
      </w:tr>
      <w:tr>
        <w:tc>
          <w:tcPr>
            <w:tcW w:type="dxa" w:w="3240"/>
            <w:vAlign w:val="center"/>
          </w:tcPr>
          <w:p>
            <w:pPr>
              <w:spacing w:after="40"/>
            </w:pPr>
            <w:r>
              <w:rPr>
                <w:rFonts w:ascii="Arial" w:hAnsi="Arial"/>
                <w:sz w:val="17"/>
              </w:rPr>
              <w:t>SPIN Selling by Neil Rackham</w:t>
            </w:r>
          </w:p>
        </w:tc>
        <w:tc>
          <w:tcPr>
            <w:tcW w:type="dxa" w:w="2880"/>
            <w:vAlign w:val="center"/>
          </w:tcPr>
          <w:p>
            <w:pPr>
              <w:spacing w:after="40"/>
            </w:pPr>
            <w:r>
              <w:rPr>
                <w:rFonts w:ascii="Arial" w:hAnsi="Arial"/>
                <w:sz w:val="17"/>
              </w:rPr>
              <w:t>Research-based discovery in larger sales</w:t>
            </w:r>
          </w:p>
        </w:tc>
        <w:tc>
          <w:tcPr>
            <w:tcW w:type="dxa" w:w="2880"/>
            <w:vAlign w:val="center"/>
          </w:tcPr>
          <w:p>
            <w:pPr>
              <w:spacing w:after="40"/>
            </w:pPr>
            <w:r>
              <w:rPr>
                <w:rFonts w:ascii="Arial" w:hAnsi="Arial"/>
                <w:sz w:val="17"/>
              </w:rPr>
              <w:t>Question design and conversation scoring</w:t>
            </w:r>
          </w:p>
        </w:tc>
        <w:tc>
          <w:tcPr>
            <w:tcW w:type="dxa" w:w="1800"/>
            <w:vAlign w:val="center"/>
          </w:tcPr>
          <w:p>
            <w:pPr>
              <w:spacing w:after="40"/>
            </w:pPr>
            <w:r>
              <w:rPr>
                <w:rFonts w:ascii="Arial" w:hAnsi="Arial"/>
                <w:sz w:val="17"/>
              </w:rPr>
              <w:t>Adapt to short service calls; do not force every category</w:t>
            </w:r>
          </w:p>
        </w:tc>
      </w:tr>
      <w:tr>
        <w:tc>
          <w:tcPr>
            <w:tcW w:type="dxa" w:w="3240"/>
            <w:vAlign w:val="center"/>
            <w:shd w:fill="F3F6F8"/>
          </w:tcPr>
          <w:p>
            <w:pPr>
              <w:spacing w:after="40"/>
            </w:pPr>
            <w:r>
              <w:rPr>
                <w:rFonts w:ascii="Arial" w:hAnsi="Arial"/>
                <w:sz w:val="17"/>
              </w:rPr>
              <w:t>The Challenger Sale by Dixon and Adamson</w:t>
            </w:r>
          </w:p>
        </w:tc>
        <w:tc>
          <w:tcPr>
            <w:tcW w:type="dxa" w:w="2880"/>
            <w:vAlign w:val="center"/>
            <w:shd w:fill="F3F6F8"/>
          </w:tcPr>
          <w:p>
            <w:pPr>
              <w:spacing w:after="40"/>
            </w:pPr>
            <w:r>
              <w:rPr>
                <w:rFonts w:ascii="Arial" w:hAnsi="Arial"/>
                <w:sz w:val="17"/>
              </w:rPr>
              <w:t>Commercial insight and constructive control</w:t>
            </w:r>
          </w:p>
        </w:tc>
        <w:tc>
          <w:tcPr>
            <w:tcW w:type="dxa" w:w="2880"/>
            <w:vAlign w:val="center"/>
            <w:shd w:fill="F3F6F8"/>
          </w:tcPr>
          <w:p>
            <w:pPr>
              <w:spacing w:after="40"/>
            </w:pPr>
            <w:r>
              <w:rPr>
                <w:rFonts w:ascii="Arial" w:hAnsi="Arial"/>
                <w:sz w:val="17"/>
              </w:rPr>
              <w:t>Commercial teaching and stakeholder coaching</w:t>
            </w:r>
          </w:p>
        </w:tc>
        <w:tc>
          <w:tcPr>
            <w:tcW w:type="dxa" w:w="1800"/>
            <w:vAlign w:val="center"/>
            <w:shd w:fill="F3F6F8"/>
          </w:tcPr>
          <w:p>
            <w:pPr>
              <w:spacing w:after="40"/>
            </w:pPr>
            <w:r>
              <w:rPr>
                <w:rFonts w:ascii="Arial" w:hAnsi="Arial"/>
                <w:sz w:val="17"/>
              </w:rPr>
              <w:t>Poor fit for fear-based residential pressure</w:t>
            </w:r>
          </w:p>
        </w:tc>
      </w:tr>
      <w:tr>
        <w:tc>
          <w:tcPr>
            <w:tcW w:type="dxa" w:w="3240"/>
            <w:vAlign w:val="center"/>
          </w:tcPr>
          <w:p>
            <w:pPr>
              <w:spacing w:after="40"/>
            </w:pPr>
            <w:r>
              <w:rPr>
                <w:rFonts w:ascii="Arial" w:hAnsi="Arial"/>
                <w:sz w:val="17"/>
              </w:rPr>
              <w:t>What Should We Do by Joe Crisara</w:t>
            </w:r>
          </w:p>
        </w:tc>
        <w:tc>
          <w:tcPr>
            <w:tcW w:type="dxa" w:w="2880"/>
            <w:vAlign w:val="center"/>
          </w:tcPr>
          <w:p>
            <w:pPr>
              <w:spacing w:after="40"/>
            </w:pPr>
            <w:r>
              <w:rPr>
                <w:rFonts w:ascii="Arial" w:hAnsi="Arial"/>
                <w:sz w:val="17"/>
              </w:rPr>
              <w:t>Home-service options and customer-first framing</w:t>
            </w:r>
          </w:p>
        </w:tc>
        <w:tc>
          <w:tcPr>
            <w:tcW w:type="dxa" w:w="2880"/>
            <w:vAlign w:val="center"/>
          </w:tcPr>
          <w:p>
            <w:pPr>
              <w:spacing w:after="40"/>
            </w:pPr>
            <w:r>
              <w:rPr>
                <w:rFonts w:ascii="Arial" w:hAnsi="Arial"/>
                <w:sz w:val="17"/>
              </w:rPr>
              <w:t>Options scenarios and technician language</w:t>
            </w:r>
          </w:p>
        </w:tc>
        <w:tc>
          <w:tcPr>
            <w:tcW w:type="dxa" w:w="1800"/>
            <w:vAlign w:val="center"/>
          </w:tcPr>
          <w:p>
            <w:pPr>
              <w:spacing w:after="40"/>
            </w:pPr>
            <w:r>
              <w:rPr>
                <w:rFonts w:ascii="Arial" w:hAnsi="Arial"/>
                <w:sz w:val="17"/>
              </w:rPr>
              <w:t>Practitioner doctrine; validate performance claims</w:t>
            </w:r>
          </w:p>
        </w:tc>
      </w:tr>
      <w:tr>
        <w:tc>
          <w:tcPr>
            <w:tcW w:type="dxa" w:w="3240"/>
            <w:vAlign w:val="center"/>
            <w:shd w:fill="F3F6F8"/>
          </w:tcPr>
          <w:p>
            <w:pPr>
              <w:spacing w:after="40"/>
            </w:pPr>
            <w:r>
              <w:rPr>
                <w:rFonts w:ascii="Arial" w:hAnsi="Arial"/>
                <w:sz w:val="17"/>
              </w:rPr>
              <w:t>Selling HVAC Comfort Solutions by Drew Cameron</w:t>
            </w:r>
          </w:p>
        </w:tc>
        <w:tc>
          <w:tcPr>
            <w:tcW w:type="dxa" w:w="2880"/>
            <w:vAlign w:val="center"/>
            <w:shd w:fill="F3F6F8"/>
          </w:tcPr>
          <w:p>
            <w:pPr>
              <w:spacing w:after="40"/>
            </w:pPr>
            <w:r>
              <w:rPr>
                <w:rFonts w:ascii="Arial" w:hAnsi="Arial"/>
                <w:sz w:val="17"/>
              </w:rPr>
              <w:t>Outcome-based HVAC replacement selling</w:t>
            </w:r>
          </w:p>
        </w:tc>
        <w:tc>
          <w:tcPr>
            <w:tcW w:type="dxa" w:w="2880"/>
            <w:vAlign w:val="center"/>
            <w:shd w:fill="F3F6F8"/>
          </w:tcPr>
          <w:p>
            <w:pPr>
              <w:spacing w:after="40"/>
            </w:pPr>
            <w:r>
              <w:rPr>
                <w:rFonts w:ascii="Arial" w:hAnsi="Arial"/>
                <w:sz w:val="17"/>
              </w:rPr>
              <w:t>HVAC discovery, comfort outcomes, technical value</w:t>
            </w:r>
          </w:p>
        </w:tc>
        <w:tc>
          <w:tcPr>
            <w:tcW w:type="dxa" w:w="1800"/>
            <w:vAlign w:val="center"/>
            <w:shd w:fill="F3F6F8"/>
          </w:tcPr>
          <w:p>
            <w:pPr>
              <w:spacing w:after="40"/>
            </w:pPr>
            <w:r>
              <w:rPr>
                <w:rFonts w:ascii="Arial" w:hAnsi="Arial"/>
                <w:sz w:val="17"/>
              </w:rPr>
              <w:t>Trade-specific and practitioner-led</w:t>
            </w:r>
          </w:p>
        </w:tc>
      </w:tr>
      <w:tr>
        <w:tc>
          <w:tcPr>
            <w:tcW w:type="dxa" w:w="3240"/>
            <w:vAlign w:val="center"/>
          </w:tcPr>
          <w:p>
            <w:pPr>
              <w:spacing w:after="40"/>
            </w:pPr>
            <w:r>
              <w:rPr>
                <w:rFonts w:ascii="Arial" w:hAnsi="Arial"/>
                <w:sz w:val="17"/>
              </w:rPr>
              <w:t>The HVAC Sales Playbook by Ben Stark</w:t>
            </w:r>
          </w:p>
        </w:tc>
        <w:tc>
          <w:tcPr>
            <w:tcW w:type="dxa" w:w="2880"/>
            <w:vAlign w:val="center"/>
          </w:tcPr>
          <w:p>
            <w:pPr>
              <w:spacing w:after="40"/>
            </w:pPr>
            <w:r>
              <w:rPr>
                <w:rFonts w:ascii="Arial" w:hAnsi="Arial"/>
                <w:sz w:val="17"/>
              </w:rPr>
              <w:t>Structured HVAC sales execution</w:t>
            </w:r>
          </w:p>
        </w:tc>
        <w:tc>
          <w:tcPr>
            <w:tcW w:type="dxa" w:w="2880"/>
            <w:vAlign w:val="center"/>
          </w:tcPr>
          <w:p>
            <w:pPr>
              <w:spacing w:after="40"/>
            </w:pPr>
            <w:r>
              <w:rPr>
                <w:rFonts w:ascii="Arial" w:hAnsi="Arial"/>
                <w:sz w:val="17"/>
              </w:rPr>
              <w:t>Comfort-advisor drills and manager coaching</w:t>
            </w:r>
          </w:p>
        </w:tc>
        <w:tc>
          <w:tcPr>
            <w:tcW w:type="dxa" w:w="1800"/>
            <w:vAlign w:val="center"/>
          </w:tcPr>
          <w:p>
            <w:pPr>
              <w:spacing w:after="40"/>
            </w:pPr>
            <w:r>
              <w:rPr>
                <w:rFonts w:ascii="Arial" w:hAnsi="Arial"/>
                <w:sz w:val="17"/>
              </w:rPr>
              <w:t>Confirm edition and rights before ingestion</w:t>
            </w:r>
          </w:p>
        </w:tc>
      </w:tr>
      <w:tr>
        <w:tc>
          <w:tcPr>
            <w:tcW w:type="dxa" w:w="3240"/>
            <w:vAlign w:val="center"/>
            <w:shd w:fill="F3F6F8"/>
          </w:tcPr>
          <w:p>
            <w:pPr>
              <w:spacing w:after="40"/>
            </w:pPr>
            <w:r>
              <w:rPr>
                <w:rFonts w:ascii="Arial" w:hAnsi="Arial"/>
                <w:sz w:val="17"/>
              </w:rPr>
              <w:t>Home Service Millionaire by Tommy Mello</w:t>
            </w:r>
          </w:p>
        </w:tc>
        <w:tc>
          <w:tcPr>
            <w:tcW w:type="dxa" w:w="2880"/>
            <w:vAlign w:val="center"/>
            <w:shd w:fill="F3F6F8"/>
          </w:tcPr>
          <w:p>
            <w:pPr>
              <w:spacing w:after="40"/>
            </w:pPr>
            <w:r>
              <w:rPr>
                <w:rFonts w:ascii="Arial" w:hAnsi="Arial"/>
                <w:sz w:val="17"/>
              </w:rPr>
              <w:t>Operations, process, call handling, accountability</w:t>
            </w:r>
          </w:p>
        </w:tc>
        <w:tc>
          <w:tcPr>
            <w:tcW w:type="dxa" w:w="2880"/>
            <w:vAlign w:val="center"/>
            <w:shd w:fill="F3F6F8"/>
          </w:tcPr>
          <w:p>
            <w:pPr>
              <w:spacing w:after="40"/>
            </w:pPr>
            <w:r>
              <w:rPr>
                <w:rFonts w:ascii="Arial" w:hAnsi="Arial"/>
                <w:sz w:val="17"/>
              </w:rPr>
              <w:t>Owner and manager context</w:t>
            </w:r>
          </w:p>
        </w:tc>
        <w:tc>
          <w:tcPr>
            <w:tcW w:type="dxa" w:w="1800"/>
            <w:vAlign w:val="center"/>
            <w:shd w:fill="F3F6F8"/>
          </w:tcPr>
          <w:p>
            <w:pPr>
              <w:spacing w:after="40"/>
            </w:pPr>
            <w:r>
              <w:rPr>
                <w:rFonts w:ascii="Arial" w:hAnsi="Arial"/>
                <w:sz w:val="17"/>
              </w:rPr>
              <w:t>Broader growth content, not sales science alone</w:t>
            </w:r>
          </w:p>
        </w:tc>
      </w:tr>
      <w:tr>
        <w:tc>
          <w:tcPr>
            <w:tcW w:type="dxa" w:w="3240"/>
            <w:vAlign w:val="center"/>
          </w:tcPr>
          <w:p>
            <w:pPr>
              <w:spacing w:after="40"/>
            </w:pPr>
            <w:r>
              <w:rPr>
                <w:rFonts w:ascii="Arial" w:hAnsi="Arial"/>
                <w:sz w:val="17"/>
              </w:rPr>
              <w:t>Markup and Profit by Michael Stone</w:t>
            </w:r>
          </w:p>
        </w:tc>
        <w:tc>
          <w:tcPr>
            <w:tcW w:type="dxa" w:w="2880"/>
            <w:vAlign w:val="center"/>
          </w:tcPr>
          <w:p>
            <w:pPr>
              <w:spacing w:after="40"/>
            </w:pPr>
            <w:r>
              <w:rPr>
                <w:rFonts w:ascii="Arial" w:hAnsi="Arial"/>
                <w:sz w:val="17"/>
              </w:rPr>
              <w:t>Pricing and contractor business economics</w:t>
            </w:r>
          </w:p>
        </w:tc>
        <w:tc>
          <w:tcPr>
            <w:tcW w:type="dxa" w:w="2880"/>
            <w:vAlign w:val="center"/>
          </w:tcPr>
          <w:p>
            <w:pPr>
              <w:spacing w:after="40"/>
            </w:pPr>
            <w:r>
              <w:rPr>
                <w:rFonts w:ascii="Arial" w:hAnsi="Arial"/>
                <w:sz w:val="17"/>
              </w:rPr>
              <w:t>Margin literacy and proposal context</w:t>
            </w:r>
          </w:p>
        </w:tc>
        <w:tc>
          <w:tcPr>
            <w:tcW w:type="dxa" w:w="1800"/>
            <w:vAlign w:val="center"/>
          </w:tcPr>
          <w:p>
            <w:pPr>
              <w:spacing w:after="40"/>
            </w:pPr>
            <w:r>
              <w:rPr>
                <w:rFonts w:ascii="Arial" w:hAnsi="Arial"/>
                <w:sz w:val="17"/>
              </w:rPr>
              <w:t>Do not turn pricing guidance into universal benchmarks</w:t>
            </w:r>
          </w:p>
        </w:tc>
      </w:tr>
      <w:tr>
        <w:tc>
          <w:tcPr>
            <w:tcW w:type="dxa" w:w="3240"/>
            <w:vAlign w:val="center"/>
            <w:shd w:fill="F3F6F8"/>
          </w:tcPr>
          <w:p>
            <w:pPr>
              <w:spacing w:after="40"/>
            </w:pPr>
            <w:r>
              <w:rPr>
                <w:rFonts w:ascii="Arial" w:hAnsi="Arial"/>
                <w:sz w:val="17"/>
              </w:rPr>
              <w:t>Markup and Profit A Contractor’s Guide Revisited by Michael Stone</w:t>
            </w:r>
          </w:p>
        </w:tc>
        <w:tc>
          <w:tcPr>
            <w:tcW w:type="dxa" w:w="2880"/>
            <w:vAlign w:val="center"/>
            <w:shd w:fill="F3F6F8"/>
          </w:tcPr>
          <w:p>
            <w:pPr>
              <w:spacing w:after="40"/>
            </w:pPr>
            <w:r>
              <w:rPr>
                <w:rFonts w:ascii="Arial" w:hAnsi="Arial"/>
                <w:sz w:val="17"/>
              </w:rPr>
              <w:t>Updated contractor pricing discipline</w:t>
            </w:r>
          </w:p>
        </w:tc>
        <w:tc>
          <w:tcPr>
            <w:tcW w:type="dxa" w:w="2880"/>
            <w:vAlign w:val="center"/>
            <w:shd w:fill="F3F6F8"/>
          </w:tcPr>
          <w:p>
            <w:pPr>
              <w:spacing w:after="40"/>
            </w:pPr>
            <w:r>
              <w:rPr>
                <w:rFonts w:ascii="Arial" w:hAnsi="Arial"/>
                <w:sz w:val="17"/>
              </w:rPr>
              <w:t>Manager training and margin guardrails</w:t>
            </w:r>
          </w:p>
        </w:tc>
        <w:tc>
          <w:tcPr>
            <w:tcW w:type="dxa" w:w="1800"/>
            <w:vAlign w:val="center"/>
            <w:shd w:fill="F3F6F8"/>
          </w:tcPr>
          <w:p>
            <w:pPr>
              <w:spacing w:after="40"/>
            </w:pPr>
            <w:r>
              <w:rPr>
                <w:rFonts w:ascii="Arial" w:hAnsi="Arial"/>
                <w:sz w:val="17"/>
              </w:rPr>
              <w:t>Accounting practices differ</w:t>
            </w:r>
          </w:p>
        </w:tc>
      </w:tr>
      <w:tr>
        <w:tc>
          <w:tcPr>
            <w:tcW w:type="dxa" w:w="3240"/>
            <w:vAlign w:val="center"/>
          </w:tcPr>
          <w:p>
            <w:pPr>
              <w:spacing w:after="40"/>
            </w:pPr>
            <w:r>
              <w:rPr>
                <w:rFonts w:ascii="Arial" w:hAnsi="Arial"/>
                <w:sz w:val="17"/>
              </w:rPr>
              <w:t>The E Myth Contractor by Michael Gerber</w:t>
            </w:r>
          </w:p>
        </w:tc>
        <w:tc>
          <w:tcPr>
            <w:tcW w:type="dxa" w:w="2880"/>
            <w:vAlign w:val="center"/>
          </w:tcPr>
          <w:p>
            <w:pPr>
              <w:spacing w:after="40"/>
            </w:pPr>
            <w:r>
              <w:rPr>
                <w:rFonts w:ascii="Arial" w:hAnsi="Arial"/>
                <w:sz w:val="17"/>
              </w:rPr>
              <w:t>Systemization of owner-dependent businesses</w:t>
            </w:r>
          </w:p>
        </w:tc>
        <w:tc>
          <w:tcPr>
            <w:tcW w:type="dxa" w:w="2880"/>
            <w:vAlign w:val="center"/>
          </w:tcPr>
          <w:p>
            <w:pPr>
              <w:spacing w:after="40"/>
            </w:pPr>
            <w:r>
              <w:rPr>
                <w:rFonts w:ascii="Arial" w:hAnsi="Arial"/>
                <w:sz w:val="17"/>
              </w:rPr>
              <w:t>Process and playbook design</w:t>
            </w:r>
          </w:p>
        </w:tc>
        <w:tc>
          <w:tcPr>
            <w:tcW w:type="dxa" w:w="1800"/>
            <w:vAlign w:val="center"/>
          </w:tcPr>
          <w:p>
            <w:pPr>
              <w:spacing w:after="40"/>
            </w:pPr>
            <w:r>
              <w:rPr>
                <w:rFonts w:ascii="Arial" w:hAnsi="Arial"/>
                <w:sz w:val="17"/>
              </w:rPr>
              <w:t>General business framework</w:t>
            </w:r>
          </w:p>
        </w:tc>
      </w:tr>
      <w:tr>
        <w:tc>
          <w:tcPr>
            <w:tcW w:type="dxa" w:w="3240"/>
            <w:vAlign w:val="center"/>
            <w:shd w:fill="F3F6F8"/>
          </w:tcPr>
          <w:p>
            <w:pPr>
              <w:spacing w:after="40"/>
            </w:pPr>
            <w:r>
              <w:rPr>
                <w:rFonts w:ascii="Arial" w:hAnsi="Arial"/>
                <w:sz w:val="17"/>
              </w:rPr>
              <w:t>Never Split the Difference by Chris Voss</w:t>
            </w:r>
          </w:p>
        </w:tc>
        <w:tc>
          <w:tcPr>
            <w:tcW w:type="dxa" w:w="2880"/>
            <w:vAlign w:val="center"/>
            <w:shd w:fill="F3F6F8"/>
          </w:tcPr>
          <w:p>
            <w:pPr>
              <w:spacing w:after="40"/>
            </w:pPr>
            <w:r>
              <w:rPr>
                <w:rFonts w:ascii="Arial" w:hAnsi="Arial"/>
                <w:sz w:val="17"/>
              </w:rPr>
              <w:t>Labels, mirrors, calibrated questions</w:t>
            </w:r>
          </w:p>
        </w:tc>
        <w:tc>
          <w:tcPr>
            <w:tcW w:type="dxa" w:w="2880"/>
            <w:vAlign w:val="center"/>
            <w:shd w:fill="F3F6F8"/>
          </w:tcPr>
          <w:p>
            <w:pPr>
              <w:spacing w:after="40"/>
            </w:pPr>
            <w:r>
              <w:rPr>
                <w:rFonts w:ascii="Arial" w:hAnsi="Arial"/>
                <w:sz w:val="17"/>
              </w:rPr>
              <w:t>Listening and objection practice</w:t>
            </w:r>
          </w:p>
        </w:tc>
        <w:tc>
          <w:tcPr>
            <w:tcW w:type="dxa" w:w="1800"/>
            <w:vAlign w:val="center"/>
            <w:shd w:fill="F3F6F8"/>
          </w:tcPr>
          <w:p>
            <w:pPr>
              <w:spacing w:after="40"/>
            </w:pPr>
            <w:r>
              <w:rPr>
                <w:rFonts w:ascii="Arial" w:hAnsi="Arial"/>
                <w:sz w:val="17"/>
              </w:rPr>
              <w:t>Negotiation tactics must remain truthful and non-manipulative</w:t>
            </w:r>
          </w:p>
        </w:tc>
      </w:tr>
      <w:tr>
        <w:tc>
          <w:tcPr>
            <w:tcW w:type="dxa" w:w="3240"/>
            <w:vAlign w:val="center"/>
          </w:tcPr>
          <w:p>
            <w:pPr>
              <w:spacing w:after="40"/>
            </w:pPr>
            <w:r>
              <w:rPr>
                <w:rFonts w:ascii="Arial" w:hAnsi="Arial"/>
                <w:sz w:val="17"/>
              </w:rPr>
              <w:t>Fanatical Prospecting by Jeb Blount</w:t>
            </w:r>
          </w:p>
        </w:tc>
        <w:tc>
          <w:tcPr>
            <w:tcW w:type="dxa" w:w="2880"/>
            <w:vAlign w:val="center"/>
          </w:tcPr>
          <w:p>
            <w:pPr>
              <w:spacing w:after="40"/>
            </w:pPr>
            <w:r>
              <w:rPr>
                <w:rFonts w:ascii="Arial" w:hAnsi="Arial"/>
                <w:sz w:val="17"/>
              </w:rPr>
              <w:t>Prospecting consistency and channel mix</w:t>
            </w:r>
          </w:p>
        </w:tc>
        <w:tc>
          <w:tcPr>
            <w:tcW w:type="dxa" w:w="2880"/>
            <w:vAlign w:val="center"/>
          </w:tcPr>
          <w:p>
            <w:pPr>
              <w:spacing w:after="40"/>
            </w:pPr>
            <w:r>
              <w:rPr>
                <w:rFonts w:ascii="Arial" w:hAnsi="Arial"/>
                <w:sz w:val="17"/>
              </w:rPr>
              <w:t>Commercial activity habits</w:t>
            </w:r>
          </w:p>
        </w:tc>
        <w:tc>
          <w:tcPr>
            <w:tcW w:type="dxa" w:w="1800"/>
            <w:vAlign w:val="center"/>
          </w:tcPr>
          <w:p>
            <w:pPr>
              <w:spacing w:after="40"/>
            </w:pPr>
            <w:r>
              <w:rPr>
                <w:rFonts w:ascii="Arial" w:hAnsi="Arial"/>
                <w:sz w:val="17"/>
              </w:rPr>
              <w:t>Volume advice needs ICP and consent guardrails</w:t>
            </w:r>
          </w:p>
        </w:tc>
      </w:tr>
    </w:tbl>
    <w:p>
      <w:pPr>
        <w:spacing w:after="40"/>
      </w:pPr>
    </w:p>
    <w:p>
      <w:pPr>
        <w:pStyle w:val="Heading1"/>
      </w:pPr>
      <w:r>
        <w:t>Podcasts and Video Channels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3096"/>
            <w:shd w:fill="17324D"/>
            <w:vAlign w:val="center"/>
          </w:tcPr>
          <w:p>
            <w:r>
              <w:rPr>
                <w:b/>
                <w:color w:val="FFFFFF"/>
                <w:sz w:val="18"/>
              </w:rPr>
              <w:t>Resource</w:t>
            </w:r>
          </w:p>
        </w:tc>
        <w:tc>
          <w:tcPr>
            <w:tcW w:type="dxa" w:w="3384"/>
            <w:shd w:fill="17324D"/>
            <w:vAlign w:val="center"/>
          </w:tcPr>
          <w:p>
            <w:r>
              <w:rPr>
                <w:b/>
                <w:color w:val="FFFFFF"/>
                <w:sz w:val="18"/>
              </w:rPr>
              <w:t>Primary value</w:t>
            </w:r>
          </w:p>
        </w:tc>
        <w:tc>
          <w:tcPr>
            <w:tcW w:type="dxa" w:w="4320"/>
            <w:shd w:fill="17324D"/>
            <w:vAlign w:val="center"/>
          </w:tcPr>
          <w:p>
            <w:r>
              <w:rPr>
                <w:b/>
                <w:color w:val="FFFFFF"/>
                <w:sz w:val="18"/>
              </w:rPr>
              <w:t>High-priority topics</w:t>
            </w:r>
          </w:p>
        </w:tc>
      </w:tr>
      <w:tr>
        <w:tc>
          <w:tcPr>
            <w:tcW w:type="dxa" w:w="3096"/>
            <w:vAlign w:val="center"/>
          </w:tcPr>
          <w:p>
            <w:pPr>
              <w:spacing w:after="40"/>
            </w:pPr>
            <w:r>
              <w:rPr>
                <w:rFonts w:ascii="Arial" w:hAnsi="Arial"/>
                <w:sz w:val="17"/>
              </w:rPr>
              <w:t>Service MVP Sales Training Podcast</w:t>
            </w:r>
          </w:p>
        </w:tc>
        <w:tc>
          <w:tcPr>
            <w:tcW w:type="dxa" w:w="3384"/>
            <w:vAlign w:val="center"/>
          </w:tcPr>
          <w:p>
            <w:pPr>
              <w:spacing w:after="40"/>
            </w:pPr>
            <w:r>
              <w:rPr>
                <w:rFonts w:ascii="Arial" w:hAnsi="Arial"/>
                <w:sz w:val="17"/>
              </w:rPr>
              <w:t>Technician and home-service sales roleplays</w:t>
            </w:r>
          </w:p>
        </w:tc>
        <w:tc>
          <w:tcPr>
            <w:tcW w:type="dxa" w:w="4320"/>
            <w:vAlign w:val="center"/>
          </w:tcPr>
          <w:p>
            <w:pPr>
              <w:spacing w:after="40"/>
            </w:pPr>
            <w:r>
              <w:rPr>
                <w:rFonts w:ascii="Arial" w:hAnsi="Arial"/>
                <w:sz w:val="17"/>
              </w:rPr>
              <w:t>Options, objection handling, call coaching, ethical selling</w:t>
            </w:r>
          </w:p>
        </w:tc>
      </w:tr>
      <w:tr>
        <w:tc>
          <w:tcPr>
            <w:tcW w:type="dxa" w:w="3096"/>
            <w:vAlign w:val="center"/>
            <w:shd w:fill="F3F6F8"/>
          </w:tcPr>
          <w:p>
            <w:pPr>
              <w:spacing w:after="40"/>
            </w:pPr>
            <w:r>
              <w:rPr>
                <w:rFonts w:ascii="Arial" w:hAnsi="Arial"/>
                <w:sz w:val="17"/>
              </w:rPr>
              <w:t>The Home Service Expert</w:t>
            </w:r>
          </w:p>
        </w:tc>
        <w:tc>
          <w:tcPr>
            <w:tcW w:type="dxa" w:w="3384"/>
            <w:vAlign w:val="center"/>
            <w:shd w:fill="F3F6F8"/>
          </w:tcPr>
          <w:p>
            <w:pPr>
              <w:spacing w:after="40"/>
            </w:pPr>
            <w:r>
              <w:rPr>
                <w:rFonts w:ascii="Arial" w:hAnsi="Arial"/>
                <w:sz w:val="17"/>
              </w:rPr>
              <w:t>Owner and operator interviews</w:t>
            </w:r>
          </w:p>
        </w:tc>
        <w:tc>
          <w:tcPr>
            <w:tcW w:type="dxa" w:w="4320"/>
            <w:vAlign w:val="center"/>
            <w:shd w:fill="F3F6F8"/>
          </w:tcPr>
          <w:p>
            <w:pPr>
              <w:spacing w:after="40"/>
            </w:pPr>
            <w:r>
              <w:rPr>
                <w:rFonts w:ascii="Arial" w:hAnsi="Arial"/>
                <w:sz w:val="17"/>
              </w:rPr>
              <w:t>Call center, sales management, recruiting, marketing, metrics</w:t>
            </w:r>
          </w:p>
        </w:tc>
      </w:tr>
      <w:tr>
        <w:tc>
          <w:tcPr>
            <w:tcW w:type="dxa" w:w="3096"/>
            <w:vAlign w:val="center"/>
          </w:tcPr>
          <w:p>
            <w:pPr>
              <w:spacing w:after="40"/>
            </w:pPr>
            <w:r>
              <w:rPr>
                <w:rFonts w:ascii="Arial" w:hAnsi="Arial"/>
                <w:sz w:val="17"/>
              </w:rPr>
              <w:t>To The Point Home Services Podcast</w:t>
            </w:r>
          </w:p>
        </w:tc>
        <w:tc>
          <w:tcPr>
            <w:tcW w:type="dxa" w:w="3384"/>
            <w:vAlign w:val="center"/>
          </w:tcPr>
          <w:p>
            <w:pPr>
              <w:spacing w:after="40"/>
            </w:pPr>
            <w:r>
              <w:rPr>
                <w:rFonts w:ascii="Arial" w:hAnsi="Arial"/>
                <w:sz w:val="17"/>
              </w:rPr>
              <w:t>Cross-trade business practices</w:t>
            </w:r>
          </w:p>
        </w:tc>
        <w:tc>
          <w:tcPr>
            <w:tcW w:type="dxa" w:w="4320"/>
            <w:vAlign w:val="center"/>
          </w:tcPr>
          <w:p>
            <w:pPr>
              <w:spacing w:after="40"/>
            </w:pPr>
            <w:r>
              <w:rPr>
                <w:rFonts w:ascii="Arial" w:hAnsi="Arial"/>
                <w:sz w:val="17"/>
              </w:rPr>
              <w:t>Marketing, operations, leadership, customer experience</w:t>
            </w:r>
          </w:p>
        </w:tc>
      </w:tr>
      <w:tr>
        <w:tc>
          <w:tcPr>
            <w:tcW w:type="dxa" w:w="3096"/>
            <w:vAlign w:val="center"/>
            <w:shd w:fill="F3F6F8"/>
          </w:tcPr>
          <w:p>
            <w:pPr>
              <w:spacing w:after="40"/>
            </w:pPr>
            <w:r>
              <w:rPr>
                <w:rFonts w:ascii="Arial" w:hAnsi="Arial"/>
                <w:sz w:val="17"/>
              </w:rPr>
              <w:t>Service Business Mastery</w:t>
            </w:r>
          </w:p>
        </w:tc>
        <w:tc>
          <w:tcPr>
            <w:tcW w:type="dxa" w:w="3384"/>
            <w:vAlign w:val="center"/>
            <w:shd w:fill="F3F6F8"/>
          </w:tcPr>
          <w:p>
            <w:pPr>
              <w:spacing w:after="40"/>
            </w:pPr>
            <w:r>
              <w:rPr>
                <w:rFonts w:ascii="Arial" w:hAnsi="Arial"/>
                <w:sz w:val="17"/>
              </w:rPr>
              <w:t>HVAC, plumbing, and electrical operator interviews</w:t>
            </w:r>
          </w:p>
        </w:tc>
        <w:tc>
          <w:tcPr>
            <w:tcW w:type="dxa" w:w="4320"/>
            <w:vAlign w:val="center"/>
            <w:shd w:fill="F3F6F8"/>
          </w:tcPr>
          <w:p>
            <w:pPr>
              <w:spacing w:after="40"/>
            </w:pPr>
            <w:r>
              <w:rPr>
                <w:rFonts w:ascii="Arial" w:hAnsi="Arial"/>
                <w:sz w:val="17"/>
              </w:rPr>
              <w:t>Options, pricing, coaching, systems</w:t>
            </w:r>
          </w:p>
        </w:tc>
      </w:tr>
      <w:tr>
        <w:tc>
          <w:tcPr>
            <w:tcW w:type="dxa" w:w="3096"/>
            <w:vAlign w:val="center"/>
          </w:tcPr>
          <w:p>
            <w:pPr>
              <w:spacing w:after="40"/>
            </w:pPr>
            <w:r>
              <w:rPr>
                <w:rFonts w:ascii="Arial" w:hAnsi="Arial"/>
                <w:sz w:val="17"/>
              </w:rPr>
              <w:t>Waste No Day</w:t>
            </w:r>
          </w:p>
        </w:tc>
        <w:tc>
          <w:tcPr>
            <w:tcW w:type="dxa" w:w="3384"/>
            <w:vAlign w:val="center"/>
          </w:tcPr>
          <w:p>
            <w:pPr>
              <w:spacing w:after="40"/>
            </w:pPr>
            <w:r>
              <w:rPr>
                <w:rFonts w:ascii="Arial" w:hAnsi="Arial"/>
                <w:sz w:val="17"/>
              </w:rPr>
              <w:t>Technician mindset and field performance</w:t>
            </w:r>
          </w:p>
        </w:tc>
        <w:tc>
          <w:tcPr>
            <w:tcW w:type="dxa" w:w="4320"/>
            <w:vAlign w:val="center"/>
          </w:tcPr>
          <w:p>
            <w:pPr>
              <w:spacing w:after="40"/>
            </w:pPr>
            <w:r>
              <w:rPr>
                <w:rFonts w:ascii="Arial" w:hAnsi="Arial"/>
                <w:sz w:val="17"/>
              </w:rPr>
              <w:t>Service communication, consistency, technician identity</w:t>
            </w:r>
          </w:p>
        </w:tc>
      </w:tr>
      <w:tr>
        <w:tc>
          <w:tcPr>
            <w:tcW w:type="dxa" w:w="3096"/>
            <w:vAlign w:val="center"/>
            <w:shd w:fill="F3F6F8"/>
          </w:tcPr>
          <w:p>
            <w:pPr>
              <w:spacing w:after="40"/>
            </w:pPr>
            <w:r>
              <w:rPr>
                <w:rFonts w:ascii="Arial" w:hAnsi="Arial"/>
                <w:sz w:val="17"/>
              </w:rPr>
              <w:t>Contractor Fight</w:t>
            </w:r>
          </w:p>
        </w:tc>
        <w:tc>
          <w:tcPr>
            <w:tcW w:type="dxa" w:w="3384"/>
            <w:vAlign w:val="center"/>
            <w:shd w:fill="F3F6F8"/>
          </w:tcPr>
          <w:p>
            <w:pPr>
              <w:spacing w:after="40"/>
            </w:pPr>
            <w:r>
              <w:rPr>
                <w:rFonts w:ascii="Arial" w:hAnsi="Arial"/>
                <w:sz w:val="17"/>
              </w:rPr>
              <w:t>Contractor sales, pricing, and owner discipline</w:t>
            </w:r>
          </w:p>
        </w:tc>
        <w:tc>
          <w:tcPr>
            <w:tcW w:type="dxa" w:w="4320"/>
            <w:vAlign w:val="center"/>
            <w:shd w:fill="F3F6F8"/>
          </w:tcPr>
          <w:p>
            <w:pPr>
              <w:spacing w:after="40"/>
            </w:pPr>
            <w:r>
              <w:rPr>
                <w:rFonts w:ascii="Arial" w:hAnsi="Arial"/>
                <w:sz w:val="17"/>
              </w:rPr>
              <w:t>Qualification, follow-up, margin, difficult conversations</w:t>
            </w:r>
          </w:p>
        </w:tc>
      </w:tr>
      <w:tr>
        <w:tc>
          <w:tcPr>
            <w:tcW w:type="dxa" w:w="3096"/>
            <w:vAlign w:val="center"/>
          </w:tcPr>
          <w:p>
            <w:pPr>
              <w:spacing w:after="40"/>
            </w:pPr>
            <w:r>
              <w:rPr>
                <w:rFonts w:ascii="Arial" w:hAnsi="Arial"/>
                <w:sz w:val="17"/>
              </w:rPr>
              <w:t>Contractor Growth Network</w:t>
            </w:r>
          </w:p>
        </w:tc>
        <w:tc>
          <w:tcPr>
            <w:tcW w:type="dxa" w:w="3384"/>
            <w:vAlign w:val="center"/>
          </w:tcPr>
          <w:p>
            <w:pPr>
              <w:spacing w:after="40"/>
            </w:pPr>
            <w:r>
              <w:rPr>
                <w:rFonts w:ascii="Arial" w:hAnsi="Arial"/>
                <w:sz w:val="17"/>
              </w:rPr>
              <w:t>Remodeling and contractor marketing and sales</w:t>
            </w:r>
          </w:p>
        </w:tc>
        <w:tc>
          <w:tcPr>
            <w:tcW w:type="dxa" w:w="4320"/>
            <w:vAlign w:val="center"/>
          </w:tcPr>
          <w:p>
            <w:pPr>
              <w:spacing w:after="40"/>
            </w:pPr>
            <w:r>
              <w:rPr>
                <w:rFonts w:ascii="Arial" w:hAnsi="Arial"/>
                <w:sz w:val="17"/>
              </w:rPr>
              <w:t>Lead handling, positioning, estimates, follow-up</w:t>
            </w:r>
          </w:p>
        </w:tc>
      </w:tr>
      <w:tr>
        <w:tc>
          <w:tcPr>
            <w:tcW w:type="dxa" w:w="3096"/>
            <w:vAlign w:val="center"/>
            <w:shd w:fill="F3F6F8"/>
          </w:tcPr>
          <w:p>
            <w:pPr>
              <w:spacing w:after="40"/>
            </w:pPr>
            <w:r>
              <w:rPr>
                <w:rFonts w:ascii="Arial" w:hAnsi="Arial"/>
                <w:sz w:val="17"/>
              </w:rPr>
              <w:t>Hook Agency YouTube</w:t>
            </w:r>
          </w:p>
        </w:tc>
        <w:tc>
          <w:tcPr>
            <w:tcW w:type="dxa" w:w="3384"/>
            <w:vAlign w:val="center"/>
            <w:shd w:fill="F3F6F8"/>
          </w:tcPr>
          <w:p>
            <w:pPr>
              <w:spacing w:after="40"/>
            </w:pPr>
            <w:r>
              <w:rPr>
                <w:rFonts w:ascii="Arial" w:hAnsi="Arial"/>
                <w:sz w:val="17"/>
              </w:rPr>
              <w:t>Accessible home-service roleplays</w:t>
            </w:r>
          </w:p>
        </w:tc>
        <w:tc>
          <w:tcPr>
            <w:tcW w:type="dxa" w:w="4320"/>
            <w:vAlign w:val="center"/>
            <w:shd w:fill="F3F6F8"/>
          </w:tcPr>
          <w:p>
            <w:pPr>
              <w:spacing w:after="40"/>
            </w:pPr>
            <w:r>
              <w:rPr>
                <w:rFonts w:ascii="Arial" w:hAnsi="Arial"/>
                <w:sz w:val="17"/>
              </w:rPr>
              <w:t>Roofing objections, HVAC options, live language examples</w:t>
            </w:r>
          </w:p>
        </w:tc>
      </w:tr>
      <w:tr>
        <w:tc>
          <w:tcPr>
            <w:tcW w:type="dxa" w:w="3096"/>
            <w:vAlign w:val="center"/>
          </w:tcPr>
          <w:p>
            <w:pPr>
              <w:spacing w:after="40"/>
            </w:pPr>
            <w:r>
              <w:rPr>
                <w:rFonts w:ascii="Arial" w:hAnsi="Arial"/>
                <w:sz w:val="17"/>
              </w:rPr>
              <w:t>HVAC School YouTube and Podcast</w:t>
            </w:r>
          </w:p>
        </w:tc>
        <w:tc>
          <w:tcPr>
            <w:tcW w:type="dxa" w:w="3384"/>
            <w:vAlign w:val="center"/>
          </w:tcPr>
          <w:p>
            <w:pPr>
              <w:spacing w:after="40"/>
            </w:pPr>
            <w:r>
              <w:rPr>
                <w:rFonts w:ascii="Arial" w:hAnsi="Arial"/>
                <w:sz w:val="17"/>
              </w:rPr>
              <w:t>Technical HVAC education</w:t>
            </w:r>
          </w:p>
        </w:tc>
        <w:tc>
          <w:tcPr>
            <w:tcW w:type="dxa" w:w="4320"/>
            <w:vAlign w:val="center"/>
          </w:tcPr>
          <w:p>
            <w:pPr>
              <w:spacing w:after="40"/>
            </w:pPr>
            <w:r>
              <w:rPr>
                <w:rFonts w:ascii="Arial" w:hAnsi="Arial"/>
                <w:sz w:val="17"/>
              </w:rPr>
              <w:t>Accuracy foundation so sellers do not overclaim</w:t>
            </w:r>
          </w:p>
        </w:tc>
      </w:tr>
      <w:tr>
        <w:tc>
          <w:tcPr>
            <w:tcW w:type="dxa" w:w="3096"/>
            <w:vAlign w:val="center"/>
            <w:shd w:fill="F3F6F8"/>
          </w:tcPr>
          <w:p>
            <w:pPr>
              <w:spacing w:after="40"/>
            </w:pPr>
            <w:r>
              <w:rPr>
                <w:rFonts w:ascii="Arial" w:hAnsi="Arial"/>
                <w:sz w:val="17"/>
              </w:rPr>
              <w:t>Roofing Insights YouTube</w:t>
            </w:r>
          </w:p>
        </w:tc>
        <w:tc>
          <w:tcPr>
            <w:tcW w:type="dxa" w:w="3384"/>
            <w:vAlign w:val="center"/>
            <w:shd w:fill="F3F6F8"/>
          </w:tcPr>
          <w:p>
            <w:pPr>
              <w:spacing w:after="40"/>
            </w:pPr>
            <w:r>
              <w:rPr>
                <w:rFonts w:ascii="Arial" w:hAnsi="Arial"/>
                <w:sz w:val="17"/>
              </w:rPr>
              <w:t>Roofing business and sales practitioner content</w:t>
            </w:r>
          </w:p>
        </w:tc>
        <w:tc>
          <w:tcPr>
            <w:tcW w:type="dxa" w:w="4320"/>
            <w:vAlign w:val="center"/>
            <w:shd w:fill="F3F6F8"/>
          </w:tcPr>
          <w:p>
            <w:pPr>
              <w:spacing w:after="40"/>
            </w:pPr>
            <w:r>
              <w:rPr>
                <w:rFonts w:ascii="Arial" w:hAnsi="Arial"/>
                <w:sz w:val="17"/>
              </w:rPr>
              <w:t>Canvassing, inspections, insurance conversations, roleplay</w:t>
            </w:r>
          </w:p>
        </w:tc>
      </w:tr>
      <w:tr>
        <w:tc>
          <w:tcPr>
            <w:tcW w:type="dxa" w:w="3096"/>
            <w:vAlign w:val="center"/>
          </w:tcPr>
          <w:p>
            <w:pPr>
              <w:spacing w:after="40"/>
            </w:pPr>
            <w:r>
              <w:rPr>
                <w:rFonts w:ascii="Arial" w:hAnsi="Arial"/>
                <w:sz w:val="17"/>
              </w:rPr>
              <w:t>AGC and SMPS education</w:t>
            </w:r>
          </w:p>
        </w:tc>
        <w:tc>
          <w:tcPr>
            <w:tcW w:type="dxa" w:w="3384"/>
            <w:vAlign w:val="center"/>
          </w:tcPr>
          <w:p>
            <w:pPr>
              <w:spacing w:after="40"/>
            </w:pPr>
            <w:r>
              <w:rPr>
                <w:rFonts w:ascii="Arial" w:hAnsi="Arial"/>
                <w:sz w:val="17"/>
              </w:rPr>
              <w:t>Commercial construction BD</w:t>
            </w:r>
          </w:p>
        </w:tc>
        <w:tc>
          <w:tcPr>
            <w:tcW w:type="dxa" w:w="4320"/>
            <w:vAlign w:val="center"/>
          </w:tcPr>
          <w:p>
            <w:pPr>
              <w:spacing w:after="40"/>
            </w:pPr>
            <w:r>
              <w:rPr>
                <w:rFonts w:ascii="Arial" w:hAnsi="Arial"/>
                <w:sz w:val="17"/>
              </w:rPr>
              <w:t>Seller-doer, proposals, interviews, account and pursuit strategy</w:t>
            </w:r>
          </w:p>
        </w:tc>
      </w:tr>
    </w:tbl>
    <w:p>
      <w:pPr>
        <w:spacing w:after="40"/>
      </w:pPr>
    </w:p>
    <w:p>
      <w:pPr>
        <w:pStyle w:val="Heading1"/>
      </w:pPr>
      <w:r>
        <w:t>Research Gaps and Next Collection</w:t>
      </w:r>
    </w:p>
    <w:p>
      <w:pPr>
        <w:pStyle w:val="ListBullet"/>
      </w:pPr>
      <w:r>
        <w:t>Obtain permissioned call recordings and outcome data from several trades. Public advice cannot reveal which behaviors work in TRUSS users’ actual markets.</w:t>
      </w:r>
    </w:p>
    <w:p>
      <w:pPr>
        <w:pStyle w:val="ListBullet"/>
      </w:pPr>
      <w:r>
        <w:t>Build separate benchmark cohorts by trade, ticket type, lead source, geography, season, tenure, and sales motion.</w:t>
      </w:r>
    </w:p>
    <w:p>
      <w:pPr>
        <w:pStyle w:val="ListBullet"/>
      </w:pPr>
      <w:r>
        <w:t>Collect lost-sale reasons through buyer interviews rather than relying only on salesperson dispositions.</w:t>
      </w:r>
    </w:p>
    <w:p>
      <w:pPr>
        <w:pStyle w:val="ListBullet"/>
      </w:pPr>
      <w:r>
        <w:t>Compile state-level home-improvement contract, solicitation, insurance, financing, licensing, and cancellation rules with legal review.</w:t>
      </w:r>
    </w:p>
    <w:p>
      <w:pPr>
        <w:pStyle w:val="ListBullet"/>
      </w:pPr>
      <w:r>
        <w:t>Validate option count, order, and presentation style through controlled testing. Avoid assuming that one menu design works across all trades and ticket sizes.</w:t>
      </w:r>
    </w:p>
    <w:p>
      <w:pPr>
        <w:pStyle w:val="ListBullet"/>
      </w:pPr>
      <w:r>
        <w:t>Study callbacks, cancellations, reviews, complaints, margin, and financing fallout alongside revenue. This will identify sales that should not be celebrated.</w:t>
      </w:r>
    </w:p>
    <w:p>
      <w:pPr>
        <w:pStyle w:val="ListBullet"/>
      </w:pPr>
      <w:r>
        <w:t>Interview estimators, operations leaders, technicians, property managers, general contractors, and homeowners to expose handoff failures and buyer language.</w:t>
      </w:r>
    </w:p>
    <w:p>
      <w:pPr>
        <w:pStyle w:val="Heading1"/>
      </w:pPr>
      <w:r>
        <w:t>Sources</w:t>
      </w:r>
    </w:p>
    <w:p>
      <w:pPr>
        <w:ind w:left="216" w:hanging="216"/>
      </w:pPr>
      <w:r>
        <w:rPr>
          <w:b/>
        </w:rPr>
        <w:t xml:space="preserve">1. ServiceTitan. </w:t>
      </w:r>
      <w:r>
        <w:t>Data Report Average Call Booking Rates. 2022. https://www.servicetitan.com/blog/data-call-booking-rates Used for: Typical shop booked 42% of calls in the cited June 2022 dataset.</w:t>
      </w:r>
    </w:p>
    <w:p>
      <w:pPr>
        <w:ind w:left="216" w:hanging="216"/>
      </w:pPr>
      <w:r>
        <w:rPr>
          <w:b/>
        </w:rPr>
        <w:t xml:space="preserve">2. ServiceTitan. </w:t>
      </w:r>
      <w:r>
        <w:t>HVAC Key Performance Indicators. 2023. https://www.servicetitan.com/blog/hvac-key-performance-indicators Used for: Revenue per lead, close rate, average ticket, retention, and marketing ROI.</w:t>
      </w:r>
    </w:p>
    <w:p>
      <w:pPr>
        <w:ind w:left="216" w:hanging="216"/>
      </w:pPr>
      <w:r>
        <w:rPr>
          <w:b/>
        </w:rPr>
        <w:t xml:space="preserve">3. ServiceTitan. </w:t>
      </w:r>
      <w:r>
        <w:t>Commercial Service Contract Revenue. 2025. https://www.servicetitan.com/blog/commercial-service-maximize-profit Used for: Commercial agreements, renewals, cross-selling, pricing, and contract metrics.</w:t>
      </w:r>
    </w:p>
    <w:p>
      <w:pPr>
        <w:ind w:left="216" w:hanging="216"/>
      </w:pPr>
      <w:r>
        <w:rPr>
          <w:b/>
        </w:rPr>
        <w:t xml:space="preserve">4. ServiceTitan. </w:t>
      </w:r>
      <w:r>
        <w:t>HVAC Sales Commission Rates and Processes. 2025. https://www.servicetitan.com/blog/hvac-sales-commission Used for: Commission structures and risks of behavior-based incentives.</w:t>
      </w:r>
    </w:p>
    <w:p>
      <w:pPr>
        <w:ind w:left="216" w:hanging="216"/>
      </w:pPr>
      <w:r>
        <w:rPr>
          <w:b/>
        </w:rPr>
        <w:t xml:space="preserve">5. ServiceTitan. </w:t>
      </w:r>
      <w:r>
        <w:t>Field Service Metrics. 2025. https://www.servicetitan.com/blog/field-service-metrics Used for: Operational and sales measurement definitions.</w:t>
      </w:r>
    </w:p>
    <w:p>
      <w:pPr>
        <w:ind w:left="216" w:hanging="216"/>
      </w:pPr>
      <w:r>
        <w:rPr>
          <w:b/>
        </w:rPr>
        <w:t xml:space="preserve">6. Modernize. </w:t>
      </w:r>
      <w:r>
        <w:t>Homeowner Insights Contractor Selection. 2025. https://modernize.com/homeowner-insights/2025-homeowner-insights-contractor-selection Used for: Homeowner trust, communication, value, and contractor selection.</w:t>
      </w:r>
    </w:p>
    <w:p>
      <w:pPr>
        <w:ind w:left="216" w:hanging="216"/>
      </w:pPr>
      <w:r>
        <w:rPr>
          <w:b/>
        </w:rPr>
        <w:t xml:space="preserve">7. ArcSite. </w:t>
      </w:r>
      <w:r>
        <w:t>Homeowner Survey Report. 2022. https://1608094.fs1.hubspotusercontent-na1.net/hubfs/1608094/2022HomeownerSurvey.pdf Used for: Survey of contractor research, budgeting, evaluation, and technology.</w:t>
      </w:r>
    </w:p>
    <w:p>
      <w:pPr>
        <w:ind w:left="216" w:hanging="216"/>
      </w:pPr>
      <w:r>
        <w:rPr>
          <w:b/>
        </w:rPr>
        <w:t xml:space="preserve">8. Roofing Contractor. </w:t>
      </w:r>
      <w:r>
        <w:t>Homeowner Roofing Survey. 2025. https://www.roofingcontractor.com/articles/100649-2025-homeowner-roofing-survey-tracking-the-journey Used for: Referrals and online reviews as trust signals in roofing.</w:t>
      </w:r>
    </w:p>
    <w:p>
      <w:pPr>
        <w:ind w:left="216" w:hanging="216"/>
      </w:pPr>
      <w:r>
        <w:rPr>
          <w:b/>
        </w:rPr>
        <w:t xml:space="preserve">9. BrightLocal. </w:t>
      </w:r>
      <w:r>
        <w:t>Local Consumer Review Survey. 2026. https://www.brightlocal.com/research/local-consumer-review-survey/ Used for: Review use, rating expectations, recency, responses, and AI discovery.</w:t>
      </w:r>
    </w:p>
    <w:p>
      <w:pPr>
        <w:ind w:left="216" w:hanging="216"/>
      </w:pPr>
      <w:r>
        <w:rPr>
          <w:b/>
        </w:rPr>
        <w:t xml:space="preserve">10. BrightLocal. </w:t>
      </w:r>
      <w:r>
        <w:t>Local Consumer Review Survey. 2025. https://www.brightlocal.com/research/local-consumer-review-survey-2025/ Used for: Review trust and use of photos and keyword filters.</w:t>
      </w:r>
    </w:p>
    <w:p>
      <w:pPr>
        <w:ind w:left="216" w:hanging="216"/>
      </w:pPr>
      <w:r>
        <w:rPr>
          <w:b/>
        </w:rPr>
        <w:t xml:space="preserve">11. HIRI. </w:t>
      </w:r>
      <w:r>
        <w:t>Contractor Data Financing Warranties and Relationships. 2021. https://www.hiri.org/blog/new-contractor-data-financing-warranties-and-customer-relationships Used for: Financing availability and contractor practices.</w:t>
      </w:r>
    </w:p>
    <w:p>
      <w:pPr>
        <w:ind w:left="216" w:hanging="216"/>
      </w:pPr>
      <w:r>
        <w:rPr>
          <w:b/>
        </w:rPr>
        <w:t xml:space="preserve">12. ENERGY STAR. </w:t>
      </w:r>
      <w:r>
        <w:t>HVAC Quality Installation. Current. https://www.energystar.gov/saveathome/heating-cooling/hvac-quality-installation Used for: Load calculations, airflow, duct evaluation, and quality proof.</w:t>
      </w:r>
    </w:p>
    <w:p>
      <w:pPr>
        <w:ind w:left="216" w:hanging="216"/>
      </w:pPr>
      <w:r>
        <w:rPr>
          <w:b/>
        </w:rPr>
        <w:t xml:space="preserve">13. ENERGY STAR. </w:t>
      </w:r>
      <w:r>
        <w:t>HVAC Installation Bid Comparison Checklist. Current. https://www.energystar.gov/ia/products/heat_cool/HVAC_QI_bidsheet.pdf Used for: Objective comparison criteria for HVAC proposals.</w:t>
      </w:r>
    </w:p>
    <w:p>
      <w:pPr>
        <w:ind w:left="216" w:hanging="216"/>
      </w:pPr>
      <w:r>
        <w:rPr>
          <w:b/>
        </w:rPr>
        <w:t xml:space="preserve">14. FTC. </w:t>
      </w:r>
      <w:r>
        <w:t>Cooling-Off Period for Sales Made at Home. Current. https://www.ftc.gov/legal-library/browse/rules/cooling-period-sales-made-home-or-other-locations Used for: Federal cancellation disclosures for covered in-home sales.</w:t>
      </w:r>
    </w:p>
    <w:p>
      <w:pPr>
        <w:ind w:left="216" w:hanging="216"/>
      </w:pPr>
      <w:r>
        <w:rPr>
          <w:b/>
        </w:rPr>
        <w:t xml:space="preserve">15. FTC. </w:t>
      </w:r>
      <w:r>
        <w:t>How To Avoid a Home Improvement Scam. Current. https://consumer.ftc.gov/articles/how-avoid-home-improvement-scam Used for: Consumer red flags and trust expectations.</w:t>
      </w:r>
    </w:p>
    <w:p>
      <w:pPr>
        <w:ind w:left="216" w:hanging="216"/>
      </w:pPr>
      <w:r>
        <w:rPr>
          <w:b/>
        </w:rPr>
        <w:t xml:space="preserve">16. EPA. </w:t>
      </w:r>
      <w:r>
        <w:t>Lead Renovation Repair and Painting Program. Current. https://www.epa.gov/lead/lead-renovation-repair-and-painting-program Used for: Certification and lead-safe requirements for covered renovation work.</w:t>
      </w:r>
    </w:p>
    <w:p>
      <w:pPr>
        <w:ind w:left="216" w:hanging="216"/>
      </w:pPr>
      <w:r>
        <w:rPr>
          <w:b/>
        </w:rPr>
        <w:t xml:space="preserve">17. AGC. </w:t>
      </w:r>
      <w:r>
        <w:t>Business Development Best Practices. Current. https://www.agc.org/connect/agc-groups/business-development/business-development-best-practices Used for: Construction BD, CRM, positioning, relationships, and pursuit discipline.</w:t>
      </w:r>
    </w:p>
    <w:p>
      <w:pPr>
        <w:ind w:left="216" w:hanging="216"/>
      </w:pPr>
      <w:r>
        <w:rPr>
          <w:b/>
        </w:rPr>
        <w:t xml:space="preserve">18. AGC. </w:t>
      </w:r>
      <w:r>
        <w:t>Business Development Forum. Current. https://www.agc.org/connect/agc-groups/business-development-forum Used for: Developer, prime contractor, government, and pipeline development.</w:t>
      </w:r>
    </w:p>
    <w:p>
      <w:pPr>
        <w:ind w:left="216" w:hanging="216"/>
      </w:pPr>
      <w:r>
        <w:rPr>
          <w:b/>
        </w:rPr>
        <w:t xml:space="preserve">19. Procore. </w:t>
      </w:r>
      <w:r>
        <w:t>Construction Business Development. 2025. https://www.procore.com/library/construction-business-development Used for: Early opportunity tracking, go or no-go, coordination, and preconstruction handoff.</w:t>
      </w:r>
    </w:p>
    <w:p>
      <w:pPr>
        <w:ind w:left="216" w:hanging="216"/>
      </w:pPr>
      <w:r>
        <w:rPr>
          <w:b/>
        </w:rPr>
        <w:t xml:space="preserve">20. SMPS Foundation. </w:t>
      </w:r>
      <w:r>
        <w:t>Sell Do Win Business Report. 2019. https://www.smps.org/wp-content/uploads/2023/04/Sell-Do-Win-Business-The-Report-2019-v1a.pdf Used for: Dedicated business developers and technical seller-doer roles in AEC.</w:t>
      </w:r>
    </w:p>
    <w:p>
      <w:pPr>
        <w:ind w:left="216" w:hanging="216"/>
      </w:pPr>
      <w:r>
        <w:rPr>
          <w:b/>
        </w:rPr>
        <w:t xml:space="preserve">21. ASCE. </w:t>
      </w:r>
      <w:r>
        <w:t>Developing Subcontractor General Contractor Relationships. 2023. https://ascelibrary.com/doi/10.1061/JCEMD4.COENG-13630 Used for: Analytical framework for subcontractor and GC relationship development.</w:t>
      </w:r>
    </w:p>
    <w:p>
      <w:pPr>
        <w:ind w:left="216" w:hanging="216"/>
      </w:pPr>
      <w:r>
        <w:rPr>
          <w:b/>
        </w:rPr>
        <w:t xml:space="preserve">22. Gartner. </w:t>
      </w:r>
      <w:r>
        <w:t>B2B Buying Journey. Current. https://www.gartner.com/en/sales/insights/b2b-buying-journey Used for: Hybrid digital and human buying support and buyer regret.</w:t>
      </w:r>
    </w:p>
    <w:p>
      <w:pPr>
        <w:ind w:left="216" w:hanging="216"/>
      </w:pPr>
      <w:r>
        <w:rPr>
          <w:b/>
        </w:rPr>
        <w:t xml:space="preserve">23. Gartner. </w:t>
      </w:r>
      <w:r>
        <w:t>Buyer Team Conflict Survey. 2025. https://www.gartner.com/en/newsroom/press-releases/2025-05-07-gartner-sales-survey-finds-74-percent-of-b2b-buyer-teams-demonstrate-unhealthy-conflict-during-the-decision-process Used for: Buying-group conflict, consensus, and deal quality.</w:t>
      </w:r>
    </w:p>
    <w:p>
      <w:pPr>
        <w:ind w:left="216" w:hanging="216"/>
      </w:pPr>
      <w:r>
        <w:rPr>
          <w:b/>
        </w:rPr>
        <w:t xml:space="preserve">24. Huthwaite International. </w:t>
      </w:r>
      <w:r>
        <w:t>SPIN Methodology. Current. https://www.huthwaiteinternational.com/ Used for: Research-derived situation, problem, implication, and need-payoff questions.</w:t>
      </w:r>
    </w:p>
    <w:p>
      <w:pPr>
        <w:ind w:left="216" w:hanging="216"/>
      </w:pPr>
      <w:r>
        <w:rPr>
          <w:b/>
        </w:rPr>
        <w:t xml:space="preserve">25. Challenger. </w:t>
      </w:r>
      <w:r>
        <w:t>Challenger Sales Methodology. 2024. https://challengerinc.com/ Used for: Teach, tailor, and constructively lead complex B2B decisions.</w:t>
      </w:r>
    </w:p>
    <w:p>
      <w:pPr>
        <w:ind w:left="216" w:hanging="216"/>
      </w:pPr>
      <w:r>
        <w:rPr>
          <w:b/>
        </w:rPr>
        <w:t xml:space="preserve">26. CertainPath. </w:t>
      </w:r>
      <w:r>
        <w:t>HVAC Contractor Sales Guide. 2023. https://mycertainpath.com/resources/blog/the-ultimate-hvac-contractor-sales-guide-from-qualification-to-closing/ Used for: Trade practitioner guidance from qualification through close.</w:t>
      </w:r>
    </w:p>
    <w:p>
      <w:pPr>
        <w:ind w:left="216" w:hanging="216"/>
      </w:pPr>
      <w:r>
        <w:rPr>
          <w:b/>
        </w:rPr>
        <w:t xml:space="preserve">27. The New Flat Rate. </w:t>
      </w:r>
      <w:r>
        <w:t>HVAC Sales Process. 2026. https://thenewflatrate.com/blog/the-hvac-sales-process-built-to-close-more-jobs Used for: First impression, diagnosis, options, and decision structure.</w:t>
      </w:r>
    </w:p>
    <w:p>
      <w:pPr>
        <w:ind w:left="216" w:hanging="216"/>
      </w:pPr>
      <w:r>
        <w:rPr>
          <w:b/>
        </w:rPr>
        <w:t xml:space="preserve">28. Service MVP. </w:t>
      </w:r>
      <w:r>
        <w:t>Joe Crisara and What Should We Do. Current. https://servicemvp.com/speaking Used for: Customer-first options and ethical home-service sales doctrine.</w:t>
      </w:r>
    </w:p>
    <w:p>
      <w:pPr>
        <w:ind w:left="216" w:hanging="216"/>
      </w:pPr>
      <w:r>
        <w:rPr>
          <w:b/>
        </w:rPr>
        <w:t xml:space="preserve">29. Flow Odyssey. </w:t>
      </w:r>
      <w:r>
        <w:t>Drew Cameron Resources. Current. https://flowodyssey.us/ Used for: Outcome-based comfort selling and technical communication.</w:t>
      </w:r>
    </w:p>
    <w:p>
      <w:pPr>
        <w:ind w:left="216" w:hanging="216"/>
      </w:pPr>
      <w:r>
        <w:rPr>
          <w:b/>
        </w:rPr>
        <w:t xml:space="preserve">30. Home Service Millionaire. </w:t>
      </w:r>
      <w:r>
        <w:t>Tommy Mello Resources. Current. https://homeservicemillionaire.com/ Used for: Operations, scripting, call handling, growth, and accountability.</w:t>
      </w:r>
    </w:p>
    <w:p>
      <w:pPr>
        <w:ind w:left="216" w:hanging="216"/>
      </w:pPr>
      <w:r>
        <w:rPr>
          <w:b/>
        </w:rPr>
        <w:t xml:space="preserve">31. To The Point. </w:t>
      </w:r>
      <w:r>
        <w:t>Home Services VIP Room Podcast. Current. https://podcasts.apple.com/us/podcast/to-the-point-home-services-vip-room-podcast/id1496811695 Used for: Home-service marketing, sales, operations, and leadership interviews.</w:t>
      </w:r>
    </w:p>
    <w:p>
      <w:pPr>
        <w:ind w:left="216" w:hanging="216"/>
      </w:pPr>
      <w:r>
        <w:rPr>
          <w:b/>
        </w:rPr>
        <w:t xml:space="preserve">32. Service Business Mastery. </w:t>
      </w:r>
      <w:r>
        <w:t>Selling HVAC Options with Drew Cameron. 2025. https://servicebusinessmastery.com/how-to-properly-sell-hvac-options-with-drew-cameron/ Used for: Options selling and a lower-pressure advisory approach.</w:t>
      </w:r>
    </w:p>
    <w:p>
      <w:pPr>
        <w:ind w:left="216" w:hanging="216"/>
      </w:pPr>
      <w:r>
        <w:rPr>
          <w:b/>
        </w:rPr>
        <w:t xml:space="preserve">33. Service MVP. </w:t>
      </w:r>
      <w:r>
        <w:t>Sales Training Podcast. Current. https://www.joecrisaraservicemvppodcast.com/2427007/episodes Used for: Roleplay, communication, options, objection handling, and coaching topics.</w:t>
      </w:r>
    </w:p>
    <w:p>
      <w:pPr>
        <w:ind w:left="216" w:hanging="216"/>
      </w:pPr>
      <w:r>
        <w:rPr>
          <w:b/>
        </w:rPr>
        <w:t xml:space="preserve">34. Hook Agency. </w:t>
      </w:r>
      <w:r>
        <w:t>Home Service Sales Roleplays. Current. https://www.youtube.com/@HookAgency Used for: HVAC options and roofing objection roleplays.</w:t>
      </w:r>
    </w:p>
    <w:p>
      <w:pPr>
        <w:ind w:left="216" w:hanging="216"/>
      </w:pPr>
      <w:r>
        <w:rPr>
          <w:b/>
        </w:rPr>
        <w:t xml:space="preserve">35. Qualified Remodeler. </w:t>
      </w:r>
      <w:r>
        <w:t>Developing Sales Presentations. 2024. https://www.qualifiedremodeler.com/yoho-developing-sales-presentations/ Used for: Lead issuance, presentation, close-rate funnel arithmetic.</w:t>
      </w:r>
    </w:p>
    <w:p>
      <w:pPr>
        <w:ind w:left="216" w:hanging="216"/>
      </w:pPr>
      <w:r>
        <w:rPr>
          <w:b/>
        </w:rPr>
        <w:t xml:space="preserve">36. Qualified Remodeler. </w:t>
      </w:r>
      <w:r>
        <w:t>Changing Economy and Closing Rates. 2023. https://www.qualifiedremodeler.com/yoho-will-your-company-thrive-or-just-survive-the-changing-economy/ Used for: Lead cost and close-rate practitioner benchmarks.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TRUSS Trades Sales Knowledge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