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C4A" w:rsidRDefault="00EA0C4A">
      <w:r>
        <w:rPr>
          <w:noProof/>
          <w:lang w:eastAsia="el-GR"/>
        </w:rPr>
        <w:drawing>
          <wp:inline distT="0" distB="0" distL="0" distR="0" wp14:anchorId="11B3428D" wp14:editId="78A2D489">
            <wp:extent cx="6341423" cy="6175168"/>
            <wp:effectExtent l="38100" t="38100" r="40640" b="355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A0C4A" w:rsidRDefault="00EA0C4A">
      <w:r>
        <w:br w:type="page"/>
      </w:r>
    </w:p>
    <w:p w:rsidR="00EA0C4A" w:rsidRDefault="00EA0C4A">
      <w:r>
        <w:rPr>
          <w:noProof/>
          <w:lang w:eastAsia="el-GR"/>
        </w:rPr>
        <w:lastRenderedPageBreak/>
        <w:drawing>
          <wp:inline distT="0" distB="0" distL="0" distR="0" wp14:anchorId="132E081D">
            <wp:extent cx="6351126" cy="62582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337" cy="62663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0C4A" w:rsidRDefault="00EA0C4A">
      <w:r>
        <w:br w:type="page"/>
      </w:r>
    </w:p>
    <w:p w:rsidR="00EA0C4A" w:rsidRDefault="00EA0C4A">
      <w:r>
        <w:rPr>
          <w:noProof/>
          <w:lang w:eastAsia="el-GR"/>
        </w:rPr>
        <w:drawing>
          <wp:inline distT="0" distB="0" distL="0" distR="0" wp14:anchorId="37066DB6" wp14:editId="46854A57">
            <wp:extent cx="6258296" cy="6198919"/>
            <wp:effectExtent l="38100" t="38100" r="28575" b="3048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A0C4A" w:rsidRDefault="00EA0C4A">
      <w:r>
        <w:br w:type="page"/>
      </w:r>
    </w:p>
    <w:p w:rsidR="00092B0D" w:rsidRDefault="00EA0C4A">
      <w:bookmarkStart w:id="0" w:name="_GoBack"/>
      <w:r>
        <w:rPr>
          <w:noProof/>
          <w:lang w:eastAsia="el-GR"/>
        </w:rPr>
        <w:drawing>
          <wp:inline distT="0" distB="0" distL="0" distR="0" wp14:anchorId="430B7A33" wp14:editId="3AAF3D8E">
            <wp:extent cx="6353298" cy="6270171"/>
            <wp:effectExtent l="38100" t="38100" r="28575" b="3556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sectPr w:rsidR="00092B0D" w:rsidSect="00EA0C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C4A"/>
    <w:rsid w:val="00092B0D"/>
    <w:rsid w:val="008207FE"/>
    <w:rsid w:val="00EA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C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C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NS%20Documents\GNOSIS\Administration\EXAMS%20Administration\EXAMS%202015\YLE\Results\Exams%20Results%202015%20YLE%2020150813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C:\NS%20Documents\GNOSIS\Administration\EXAMS%20Administration\EXAMS%202015\YLE\Results\Exams%20Results%202015%20YLE%202015081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2000" b="1" i="0" baseline="0">
                <a:solidFill>
                  <a:schemeClr val="accent6">
                    <a:lumMod val="75000"/>
                  </a:schemeClr>
                </a:solidFill>
                <a:effectLst/>
              </a:rPr>
              <a:t>THINK Learning Centre</a:t>
            </a:r>
            <a:r>
              <a:rPr lang="en-US" sz="1800" b="1" i="0" baseline="0">
                <a:effectLst/>
              </a:rPr>
              <a:t/>
            </a:r>
            <a:br>
              <a:rPr lang="en-US" sz="1800" b="1" i="0" baseline="0">
                <a:effectLst/>
              </a:rPr>
            </a:br>
            <a:r>
              <a:rPr lang="en-US" sz="1800" b="1" i="0" baseline="0">
                <a:effectLst/>
              </a:rPr>
              <a:t>Cambridge Exams</a:t>
            </a:r>
            <a:br>
              <a:rPr lang="en-US" sz="1800" b="1" i="0" baseline="0">
                <a:effectLst/>
              </a:rPr>
            </a:br>
            <a:r>
              <a:rPr lang="en-US" sz="1800" b="1" i="0" baseline="0">
                <a:effectLst/>
              </a:rPr>
              <a:t>June 2015 Results</a:t>
            </a:r>
            <a:br>
              <a:rPr lang="en-US" sz="1800" b="1" i="0" baseline="0">
                <a:effectLst/>
              </a:rPr>
            </a:br>
            <a:r>
              <a:rPr lang="en-US" sz="1800" b="1" i="0" baseline="0">
                <a:solidFill>
                  <a:srgbClr val="0070C0"/>
                </a:solidFill>
                <a:effectLst/>
              </a:rPr>
              <a:t>YLE: Starters, Movers, Flyers</a:t>
            </a:r>
            <a:endParaRPr lang="el-GR" sz="1800">
              <a:solidFill>
                <a:srgbClr val="0070C0"/>
              </a:solidFill>
              <a:effectLst/>
            </a:endParaRPr>
          </a:p>
        </c:rich>
      </c:tx>
      <c:layout/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7.334226520866996E-2"/>
          <c:y val="0.27282177457700996"/>
          <c:w val="0.69038770880842237"/>
          <c:h val="0.64829633821373378"/>
        </c:manualLayout>
      </c:layout>
      <c:pie3DChart>
        <c:varyColors val="1"/>
        <c:ser>
          <c:idx val="0"/>
          <c:order val="0"/>
          <c:explosion val="25"/>
          <c:dPt>
            <c:idx val="0"/>
            <c:bubble3D val="0"/>
            <c:spPr>
              <a:solidFill>
                <a:srgbClr val="FF0000"/>
              </a:solidFill>
            </c:spPr>
          </c:dPt>
          <c:dPt>
            <c:idx val="1"/>
            <c:bubble3D val="0"/>
            <c:spPr>
              <a:solidFill>
                <a:schemeClr val="accent6">
                  <a:lumMod val="75000"/>
                </a:schemeClr>
              </a:solidFill>
            </c:spPr>
          </c:dPt>
          <c:dPt>
            <c:idx val="2"/>
            <c:bubble3D val="0"/>
            <c:spPr>
              <a:solidFill>
                <a:schemeClr val="accent1">
                  <a:lumMod val="75000"/>
                </a:schemeClr>
              </a:solidFill>
            </c:spPr>
          </c:dPt>
          <c:dPt>
            <c:idx val="3"/>
            <c:bubble3D val="0"/>
            <c:spPr>
              <a:solidFill>
                <a:schemeClr val="accent3">
                  <a:lumMod val="75000"/>
                </a:schemeClr>
              </a:solidFill>
            </c:spPr>
          </c:dPt>
          <c:dPt>
            <c:idx val="5"/>
            <c:bubble3D val="0"/>
            <c:spPr>
              <a:solidFill>
                <a:schemeClr val="accent5">
                  <a:lumMod val="40000"/>
                  <a:lumOff val="60000"/>
                </a:schemeClr>
              </a:solidFill>
            </c:spPr>
          </c:dPt>
          <c:dLbls>
            <c:dLbl>
              <c:idx val="0"/>
              <c:layout>
                <c:manualLayout>
                  <c:x val="-0.17140125291073582"/>
                  <c:y val="5.8168871597257997E-2"/>
                </c:manualLayout>
              </c:layout>
              <c:spPr/>
              <c:txPr>
                <a:bodyPr/>
                <a:lstStyle/>
                <a:p>
                  <a:pPr>
                    <a:defRPr sz="1800">
                      <a:solidFill>
                        <a:schemeClr val="bg1"/>
                      </a:solidFill>
                    </a:defRPr>
                  </a:pPr>
                  <a:endParaRPr lang="el-GR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0.16818981128077193"/>
                  <c:y val="-0.1576060508875857"/>
                </c:manualLayout>
              </c:layout>
              <c:spPr/>
              <c:txPr>
                <a:bodyPr/>
                <a:lstStyle/>
                <a:p>
                  <a:pPr>
                    <a:defRPr sz="2000">
                      <a:solidFill>
                        <a:schemeClr val="bg1"/>
                      </a:solidFill>
                    </a:defRPr>
                  </a:pPr>
                  <a:endParaRPr lang="el-GR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separator> </c:separator>
            </c:dLbl>
            <c:dLbl>
              <c:idx val="2"/>
              <c:layout>
                <c:manualLayout>
                  <c:x val="0.11468359368415476"/>
                  <c:y val="-9.7527780391884936E-2"/>
                </c:manualLayout>
              </c:layout>
              <c:spPr/>
              <c:txPr>
                <a:bodyPr/>
                <a:lstStyle/>
                <a:p>
                  <a:pPr>
                    <a:defRPr sz="1800">
                      <a:solidFill>
                        <a:schemeClr val="bg1"/>
                      </a:solidFill>
                    </a:defRPr>
                  </a:pPr>
                  <a:endParaRPr lang="el-GR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separator> </c:separator>
            </c:dLbl>
            <c:dLbl>
              <c:idx val="3"/>
              <c:layout>
                <c:manualLayout>
                  <c:x val="0.12619108393755432"/>
                  <c:y val="2.885659572255022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 </c:separator>
            </c:dLbl>
            <c:dLbl>
              <c:idx val="4"/>
              <c:layout>
                <c:manualLayout>
                  <c:x val="2.6778619125250154E-2"/>
                  <c:y val="-7.609270366921583E-3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 </c:separator>
            </c:dLbl>
            <c:dLbl>
              <c:idx val="5"/>
              <c:layout>
                <c:manualLayout>
                  <c:x val="6.3283219713297006E-2"/>
                  <c:y val="-4.9701176595871178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 </c:separator>
            </c:dLbl>
            <c:dLbl>
              <c:idx val="6"/>
              <c:layout>
                <c:manualLayout>
                  <c:x val="0.11242378507632328"/>
                  <c:y val="-2.2180664797717638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 </c:separator>
            </c:dLbl>
            <c:txPr>
              <a:bodyPr/>
              <a:lstStyle/>
              <a:p>
                <a:pPr>
                  <a:defRPr sz="1800"/>
                </a:pPr>
                <a:endParaRPr lang="el-GR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 </c:separator>
            <c:showLeaderLines val="1"/>
          </c:dLbls>
          <c:cat>
            <c:strRef>
              <c:f>YLE!$B$1:$B$7</c:f>
              <c:strCache>
                <c:ptCount val="7"/>
                <c:pt idx="0">
                  <c:v>Outstanding</c:v>
                </c:pt>
                <c:pt idx="1">
                  <c:v>Excellent</c:v>
                </c:pt>
                <c:pt idx="2">
                  <c:v>Very Good</c:v>
                </c:pt>
                <c:pt idx="3">
                  <c:v>Good</c:v>
                </c:pt>
                <c:pt idx="4">
                  <c:v>Average</c:v>
                </c:pt>
                <c:pt idx="5">
                  <c:v>Pass</c:v>
                </c:pt>
                <c:pt idx="6">
                  <c:v>Fail</c:v>
                </c:pt>
              </c:strCache>
            </c:strRef>
          </c:cat>
          <c:val>
            <c:numRef>
              <c:f>YLE!$D$1:$D$7</c:f>
              <c:numCache>
                <c:formatCode>0%</c:formatCode>
                <c:ptCount val="7"/>
                <c:pt idx="0">
                  <c:v>0.24489795918367346</c:v>
                </c:pt>
                <c:pt idx="1">
                  <c:v>0.32653061224489793</c:v>
                </c:pt>
                <c:pt idx="2">
                  <c:v>0.18367346938775511</c:v>
                </c:pt>
                <c:pt idx="3">
                  <c:v>0.1326530612244898</c:v>
                </c:pt>
                <c:pt idx="4">
                  <c:v>5.1020408163265307E-2</c:v>
                </c:pt>
                <c:pt idx="5">
                  <c:v>5.1020408163265307E-2</c:v>
                </c:pt>
                <c:pt idx="6">
                  <c:v>1.020408163265306E-2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layout/>
      <c:overlay val="0"/>
      <c:txPr>
        <a:bodyPr/>
        <a:lstStyle/>
        <a:p>
          <a:pPr>
            <a:defRPr sz="1200"/>
          </a:pPr>
          <a:endParaRPr lang="el-GR"/>
        </a:p>
      </c:txPr>
    </c:legend>
    <c:plotVisOnly val="1"/>
    <c:dispBlanksAs val="gap"/>
    <c:showDLblsOverMax val="0"/>
  </c:chart>
  <c:spPr>
    <a:ln w="76200">
      <a:solidFill>
        <a:schemeClr val="accent6">
          <a:lumMod val="75000"/>
        </a:schemeClr>
      </a:solidFill>
    </a:ln>
  </c:sp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2000" b="1" i="0" baseline="0">
                <a:solidFill>
                  <a:schemeClr val="accent6">
                    <a:lumMod val="75000"/>
                  </a:schemeClr>
                </a:solidFill>
                <a:effectLst/>
              </a:rPr>
              <a:t>THINK Learning Centre</a:t>
            </a:r>
            <a:r>
              <a:rPr lang="en-US" sz="1800" b="1" i="0" baseline="0">
                <a:effectLst/>
              </a:rPr>
              <a:t/>
            </a:r>
            <a:br>
              <a:rPr lang="en-US" sz="1800" b="1" i="0" baseline="0">
                <a:effectLst/>
              </a:rPr>
            </a:br>
            <a:r>
              <a:rPr lang="en-US" sz="1800" b="1" i="0" baseline="0">
                <a:effectLst/>
              </a:rPr>
              <a:t>Cambridge Exams</a:t>
            </a:r>
            <a:br>
              <a:rPr lang="en-US" sz="1800" b="1" i="0" baseline="0">
                <a:effectLst/>
              </a:rPr>
            </a:br>
            <a:r>
              <a:rPr lang="en-US" sz="1800" b="1" i="0" baseline="0">
                <a:effectLst/>
              </a:rPr>
              <a:t>June 2015 Results</a:t>
            </a:r>
            <a:br>
              <a:rPr lang="en-US" sz="1800" b="1" i="0" baseline="0">
                <a:effectLst/>
              </a:rPr>
            </a:br>
            <a:r>
              <a:rPr lang="en-US" sz="2400" b="1" i="0" baseline="0">
                <a:solidFill>
                  <a:srgbClr val="0070C0"/>
                </a:solidFill>
                <a:effectLst/>
              </a:rPr>
              <a:t>Movers</a:t>
            </a:r>
            <a:endParaRPr lang="el-GR" sz="2400">
              <a:solidFill>
                <a:srgbClr val="0070C0"/>
              </a:solidFill>
              <a:effectLst/>
            </a:endParaRPr>
          </a:p>
        </c:rich>
      </c:tx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explosion val="25"/>
          <c:dPt>
            <c:idx val="0"/>
            <c:bubble3D val="0"/>
            <c:spPr>
              <a:solidFill>
                <a:srgbClr val="FF0000"/>
              </a:solidFill>
            </c:spPr>
          </c:dPt>
          <c:dPt>
            <c:idx val="1"/>
            <c:bubble3D val="0"/>
            <c:spPr>
              <a:solidFill>
                <a:schemeClr val="accent6">
                  <a:lumMod val="75000"/>
                </a:schemeClr>
              </a:solidFill>
            </c:spPr>
          </c:dPt>
          <c:dPt>
            <c:idx val="2"/>
            <c:bubble3D val="0"/>
            <c:spPr>
              <a:solidFill>
                <a:srgbClr val="0070C0"/>
              </a:solidFill>
            </c:spPr>
          </c:dPt>
          <c:dPt>
            <c:idx val="3"/>
            <c:bubble3D val="0"/>
            <c:spPr>
              <a:solidFill>
                <a:schemeClr val="accent3">
                  <a:lumMod val="75000"/>
                </a:schemeClr>
              </a:solidFill>
            </c:spPr>
          </c:dPt>
          <c:dPt>
            <c:idx val="5"/>
            <c:bubble3D val="0"/>
            <c:spPr>
              <a:solidFill>
                <a:schemeClr val="accent5">
                  <a:lumMod val="40000"/>
                  <a:lumOff val="60000"/>
                </a:schemeClr>
              </a:solidFill>
            </c:spPr>
          </c:dPt>
          <c:dLbls>
            <c:dLbl>
              <c:idx val="0"/>
              <c:layout>
                <c:manualLayout>
                  <c:x val="-0.20110902876492523"/>
                  <c:y val="5.2751455536037814E-2"/>
                </c:manualLayout>
              </c:layout>
              <c:spPr/>
              <c:txPr>
                <a:bodyPr/>
                <a:lstStyle/>
                <a:p>
                  <a:pPr>
                    <a:defRPr sz="1800" b="1">
                      <a:solidFill>
                        <a:schemeClr val="bg1"/>
                      </a:solidFill>
                    </a:defRPr>
                  </a:pPr>
                  <a:endParaRPr lang="el-GR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0.16436702482463345"/>
                  <c:y val="-0.16940048960851131"/>
                </c:manualLayout>
              </c:layout>
              <c:spPr/>
              <c:txPr>
                <a:bodyPr/>
                <a:lstStyle/>
                <a:p>
                  <a:pPr>
                    <a:defRPr sz="2400">
                      <a:solidFill>
                        <a:schemeClr val="bg1"/>
                      </a:solidFill>
                    </a:defRPr>
                  </a:pPr>
                  <a:endParaRPr lang="el-GR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separator> </c:separator>
            </c:dLbl>
            <c:dLbl>
              <c:idx val="2"/>
              <c:layout>
                <c:manualLayout>
                  <c:x val="0.16405548277879853"/>
                  <c:y val="-0.11521943847327337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 </c:separator>
            </c:dLbl>
            <c:dLbl>
              <c:idx val="3"/>
              <c:layout>
                <c:manualLayout>
                  <c:x val="0.11472272456913886"/>
                  <c:y val="1.5096571997464042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 </c:separator>
            </c:dLbl>
            <c:dLbl>
              <c:idx val="5"/>
              <c:layout>
                <c:manualLayout>
                  <c:x val="8.4308586426696669E-2"/>
                  <c:y val="-8.3118598189166698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 </c:separator>
            </c:dLbl>
            <c:dLbl>
              <c:idx val="6"/>
              <c:layout>
                <c:manualLayout>
                  <c:x val="0.10668953880764905"/>
                  <c:y val="-2.0214925010896698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 </c:separator>
            </c:dLbl>
            <c:txPr>
              <a:bodyPr/>
              <a:lstStyle/>
              <a:p>
                <a:pPr>
                  <a:defRPr sz="1800"/>
                </a:pPr>
                <a:endParaRPr lang="el-GR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 </c:separator>
            <c:showLeaderLines val="1"/>
          </c:dLbls>
          <c:cat>
            <c:strRef>
              <c:f>Movers!$B$1:$B$7</c:f>
              <c:strCache>
                <c:ptCount val="7"/>
                <c:pt idx="0">
                  <c:v>Outstanding</c:v>
                </c:pt>
                <c:pt idx="1">
                  <c:v>Excellent</c:v>
                </c:pt>
                <c:pt idx="2">
                  <c:v>Very Good</c:v>
                </c:pt>
                <c:pt idx="3">
                  <c:v>Good</c:v>
                </c:pt>
                <c:pt idx="4">
                  <c:v>Average</c:v>
                </c:pt>
                <c:pt idx="5">
                  <c:v>Pass</c:v>
                </c:pt>
                <c:pt idx="6">
                  <c:v>Fail</c:v>
                </c:pt>
              </c:strCache>
            </c:strRef>
          </c:cat>
          <c:val>
            <c:numRef>
              <c:f>Movers!$D$1:$D$7</c:f>
              <c:numCache>
                <c:formatCode>0%</c:formatCode>
                <c:ptCount val="7"/>
                <c:pt idx="0">
                  <c:v>0.30303030303030304</c:v>
                </c:pt>
                <c:pt idx="1">
                  <c:v>0.24242424242424243</c:v>
                </c:pt>
                <c:pt idx="2">
                  <c:v>0.15151515151515152</c:v>
                </c:pt>
                <c:pt idx="3">
                  <c:v>0.18181818181818182</c:v>
                </c:pt>
                <c:pt idx="4">
                  <c:v>6.0606060606060608E-2</c:v>
                </c:pt>
                <c:pt idx="5">
                  <c:v>6.0606060606060608E-2</c:v>
                </c:pt>
                <c:pt idx="6">
                  <c:v>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  <c:txPr>
        <a:bodyPr/>
        <a:lstStyle/>
        <a:p>
          <a:pPr>
            <a:defRPr sz="1200"/>
          </a:pPr>
          <a:endParaRPr lang="el-GR"/>
        </a:p>
      </c:txPr>
    </c:legend>
    <c:plotVisOnly val="1"/>
    <c:dispBlanksAs val="gap"/>
    <c:showDLblsOverMax val="0"/>
  </c:chart>
  <c:spPr>
    <a:ln w="76200">
      <a:solidFill>
        <a:schemeClr val="accent6">
          <a:lumMod val="75000"/>
        </a:schemeClr>
      </a:solidFill>
    </a:ln>
  </c:spPr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2000" b="1" i="0" baseline="0">
                <a:solidFill>
                  <a:schemeClr val="accent6">
                    <a:lumMod val="75000"/>
                  </a:schemeClr>
                </a:solidFill>
                <a:effectLst/>
              </a:rPr>
              <a:t>THINK Learning Centre</a:t>
            </a:r>
            <a:r>
              <a:rPr lang="en-US" sz="1800" b="1" i="0" baseline="0">
                <a:effectLst/>
              </a:rPr>
              <a:t/>
            </a:r>
            <a:br>
              <a:rPr lang="en-US" sz="1800" b="1" i="0" baseline="0">
                <a:effectLst/>
              </a:rPr>
            </a:br>
            <a:r>
              <a:rPr lang="en-US" sz="1800" b="1" i="0" baseline="0">
                <a:effectLst/>
              </a:rPr>
              <a:t>Cambridge Exams</a:t>
            </a:r>
            <a:br>
              <a:rPr lang="en-US" sz="1800" b="1" i="0" baseline="0">
                <a:effectLst/>
              </a:rPr>
            </a:br>
            <a:r>
              <a:rPr lang="en-US" sz="1800" b="1" i="0" baseline="0">
                <a:effectLst/>
              </a:rPr>
              <a:t>June 2015 Results</a:t>
            </a:r>
            <a:br>
              <a:rPr lang="en-US" sz="1800" b="1" i="0" baseline="0">
                <a:effectLst/>
              </a:rPr>
            </a:br>
            <a:r>
              <a:rPr lang="en-US" sz="2400" b="1" i="0" baseline="0">
                <a:solidFill>
                  <a:srgbClr val="0070C0"/>
                </a:solidFill>
                <a:effectLst/>
              </a:rPr>
              <a:t>Flyers</a:t>
            </a:r>
            <a:endParaRPr lang="el-GR" sz="2400">
              <a:solidFill>
                <a:srgbClr val="0070C0"/>
              </a:solidFill>
              <a:effectLst/>
            </a:endParaRPr>
          </a:p>
        </c:rich>
      </c:tx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explosion val="25"/>
          <c:dPt>
            <c:idx val="0"/>
            <c:bubble3D val="0"/>
            <c:spPr>
              <a:solidFill>
                <a:srgbClr val="FF0000"/>
              </a:solidFill>
            </c:spPr>
          </c:dPt>
          <c:dPt>
            <c:idx val="1"/>
            <c:bubble3D val="0"/>
            <c:spPr>
              <a:solidFill>
                <a:schemeClr val="accent6">
                  <a:lumMod val="75000"/>
                </a:schemeClr>
              </a:solidFill>
            </c:spPr>
          </c:dPt>
          <c:dPt>
            <c:idx val="2"/>
            <c:bubble3D val="0"/>
            <c:spPr>
              <a:solidFill>
                <a:schemeClr val="accent1">
                  <a:lumMod val="75000"/>
                </a:schemeClr>
              </a:solidFill>
            </c:spPr>
          </c:dPt>
          <c:dPt>
            <c:idx val="3"/>
            <c:bubble3D val="0"/>
            <c:spPr>
              <a:solidFill>
                <a:schemeClr val="accent3">
                  <a:lumMod val="75000"/>
                </a:schemeClr>
              </a:solidFill>
            </c:spPr>
          </c:dPt>
          <c:dPt>
            <c:idx val="5"/>
            <c:bubble3D val="0"/>
            <c:spPr>
              <a:solidFill>
                <a:schemeClr val="accent5">
                  <a:lumMod val="40000"/>
                  <a:lumOff val="60000"/>
                </a:schemeClr>
              </a:solidFill>
            </c:spPr>
          </c:dPt>
          <c:dLbls>
            <c:dLbl>
              <c:idx val="0"/>
              <c:layout>
                <c:manualLayout>
                  <c:x val="-0.12743920866514316"/>
                  <c:y val="8.7654968399572056E-2"/>
                </c:manualLayout>
              </c:layout>
              <c:spPr/>
              <c:txPr>
                <a:bodyPr/>
                <a:lstStyle/>
                <a:p>
                  <a:pPr>
                    <a:defRPr sz="1800" b="1">
                      <a:solidFill>
                        <a:schemeClr val="bg1"/>
                      </a:solidFill>
                    </a:defRPr>
                  </a:pPr>
                  <a:endParaRPr lang="el-GR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0.22553160812284931"/>
                  <c:y val="-8.6839418562031936E-2"/>
                </c:manualLayout>
              </c:layout>
              <c:spPr/>
              <c:txPr>
                <a:bodyPr/>
                <a:lstStyle/>
                <a:p>
                  <a:pPr>
                    <a:defRPr sz="2400">
                      <a:solidFill>
                        <a:schemeClr val="bg1"/>
                      </a:solidFill>
                    </a:defRPr>
                  </a:pPr>
                  <a:endParaRPr lang="el-GR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separator> </c:separator>
            </c:dLbl>
            <c:dLbl>
              <c:idx val="2"/>
              <c:layout>
                <c:manualLayout>
                  <c:x val="0.13347304062628682"/>
                  <c:y val="-0.15649997399651305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 </c:separator>
            </c:dLbl>
            <c:dLbl>
              <c:idx val="3"/>
              <c:layout>
                <c:manualLayout>
                  <c:x val="0.10134297197265413"/>
                  <c:y val="-5.9601539901731511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 </c:separator>
            </c:dLbl>
            <c:dLbl>
              <c:idx val="5"/>
              <c:layout>
                <c:manualLayout>
                  <c:x val="8.4308586426696669E-2"/>
                  <c:y val="-8.3118598189166698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 </c:separator>
            </c:dLbl>
            <c:dLbl>
              <c:idx val="6"/>
              <c:layout>
                <c:manualLayout>
                  <c:x val="0.10668953880764905"/>
                  <c:y val="-2.0214925010896698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 </c:separator>
            </c:dLbl>
            <c:txPr>
              <a:bodyPr/>
              <a:lstStyle/>
              <a:p>
                <a:pPr>
                  <a:defRPr sz="1800"/>
                </a:pPr>
                <a:endParaRPr lang="el-GR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 </c:separator>
            <c:showLeaderLines val="1"/>
          </c:dLbls>
          <c:cat>
            <c:strRef>
              <c:f>Flyers!$B$1:$B$7</c:f>
              <c:strCache>
                <c:ptCount val="7"/>
                <c:pt idx="0">
                  <c:v>Outstanding</c:v>
                </c:pt>
                <c:pt idx="1">
                  <c:v>Excellent</c:v>
                </c:pt>
                <c:pt idx="2">
                  <c:v>Very Good</c:v>
                </c:pt>
                <c:pt idx="3">
                  <c:v>Good</c:v>
                </c:pt>
                <c:pt idx="4">
                  <c:v>Average</c:v>
                </c:pt>
                <c:pt idx="5">
                  <c:v>Pass</c:v>
                </c:pt>
                <c:pt idx="6">
                  <c:v>Fail</c:v>
                </c:pt>
              </c:strCache>
            </c:strRef>
          </c:cat>
          <c:val>
            <c:numRef>
              <c:f>Flyers!$D$1:$D$7</c:f>
              <c:numCache>
                <c:formatCode>0%</c:formatCode>
                <c:ptCount val="7"/>
                <c:pt idx="0">
                  <c:v>0.16129032258064516</c:v>
                </c:pt>
                <c:pt idx="1">
                  <c:v>0.32258064516129031</c:v>
                </c:pt>
                <c:pt idx="2">
                  <c:v>0.16129032258064516</c:v>
                </c:pt>
                <c:pt idx="3">
                  <c:v>0.16129032258064516</c:v>
                </c:pt>
                <c:pt idx="4">
                  <c:v>6.4516129032258063E-2</c:v>
                </c:pt>
                <c:pt idx="5">
                  <c:v>9.6774193548387094E-2</c:v>
                </c:pt>
                <c:pt idx="6">
                  <c:v>3.2258064516129031E-2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  <c:txPr>
        <a:bodyPr/>
        <a:lstStyle/>
        <a:p>
          <a:pPr>
            <a:defRPr sz="1200"/>
          </a:pPr>
          <a:endParaRPr lang="el-GR"/>
        </a:p>
      </c:txPr>
    </c:legend>
    <c:plotVisOnly val="1"/>
    <c:dispBlanksAs val="gap"/>
    <c:showDLblsOverMax val="0"/>
  </c:chart>
  <c:spPr>
    <a:ln w="76200">
      <a:solidFill>
        <a:schemeClr val="accent6">
          <a:lumMod val="75000"/>
        </a:schemeClr>
      </a:solidFill>
    </a:ln>
  </c:sp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0.17707</cdr:x>
      <cdr:y>0.74648</cdr:y>
    </cdr:from>
    <cdr:to>
      <cdr:x>0.81485</cdr:x>
      <cdr:y>0.90616</cdr:y>
    </cdr:to>
    <cdr:sp macro="" textlink="">
      <cdr:nvSpPr>
        <cdr:cNvPr id="2" name="Rectangle 1"/>
        <cdr:cNvSpPr/>
      </cdr:nvSpPr>
      <cdr:spPr>
        <a:xfrm xmlns:a="http://schemas.openxmlformats.org/drawingml/2006/main" rot="1375391">
          <a:off x="1176491" y="4822768"/>
          <a:ext cx="4237699" cy="1031629"/>
        </a:xfrm>
        <a:prstGeom xmlns:a="http://schemas.openxmlformats.org/drawingml/2006/main" prst="rect">
          <a:avLst/>
        </a:prstGeom>
        <a:noFill xmlns:a="http://schemas.openxmlformats.org/drawingml/2006/main"/>
      </cdr:spPr>
      <cdr:txBody>
        <a:bodyPr xmlns:a="http://schemas.openxmlformats.org/drawingml/2006/main" wrap="none" lIns="91440" tIns="45720" rIns="91440" bIns="45720">
          <a:spAutoFit/>
          <a:scene3d>
            <a:camera prst="isometricTopUp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 xmlns:a="http://schemas.openxmlformats.org/drawingml/2006/main"/>
        <a:p xmlns:a="http://schemas.openxmlformats.org/drawingml/2006/main">
          <a:pPr algn="ctr"/>
          <a:r>
            <a:rPr lang="en-US" sz="6000" b="1" cap="none" spc="50">
              <a:ln w="11430"/>
              <a:gradFill>
                <a:gsLst>
                  <a:gs pos="25000">
                    <a:schemeClr val="accent2">
                      <a:satMod val="155000"/>
                    </a:schemeClr>
                  </a:gs>
                  <a:gs pos="100000">
                    <a:schemeClr val="accent2">
                      <a:shade val="45000"/>
                      <a:satMod val="165000"/>
                    </a:schemeClr>
                  </a:gs>
                </a:gsLst>
                <a:lin ang="5400000"/>
              </a:gradFill>
              <a:effectLst>
                <a:outerShdw blurRad="76200" dist="50800" dir="5400000" algn="tl" rotWithShape="0">
                  <a:srgbClr val="000000">
                    <a:alpha val="65000"/>
                  </a:srgbClr>
                </a:outerShdw>
              </a:effectLst>
            </a:rPr>
            <a:t>Success</a:t>
          </a:r>
          <a:r>
            <a:rPr lang="en-US" sz="5400" b="1" cap="none" spc="50">
              <a:ln w="11430"/>
              <a:gradFill>
                <a:gsLst>
                  <a:gs pos="25000">
                    <a:schemeClr val="accent2">
                      <a:satMod val="155000"/>
                    </a:schemeClr>
                  </a:gs>
                  <a:gs pos="100000">
                    <a:schemeClr val="accent2">
                      <a:shade val="45000"/>
                      <a:satMod val="165000"/>
                    </a:schemeClr>
                  </a:gs>
                </a:gsLst>
                <a:lin ang="5400000"/>
              </a:gradFill>
              <a:effectLst>
                <a:outerShdw blurRad="76200" dist="50800" dir="5400000" algn="tl" rotWithShape="0">
                  <a:srgbClr val="000000">
                    <a:alpha val="65000"/>
                  </a:srgbClr>
                </a:outerShdw>
              </a:effectLst>
            </a:rPr>
            <a:t>: 98%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0.15017</cdr:x>
      <cdr:y>0.74648</cdr:y>
    </cdr:from>
    <cdr:to>
      <cdr:x>0.84175</cdr:x>
      <cdr:y>0.90616</cdr:y>
    </cdr:to>
    <cdr:sp macro="" textlink="">
      <cdr:nvSpPr>
        <cdr:cNvPr id="2" name="Rectangle 1"/>
        <cdr:cNvSpPr/>
      </cdr:nvSpPr>
      <cdr:spPr>
        <a:xfrm xmlns:a="http://schemas.openxmlformats.org/drawingml/2006/main" rot="21114901">
          <a:off x="997789" y="4822768"/>
          <a:ext cx="4595105" cy="1031629"/>
        </a:xfrm>
        <a:prstGeom xmlns:a="http://schemas.openxmlformats.org/drawingml/2006/main" prst="rect">
          <a:avLst/>
        </a:prstGeom>
        <a:noFill xmlns:a="http://schemas.openxmlformats.org/drawingml/2006/main"/>
      </cdr:spPr>
      <cdr:txBody>
        <a:bodyPr xmlns:a="http://schemas.openxmlformats.org/drawingml/2006/main" wrap="none" lIns="91440" tIns="45720" rIns="91440" bIns="45720">
          <a:spAutoFit/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 xmlns:a="http://schemas.openxmlformats.org/drawingml/2006/main"/>
        <a:p xmlns:a="http://schemas.openxmlformats.org/drawingml/2006/main">
          <a:pPr algn="ctr"/>
          <a:r>
            <a:rPr lang="en-US" sz="6000" b="1" cap="none" spc="50">
              <a:ln w="11430"/>
              <a:gradFill>
                <a:gsLst>
                  <a:gs pos="25000">
                    <a:schemeClr val="accent2">
                      <a:satMod val="155000"/>
                    </a:schemeClr>
                  </a:gs>
                  <a:gs pos="100000">
                    <a:schemeClr val="accent2">
                      <a:shade val="45000"/>
                      <a:satMod val="165000"/>
                    </a:schemeClr>
                  </a:gs>
                </a:gsLst>
                <a:lin ang="5400000"/>
              </a:gradFill>
              <a:effectLst>
                <a:outerShdw blurRad="76200" dist="50800" dir="5400000" algn="tl" rotWithShape="0">
                  <a:srgbClr val="000000">
                    <a:alpha val="65000"/>
                  </a:srgbClr>
                </a:outerShdw>
              </a:effectLst>
            </a:rPr>
            <a:t>Success</a:t>
          </a:r>
          <a:r>
            <a:rPr lang="en-US" sz="5400" b="1" cap="none" spc="50">
              <a:ln w="11430"/>
              <a:gradFill>
                <a:gsLst>
                  <a:gs pos="25000">
                    <a:schemeClr val="accent2">
                      <a:satMod val="155000"/>
                    </a:schemeClr>
                  </a:gs>
                  <a:gs pos="100000">
                    <a:schemeClr val="accent2">
                      <a:shade val="45000"/>
                      <a:satMod val="165000"/>
                    </a:schemeClr>
                  </a:gs>
                </a:gsLst>
                <a:lin ang="5400000"/>
              </a:gradFill>
              <a:effectLst>
                <a:outerShdw blurRad="76200" dist="50800" dir="5400000" algn="tl" rotWithShape="0">
                  <a:srgbClr val="000000">
                    <a:alpha val="65000"/>
                  </a:srgbClr>
                </a:outerShdw>
              </a:effectLst>
            </a:rPr>
            <a:t>: 100%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0.17707</cdr:x>
      <cdr:y>0.74648</cdr:y>
    </cdr:from>
    <cdr:to>
      <cdr:x>0.81485</cdr:x>
      <cdr:y>0.90616</cdr:y>
    </cdr:to>
    <cdr:sp macro="" textlink="">
      <cdr:nvSpPr>
        <cdr:cNvPr id="2" name="Rectangle 1"/>
        <cdr:cNvSpPr/>
      </cdr:nvSpPr>
      <cdr:spPr>
        <a:xfrm xmlns:a="http://schemas.openxmlformats.org/drawingml/2006/main" rot="1375391">
          <a:off x="1176491" y="4822768"/>
          <a:ext cx="4237699" cy="1031629"/>
        </a:xfrm>
        <a:prstGeom xmlns:a="http://schemas.openxmlformats.org/drawingml/2006/main" prst="rect">
          <a:avLst/>
        </a:prstGeom>
        <a:noFill xmlns:a="http://schemas.openxmlformats.org/drawingml/2006/main"/>
      </cdr:spPr>
      <cdr:txBody>
        <a:bodyPr xmlns:a="http://schemas.openxmlformats.org/drawingml/2006/main" wrap="none" lIns="91440" tIns="45720" rIns="91440" bIns="45720">
          <a:spAutoFit/>
          <a:scene3d>
            <a:camera prst="isometricTopUp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 xmlns:a="http://schemas.openxmlformats.org/drawingml/2006/main"/>
        <a:p xmlns:a="http://schemas.openxmlformats.org/drawingml/2006/main">
          <a:pPr algn="ctr"/>
          <a:r>
            <a:rPr lang="en-US" sz="6000" b="1" cap="none" spc="50">
              <a:ln w="11430"/>
              <a:gradFill>
                <a:gsLst>
                  <a:gs pos="25000">
                    <a:schemeClr val="accent2">
                      <a:satMod val="155000"/>
                    </a:schemeClr>
                  </a:gs>
                  <a:gs pos="100000">
                    <a:schemeClr val="accent2">
                      <a:shade val="45000"/>
                      <a:satMod val="165000"/>
                    </a:schemeClr>
                  </a:gs>
                </a:gsLst>
                <a:lin ang="5400000"/>
              </a:gradFill>
              <a:effectLst>
                <a:outerShdw blurRad="76200" dist="50800" dir="5400000" algn="tl" rotWithShape="0">
                  <a:srgbClr val="000000">
                    <a:alpha val="65000"/>
                  </a:srgbClr>
                </a:outerShdw>
              </a:effectLst>
            </a:rPr>
            <a:t>Success</a:t>
          </a:r>
          <a:r>
            <a:rPr lang="en-US" sz="5400" b="1" cap="none" spc="50">
              <a:ln w="11430"/>
              <a:gradFill>
                <a:gsLst>
                  <a:gs pos="25000">
                    <a:schemeClr val="accent2">
                      <a:satMod val="155000"/>
                    </a:schemeClr>
                  </a:gs>
                  <a:gs pos="100000">
                    <a:schemeClr val="accent2">
                      <a:shade val="45000"/>
                      <a:satMod val="165000"/>
                    </a:schemeClr>
                  </a:gs>
                </a:gsLst>
                <a:lin ang="5400000"/>
              </a:gradFill>
              <a:effectLst>
                <a:outerShdw blurRad="76200" dist="50800" dir="5400000" algn="tl" rotWithShape="0">
                  <a:srgbClr val="000000">
                    <a:alpha val="65000"/>
                  </a:srgbClr>
                </a:outerShdw>
              </a:effectLst>
            </a:rPr>
            <a:t>: 97%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Nikos</dc:creator>
  <cp:lastModifiedBy>Nikos</cp:lastModifiedBy>
  <cp:revision>2</cp:revision>
  <dcterms:created xsi:type="dcterms:W3CDTF">2015-08-13T18:38:00Z</dcterms:created>
  <dcterms:modified xsi:type="dcterms:W3CDTF">2015-08-13T18:38:00Z</dcterms:modified>
</cp:coreProperties>
</file>