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20B1E4C2" w:rsidR="009337F8" w:rsidRPr="00C46A3E"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10) for </w:t>
      </w:r>
      <w:r w:rsidR="00333E9C" w:rsidRPr="00333E9C">
        <w:rPr>
          <w:i/>
          <w:lang w:val="en-US"/>
        </w:rPr>
        <w:t>switch rate</w:t>
      </w:r>
      <w:r w:rsidR="00333E9C">
        <w:rPr>
          <w:lang w:val="en-US"/>
        </w:rPr>
        <w:t xml:space="preserve"> (within-subject, repeated measures).</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discrimination or the identification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lastRenderedPageBreak/>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005DDBA8"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w:t>
      </w:r>
      <w:r w:rsidR="00321085">
        <w:rPr>
          <w:lang w:val="en-US"/>
        </w:rPr>
        <w:t xml:space="preserve"> 12</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3BAD7DFF"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manipulate the switch rate, that is the density of randomness, of the given stimuli picture. The switch rate has 51 different levels, each of which is shown ten times per participant. This switch rate lies between 0 and 1. The closer to 0.5 the switch rate,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69F530FC" w14:textId="77777777" w:rsidR="00E41835"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model is </w:t>
      </w:r>
      <w:r w:rsidR="00E02838" w:rsidRPr="00C46A3E">
        <w:rPr>
          <w:i/>
          <w:iCs/>
          <w:lang w:val="en-US"/>
        </w:rPr>
        <w:t>accuracy ~ condition * switch rate.</w:t>
      </w:r>
    </w:p>
    <w:p w14:paraId="3CF4336A" w14:textId="066BA067" w:rsidR="00376B22" w:rsidRPr="00E41835" w:rsidRDefault="00E41835" w:rsidP="00E02838">
      <w:pPr>
        <w:spacing w:line="360" w:lineRule="auto"/>
        <w:jc w:val="both"/>
        <w:rPr>
          <w:lang w:val="en-US"/>
        </w:rPr>
      </w:pPr>
      <w:r>
        <w:rPr>
          <w:lang w:val="en-US"/>
        </w:rPr>
        <w:t>This is still preliminary, because we are hoping for helpful feedback here.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4B1D54" w:rsidRDefault="00376B22">
      <w:pPr>
        <w:spacing w:line="360" w:lineRule="auto"/>
        <w:jc w:val="both"/>
        <w:rPr>
          <w:lang w:val="en-US"/>
        </w:rPr>
      </w:pPr>
    </w:p>
    <w:p w14:paraId="3CF4337B" w14:textId="4D0CF0FB" w:rsidR="00376B22" w:rsidRPr="004B1D54"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p>
    <w:p w14:paraId="3CF4337C" w14:textId="77777777" w:rsidR="00376B22" w:rsidRPr="00C46A3E" w:rsidRDefault="00376B22">
      <w:pPr>
        <w:spacing w:line="360" w:lineRule="auto"/>
        <w:ind w:left="1440"/>
        <w:jc w:val="both"/>
        <w:rPr>
          <w:lang w:val="en-US"/>
        </w:rPr>
      </w:pPr>
    </w:p>
    <w:p w14:paraId="3CF43381" w14:textId="28F12F1B"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Should a data set not be recorded completely or data points be missing, we will use all the data available from that participant.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321085"/>
    <w:rsid w:val="00333E9C"/>
    <w:rsid w:val="00376B22"/>
    <w:rsid w:val="004862E4"/>
    <w:rsid w:val="004B1D54"/>
    <w:rsid w:val="00506DC7"/>
    <w:rsid w:val="009337F8"/>
    <w:rsid w:val="00971FD0"/>
    <w:rsid w:val="00B6413E"/>
    <w:rsid w:val="00C46A3E"/>
    <w:rsid w:val="00CE1825"/>
    <w:rsid w:val="00E02838"/>
    <w:rsid w:val="00E27D28"/>
    <w:rsid w:val="00E41835"/>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981</Words>
  <Characters>6184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38</cp:revision>
  <dcterms:created xsi:type="dcterms:W3CDTF">2021-07-13T11:40:00Z</dcterms:created>
  <dcterms:modified xsi:type="dcterms:W3CDTF">2021-07-31T12:41:00Z</dcterms:modified>
  <dc:language>de-DE</dc:language>
</cp:coreProperties>
</file>