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159A6"/>
          <w:sz w:val="38"/>
          <w:szCs w:val="38"/>
        </w:rPr>
        <w:t xml:space="preserve">Pawsitivity CDSS</w:t>
      </w:r>
    </w:p>
    <w:p>
      <w:pPr>
        <w:spacing w:after="40"/>
      </w:pPr>
      <w:r>
        <w:rPr>
          <w:b/>
          <w:bCs/>
          <w:sz w:val="26"/>
          <w:szCs w:val="26"/>
        </w:rPr>
        <w:t xml:space="preserve">Methodology Pipeline — Snapshot for Validation</w:t>
      </w:r>
    </w:p>
    <w:p>
      <w:pPr>
        <w:pBdr>
          <w:bottom w:val="single" w:color="2159A6" w:sz="6"/>
        </w:pBdr>
        <w:spacing w:after="200"/>
      </w:pPr>
      <w:r>
        <w:rPr>
          <w:i/>
          <w:iCs/>
          <w:color w:val="595959"/>
          <w:sz w:val="20"/>
          <w:szCs w:val="20"/>
        </w:rPr>
        <w:t xml:space="preserve">A one-look summary of the full pipeline as I have written it into the methodology chapter. Purpose: confirm my understanding of the pipeline is a faithful match to the analysis, before I start building the remaining code. Cohort n = 163, items Q4–Q15, zero missing.</w:t>
      </w:r>
    </w:p>
    <w:p>
      <w:pPr>
        <w:pStyle w:val="Heading1"/>
        <w:spacing w:after="120" w:before="260"/>
      </w:pPr>
      <w:r>
        <w:rPr>
          <w:b/>
          <w:bCs/>
          <w:color w:val="2159A6"/>
          <w:sz w:val="28"/>
          <w:szCs w:val="28"/>
        </w:rPr>
        <w:t xml:space="preserve">What I am asking you to check</w:t>
      </w:r>
    </w:p>
    <w:p>
      <w:pPr>
        <w:spacing w:after="110" w:line="272"/>
      </w:pPr>
      <w:r>
        <w:rPr>
          <w:sz w:val="21"/>
          <w:szCs w:val="21"/>
        </w:rPr>
        <w:t xml:space="preserve">This is a consistency check, not a clinical one. I want to confirm that the pipeline below, as I now understand and describe it in my chapter, matches the analysis you produced, that the stages connect correctly, and that no figure or claim contradicts another. It cannot and does not ask you to confirm clinical accuracy, because the veterinary labels do not exist yet. The specific questions are listed at the end.</w:t>
      </w:r>
    </w:p>
    <w:p>
      <w:pPr>
        <w:pStyle w:val="Heading1"/>
        <w:spacing w:after="120" w:before="260"/>
      </w:pPr>
      <w:r>
        <w:rPr>
          <w:b/>
          <w:bCs/>
          <w:color w:val="2159A6"/>
          <w:sz w:val="28"/>
          <w:szCs w:val="28"/>
        </w:rPr>
        <w:t xml:space="preserve">The pipeline at a glance</w:t>
      </w:r>
    </w:p>
    <w:p>
      <w:pPr>
        <w:spacing w:after="110" w:line="272"/>
      </w:pPr>
      <w:r>
        <w:rPr>
          <w:b/>
          <w:bCs/>
          <w:sz w:val="21"/>
          <w:szCs w:val="21"/>
        </w:rPr>
        <w:t xml:space="preserve">Owner questionnaire  →  data preprocessing  →  IRT scoring (severity)  →  population-referenced thresholds  →  phenotype clustering (type)  →  Random Forest confidence layer  →  rule engine  →  three-tier longitudinal tracking  →  evaluation.</w:t>
      </w:r>
    </w:p>
    <w:p>
      <w:pPr>
        <w:spacing w:after="110" w:line="272"/>
      </w:pPr>
      <w:r>
        <w:rPr>
          <w:sz w:val="21"/>
          <w:szCs w:val="21"/>
        </w:rPr>
        <w:t xml:space="preserve">Two parallel outputs run through this: a </w:t>
      </w:r>
      <w:r>
        <w:rPr>
          <w:i/>
          <w:iCs/>
          <w:sz w:val="21"/>
          <w:szCs w:val="21"/>
        </w:rPr>
        <w:t xml:space="preserve">severity</w:t>
      </w:r>
      <w:r>
        <w:rPr>
          <w:sz w:val="21"/>
          <w:szCs w:val="21"/>
        </w:rPr>
        <w:t xml:space="preserve"> estimate (how anxious) from the measurement model, and a </w:t>
      </w:r>
      <w:r>
        <w:rPr>
          <w:i/>
          <w:iCs/>
          <w:sz w:val="21"/>
          <w:szCs w:val="21"/>
        </w:rPr>
        <w:t xml:space="preserve">phenotype</w:t>
      </w:r>
      <w:r>
        <w:rPr>
          <w:sz w:val="21"/>
          <w:szCs w:val="21"/>
        </w:rPr>
        <w:t xml:space="preserve"> (what kind of anxiety) from clustering. They are combined by the rule engine. The subscale behaviour scores are retained and feed phenotype and the rule engine; they are not used for severity.</w:t>
      </w:r>
    </w:p>
    <w:p>
      <w:pPr>
        <w:pStyle w:val="Heading1"/>
        <w:spacing w:after="120" w:before="260"/>
      </w:pPr>
      <w:r>
        <w:rPr>
          <w:b/>
          <w:bCs/>
          <w:color w:val="2159A6"/>
          <w:sz w:val="28"/>
          <w:szCs w:val="28"/>
        </w:rPr>
        <w:t xml:space="preserve">The finding the design is built on</w:t>
      </w:r>
    </w:p>
    <w:p>
      <w:pPr>
        <w:spacing w:after="110" w:line="272"/>
      </w:pPr>
      <w:r>
        <w:rPr>
          <w:sz w:val="21"/>
          <w:szCs w:val="21"/>
        </w:rPr>
        <w:t xml:space="preserve">The proposed severity label was computed by formula from the same twelve items fed to the classifier as features, so training a classifier to predict it recovers arithmetic rather than a clinical pattern. Confirmed three ways: a single-feature classifier on the Anxiety Index alone reaches accuracy 1.000; the best model's coefficients correlate with the scoring weights at r = 0.983; and ordinal logistic wins the benchmark (0.951) precisely because it matches the label-generating rule, with Random Forest last (0.721). The classifier is therefore reassigned from severity to phenotype, a target not computable from the inputs by formula.</w:t>
      </w:r>
    </w:p>
    <w:p>
      <w:pPr>
        <w:pStyle w:val="Heading1"/>
        <w:spacing w:after="120" w:before="260"/>
      </w:pPr>
      <w:r>
        <w:rPr>
          <w:b/>
          <w:bCs/>
          <w:color w:val="2159A6"/>
          <w:sz w:val="28"/>
          <w:szCs w:val="28"/>
        </w:rPr>
        <w:t xml:space="preserve">Each stage: what it does and the key numbers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2700"/>
      </w:tblGrid>
      <w:tr>
        <w:trPr>
          <w:tblHeader/>
        </w:trPr>
        <w:tc>
          <w:tcPr>
            <w:tcW w:type="dxa" w:w="1900"/>
            <w:tcBorders>
              <w:top w:val="single" w:color="BFBFBF" w:sz="4"/>
              <w:left w:val="single" w:color="BFBFBF" w:sz="4"/>
              <w:bottom w:val="single" w:color="BFBFBF" w:sz="4"/>
              <w:right w:val="single" w:color="BFBFBF" w:sz="4"/>
            </w:tcBorders>
            <w:shd w:fill="2159A6" w:color="auto" w:val="clear"/>
            <w:tcMar>
              <w:top w:type="dxa" w:w="50"/>
              <w:left w:type="dxa" w:w="90"/>
              <w:bottom w:type="dxa" w:w="50"/>
              <w:right w:type="dxa" w:w="90"/>
            </w:tcMar>
          </w:tcPr>
          <w:p>
            <w:r>
              <w:rPr>
                <w:b/>
                <w:bCs/>
                <w:color w:val="FFFFFF"/>
                <w:sz w:val="19"/>
                <w:szCs w:val="19"/>
              </w:rPr>
              <w:t xml:space="preserve">Stage</w:t>
            </w:r>
          </w:p>
        </w:tc>
        <w:tc>
          <w:tcPr>
            <w:tcW w:type="dxa" w:w="4000"/>
            <w:tcBorders>
              <w:top w:val="single" w:color="BFBFBF" w:sz="4"/>
              <w:left w:val="single" w:color="BFBFBF" w:sz="4"/>
              <w:bottom w:val="single" w:color="BFBFBF" w:sz="4"/>
              <w:right w:val="single" w:color="BFBFBF" w:sz="4"/>
            </w:tcBorders>
            <w:shd w:fill="2159A6" w:color="auto" w:val="clear"/>
            <w:tcMar>
              <w:top w:type="dxa" w:w="50"/>
              <w:left w:type="dxa" w:w="90"/>
              <w:bottom w:type="dxa" w:w="50"/>
              <w:right w:type="dxa" w:w="90"/>
            </w:tcMar>
          </w:tcPr>
          <w:p>
            <w:r>
              <w:rPr>
                <w:b/>
                <w:bCs/>
                <w:color w:val="FFFFFF"/>
                <w:sz w:val="19"/>
                <w:szCs w:val="19"/>
              </w:rPr>
              <w:t xml:space="preserve">What it does / decision</w:t>
            </w:r>
          </w:p>
        </w:tc>
        <w:tc>
          <w:tcPr>
            <w:tcW w:type="dxa" w:w="2700"/>
            <w:tcBorders>
              <w:top w:val="single" w:color="BFBFBF" w:sz="4"/>
              <w:left w:val="single" w:color="BFBFBF" w:sz="4"/>
              <w:bottom w:val="single" w:color="BFBFBF" w:sz="4"/>
              <w:right w:val="single" w:color="BFBFBF" w:sz="4"/>
            </w:tcBorders>
            <w:shd w:fill="2159A6" w:color="auto" w:val="clear"/>
            <w:tcMar>
              <w:top w:type="dxa" w:w="50"/>
              <w:left w:type="dxa" w:w="90"/>
              <w:bottom w:type="dxa" w:w="50"/>
              <w:right w:type="dxa" w:w="90"/>
            </w:tcMar>
          </w:tcPr>
          <w:p>
            <w:r>
              <w:rPr>
                <w:b/>
                <w:bCs/>
                <w:color w:val="FFFFFF"/>
                <w:sz w:val="19"/>
                <w:szCs w:val="19"/>
              </w:rPr>
              <w:t xml:space="preserve">Key figures</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Data preprocessing</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Likert responses encoded 0–4; six C-BARQ subscale means computed; no imputation needed</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 = 163, 0 missing</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Scoring (severity)</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Graded response model (Samejima); item parameters calibrated on Darwin's Ark and held fixed; returns theta + per-dog SE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reliability 0.761 own / 0.649 calibrated; ~43% reband under calibration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Thresholds</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Cut-points set against reference population, not cohort tertiles: Low &lt;75th, Moderate 75–90th, High &gt;=90th</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study bands 98 / 24 / 41; rules disagree for 34.4%</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Phenotype (type)</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k-means on standardised 12-item pattern, k=3 by silhouette; noise-specific group is the substantive result</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ARI 0.982; ext. r(sep,noise)=0.303</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Confidence layer</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Random Forest predicts phenotype; used for its calibrated confidence, not accuracy (a nearest-centroid rule beats it)</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above 0.7 conf. never wrong; 64 dogs routed for review</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Rule engine</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Maps phenotype × severity to recommendations (MSD / AAHA); disagreement + uncertainty flags gate output</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specified, not yet built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Longitudinal</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Three-tier tracking; a naive one-band comparison would report noise, so tracking is stratified by what each tier can detect</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MDC95 1.508 vs band 0.769; tier 1 sentinel items</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Evaluation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Blinded vet labels on 67 stratified cases; quadratic weighted kappa vs intra-rater ceiling; high-class recall primary</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pending labels; 67 cases, stratified</w:t>
            </w:r>
          </w:p>
        </w:tc>
      </w:tr>
    </w:tbl>
    <w:p>
      <w:pPr>
        <w:pStyle w:val="Heading1"/>
        <w:spacing w:after="120" w:before="260"/>
      </w:pPr>
      <w:r>
        <w:rPr>
          <w:b/>
          <w:bCs/>
          <w:color w:val="2159A6"/>
          <w:sz w:val="28"/>
          <w:szCs w:val="28"/>
        </w:rPr>
        <w:t xml:space="preserve">Datasets (brief — you have the full context)</w:t>
      </w:r>
    </w:p>
    <w:p>
      <w:pPr>
        <w:pStyle w:val="ListParagraph"/>
        <w:numPr>
          <w:ilvl w:val="0"/>
          <w:numId w:val="1"/>
        </w:numPr>
        <w:spacing w:after="70" w:line="268"/>
      </w:pPr>
      <w:r>
        <w:rPr>
          <w:b/>
          <w:bCs/>
          <w:sz w:val="21"/>
          <w:szCs w:val="21"/>
        </w:rPr>
        <w:t xml:space="preserve">Study survey (163)</w:t>
      </w:r>
      <w:r>
        <w:rPr>
          <w:sz w:val="21"/>
          <w:szCs w:val="21"/>
        </w:rPr>
        <w:t xml:space="preserve"> — primary; the instrument under development.</w:t>
      </w:r>
    </w:p>
    <w:p>
      <w:pPr>
        <w:pStyle w:val="ListParagraph"/>
        <w:numPr>
          <w:ilvl w:val="0"/>
          <w:numId w:val="1"/>
        </w:numPr>
        <w:spacing w:after="70" w:line="268"/>
      </w:pPr>
      <w:r>
        <w:rPr>
          <w:b/>
          <w:bCs/>
          <w:sz w:val="21"/>
          <w:szCs w:val="21"/>
        </w:rPr>
        <w:t xml:space="preserve">Darwin's Ark (18,385)</w:t>
      </w:r>
      <w:r>
        <w:rPr>
          <w:sz w:val="21"/>
          <w:szCs w:val="21"/>
        </w:rPr>
        <w:t xml:space="preserve"> — fixed IRT item parameters, dimensionality replication, criterion anchor, reference distribution.</w:t>
      </w:r>
    </w:p>
    <w:p>
      <w:pPr>
        <w:pStyle w:val="ListParagraph"/>
        <w:numPr>
          <w:ilvl w:val="0"/>
          <w:numId w:val="1"/>
        </w:numPr>
        <w:spacing w:after="70" w:line="268"/>
      </w:pPr>
      <w:r>
        <w:rPr>
          <w:b/>
          <w:bCs/>
          <w:sz w:val="21"/>
          <w:szCs w:val="21"/>
        </w:rPr>
        <w:t xml:space="preserve">C-BARQ reference (12,059)</w:t>
      </w:r>
      <w:r>
        <w:rPr>
          <w:sz w:val="21"/>
          <w:szCs w:val="21"/>
        </w:rPr>
        <w:t xml:space="preserve"> — item provenance; external corroboration of the noise/separation dissociation.</w:t>
      </w:r>
    </w:p>
    <w:p>
      <w:pPr>
        <w:pStyle w:val="ListParagraph"/>
        <w:numPr>
          <w:ilvl w:val="0"/>
          <w:numId w:val="1"/>
        </w:numPr>
        <w:spacing w:after="70" w:line="268"/>
      </w:pPr>
      <w:r>
        <w:rPr>
          <w:b/>
          <w:bCs/>
          <w:sz w:val="21"/>
          <w:szCs w:val="21"/>
        </w:rPr>
        <w:t xml:space="preserve">German 'DOGS' (3,178 complete)</w:t>
      </w:r>
      <w:r>
        <w:rPr>
          <w:sz w:val="21"/>
          <w:szCs w:val="21"/>
        </w:rPr>
        <w:t xml:space="preserve"> — sample representativeness benchmark; risk-factor modelling reported as a null result.</w:t>
      </w:r>
    </w:p>
    <w:p>
      <w:pPr>
        <w:pStyle w:val="ListParagraph"/>
        <w:numPr>
          <w:ilvl w:val="0"/>
          <w:numId w:val="1"/>
        </w:numPr>
        <w:spacing w:after="70" w:line="268"/>
      </w:pPr>
      <w:r>
        <w:rPr>
          <w:b/>
          <w:bCs/>
          <w:sz w:val="21"/>
          <w:szCs w:val="21"/>
        </w:rPr>
        <w:t xml:space="preserve">DogMove IMU (45) and Dog Aging Project (47,444)</w:t>
      </w:r>
      <w:r>
        <w:rPr>
          <w:sz w:val="21"/>
          <w:szCs w:val="21"/>
        </w:rPr>
        <w:t xml:space="preserve"> — evaluated and not used (input modality; data-use agreement).</w:t>
      </w:r>
    </w:p>
    <w:p>
      <w:pPr>
        <w:pStyle w:val="Heading1"/>
        <w:spacing w:after="120" w:before="260"/>
      </w:pPr>
      <w:r>
        <w:rPr>
          <w:b/>
          <w:bCs/>
          <w:color w:val="2159A6"/>
          <w:sz w:val="28"/>
          <w:szCs w:val="28"/>
        </w:rPr>
        <w:t xml:space="preserve">Done vs pending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W w:type="dxa" w:w="4300"/>
            <w:tcBorders>
              <w:top w:val="single" w:color="BFBFBF" w:sz="4"/>
              <w:left w:val="single" w:color="BFBFBF" w:sz="4"/>
              <w:bottom w:val="single" w:color="BFBFBF" w:sz="4"/>
              <w:right w:val="single" w:color="BFBFBF" w:sz="4"/>
            </w:tcBorders>
            <w:shd w:fill="2159A6" w:color="auto" w:val="clear"/>
            <w:tcMar>
              <w:top w:type="dxa" w:w="50"/>
              <w:left w:type="dxa" w:w="90"/>
              <w:bottom w:type="dxa" w:w="50"/>
              <w:right w:type="dxa" w:w="90"/>
            </w:tcMar>
          </w:tcPr>
          <w:p>
            <w:r>
              <w:rPr>
                <w:b/>
                <w:bCs/>
                <w:color w:val="FFFFFF"/>
                <w:sz w:val="19"/>
                <w:szCs w:val="19"/>
              </w:rPr>
              <w:t xml:space="preserve">Done (analysis complete)</w:t>
            </w:r>
          </w:p>
        </w:tc>
        <w:tc>
          <w:tcPr>
            <w:tcW w:type="dxa" w:w="4300"/>
            <w:tcBorders>
              <w:top w:val="single" w:color="BFBFBF" w:sz="4"/>
              <w:left w:val="single" w:color="BFBFBF" w:sz="4"/>
              <w:bottom w:val="single" w:color="BFBFBF" w:sz="4"/>
              <w:right w:val="single" w:color="BFBFBF" w:sz="4"/>
            </w:tcBorders>
            <w:shd w:fill="2159A6" w:color="auto" w:val="clear"/>
            <w:tcMar>
              <w:top w:type="dxa" w:w="50"/>
              <w:left w:type="dxa" w:w="90"/>
              <w:bottom w:type="dxa" w:w="50"/>
              <w:right w:type="dxa" w:w="90"/>
            </w:tcMar>
          </w:tcPr>
          <w:p>
            <w:r>
              <w:rPr>
                <w:b/>
                <w:bCs/>
                <w:color w:val="FFFFFF"/>
                <w:sz w:val="19"/>
                <w:szCs w:val="19"/>
              </w:rPr>
              <w:t xml:space="preserve">Pending (to build / obtain)</w:t>
            </w:r>
          </w:p>
        </w:tc>
      </w:tr>
      <w:t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IRT scoring + calibration</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Rule engine (main remaining build)</w:t>
            </w:r>
          </w:p>
        </w:tc>
      </w:tr>
      <w:t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Threshold derivation</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Phenotype RF hardened for missing items</w:t>
            </w:r>
          </w:p>
        </w:tc>
      </w:tr>
      <w:t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Phenotype clustering</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Vet labels on 67 cases (external)</w:t>
            </w:r>
          </w:p>
        </w:tc>
      </w:tr>
      <w:t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Leakage audit + benchmark</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Three evaluation experiments (after labels)</w:t>
            </w:r>
          </w:p>
        </w:tc>
      </w:tr>
      <w:t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Longitudinal tier analysis</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Backend wiring of scoring into FastAPI</w:t>
            </w:r>
          </w:p>
        </w:tc>
      </w:tr>
    </w:tbl>
    <w:p>
      <w:pPr>
        <w:pStyle w:val="Heading1"/>
        <w:spacing w:after="120" w:before="260"/>
      </w:pPr>
      <w:r>
        <w:rPr>
          <w:b/>
          <w:bCs/>
          <w:color w:val="2159A6"/>
          <w:sz w:val="28"/>
          <w:szCs w:val="28"/>
        </w:rPr>
        <w:t xml:space="preserve">Figures I want confirmed as current</w:t>
      </w:r>
    </w:p>
    <w:p>
      <w:pPr>
        <w:spacing w:after="110" w:line="272"/>
      </w:pPr>
      <w:r>
        <w:rPr>
          <w:sz w:val="21"/>
          <w:szCs w:val="21"/>
        </w:rPr>
        <w:t xml:space="preserve">Across the earlier working documents a few figures were revised. I have used the newer values in my chapter. Please confirm these are the correct current ones and I have not mixed an old figure with a new one:</w:t>
      </w:r>
    </w:p>
    <w:p>
      <w:pPr>
        <w:pStyle w:val="ListParagraph"/>
        <w:numPr>
          <w:ilvl w:val="0"/>
          <w:numId w:val="1"/>
        </w:numPr>
        <w:spacing w:after="70" w:line="268"/>
      </w:pPr>
      <w:r>
        <w:rPr>
          <w:sz w:val="21"/>
          <w:szCs w:val="21"/>
        </w:rPr>
        <w:t xml:space="preserve">Cohort median enrichment: I use </w:t>
      </w:r>
      <w:r>
        <w:rPr>
          <w:b/>
          <w:bCs/>
          <w:sz w:val="21"/>
          <w:szCs w:val="21"/>
        </w:rPr>
        <w:t xml:space="preserve">63.6th percentile</w:t>
      </w:r>
      <w:r>
        <w:rPr>
          <w:sz w:val="21"/>
          <w:szCs w:val="21"/>
        </w:rPr>
        <w:t xml:space="preserve"> (not the earlier 95th, which compared different instruments).</w:t>
      </w:r>
    </w:p>
    <w:p>
      <w:pPr>
        <w:pStyle w:val="ListParagraph"/>
        <w:numPr>
          <w:ilvl w:val="0"/>
          <w:numId w:val="1"/>
        </w:numPr>
        <w:spacing w:after="70" w:line="268"/>
      </w:pPr>
      <w:r>
        <w:rPr>
          <w:sz w:val="21"/>
          <w:szCs w:val="21"/>
        </w:rPr>
        <w:t xml:space="preserve">Phenotype stability: I use </w:t>
      </w:r>
      <w:r>
        <w:rPr>
          <w:b/>
          <w:bCs/>
          <w:sz w:val="21"/>
          <w:szCs w:val="21"/>
        </w:rPr>
        <w:t xml:space="preserve">ARI 0.982</w:t>
      </w:r>
      <w:r>
        <w:rPr>
          <w:sz w:val="21"/>
          <w:szCs w:val="21"/>
        </w:rPr>
        <w:t xml:space="preserve"> (not 0.889).</w:t>
      </w:r>
    </w:p>
    <w:p>
      <w:pPr>
        <w:pStyle w:val="ListParagraph"/>
        <w:numPr>
          <w:ilvl w:val="0"/>
          <w:numId w:val="1"/>
        </w:numPr>
        <w:spacing w:after="70" w:line="268"/>
      </w:pPr>
      <w:r>
        <w:rPr>
          <w:sz w:val="21"/>
          <w:szCs w:val="21"/>
        </w:rPr>
        <w:t xml:space="preserve">Reference subscale correlation: I use </w:t>
      </w:r>
      <w:r>
        <w:rPr>
          <w:b/>
          <w:bCs/>
          <w:sz w:val="21"/>
          <w:szCs w:val="21"/>
        </w:rPr>
        <w:t xml:space="preserve">r = 0.303</w:t>
      </w:r>
      <w:r>
        <w:rPr>
          <w:sz w:val="21"/>
          <w:szCs w:val="21"/>
        </w:rPr>
        <w:t xml:space="preserve"> (not 0.291).</w:t>
      </w:r>
    </w:p>
    <w:p>
      <w:pPr>
        <w:pStyle w:val="ListParagraph"/>
        <w:numPr>
          <w:ilvl w:val="0"/>
          <w:numId w:val="1"/>
        </w:numPr>
        <w:spacing w:after="70" w:line="268"/>
      </w:pPr>
      <w:r>
        <w:rPr>
          <w:sz w:val="21"/>
          <w:szCs w:val="21"/>
        </w:rPr>
        <w:t xml:space="preserve">Reclassification under calibration: I use </w:t>
      </w:r>
      <w:r>
        <w:rPr>
          <w:b/>
          <w:bCs/>
          <w:sz w:val="21"/>
          <w:szCs w:val="21"/>
        </w:rPr>
        <w:t xml:space="preserve">~43%</w:t>
      </w:r>
      <w:r>
        <w:rPr>
          <w:sz w:val="21"/>
          <w:szCs w:val="21"/>
        </w:rPr>
        <w:t xml:space="preserve"> for the own-vs-calibrated switch; a ~41% figure exists for theta-vs-sum tertiles. I want to be sure I am attaching each figure to the right comparison.</w:t>
      </w:r>
    </w:p>
    <w:p>
      <w:pPr>
        <w:pStyle w:val="Heading1"/>
        <w:spacing w:after="120" w:before="260"/>
      </w:pPr>
      <w:r>
        <w:rPr>
          <w:b/>
          <w:bCs/>
          <w:color w:val="2159A6"/>
          <w:sz w:val="28"/>
          <w:szCs w:val="28"/>
        </w:rPr>
        <w:t xml:space="preserve">Specific validation questions</w:t>
      </w:r>
    </w:p>
    <w:p>
      <w:pPr>
        <w:spacing w:after="110" w:line="272"/>
      </w:pPr>
      <w:r>
        <w:rPr>
          <w:b/>
          <w:bCs/>
          <w:sz w:val="21"/>
          <w:szCs w:val="21"/>
        </w:rPr>
        <w:t xml:space="preserve">1. </w:t>
      </w:r>
      <w:r>
        <w:rPr>
          <w:sz w:val="21"/>
          <w:szCs w:val="21"/>
        </w:rPr>
        <w:t xml:space="preserve">Does the stage order and the two-output structure (severity from IRT, phenotype from clustering, combined at the rule engine) match the analysis?</w:t>
      </w:r>
    </w:p>
    <w:p>
      <w:pPr>
        <w:spacing w:after="110" w:line="272"/>
      </w:pPr>
      <w:r>
        <w:rPr>
          <w:b/>
          <w:bCs/>
          <w:sz w:val="21"/>
          <w:szCs w:val="21"/>
        </w:rPr>
        <w:t xml:space="preserve">2. </w:t>
      </w:r>
      <w:r>
        <w:rPr>
          <w:sz w:val="21"/>
          <w:szCs w:val="21"/>
        </w:rPr>
        <w:t xml:space="preserve">Is anything in the stage table internally inconsistent, or does any figure contradict another?</w:t>
      </w:r>
    </w:p>
    <w:p>
      <w:pPr>
        <w:spacing w:after="110" w:line="272"/>
      </w:pPr>
      <w:r>
        <w:rPr>
          <w:b/>
          <w:bCs/>
          <w:sz w:val="21"/>
          <w:szCs w:val="21"/>
        </w:rPr>
        <w:t xml:space="preserve">3. </w:t>
      </w:r>
      <w:r>
        <w:rPr>
          <w:sz w:val="21"/>
          <w:szCs w:val="21"/>
        </w:rPr>
        <w:t xml:space="preserve">Are the four figures above the correct current values, each attached to the right comparison?</w:t>
      </w:r>
    </w:p>
    <w:p>
      <w:pPr>
        <w:spacing w:after="110" w:line="272"/>
      </w:pPr>
      <w:r>
        <w:rPr>
          <w:b/>
          <w:bCs/>
          <w:sz w:val="21"/>
          <w:szCs w:val="21"/>
        </w:rPr>
        <w:t xml:space="preserve">4. </w:t>
      </w:r>
      <w:r>
        <w:rPr>
          <w:sz w:val="21"/>
          <w:szCs w:val="21"/>
        </w:rPr>
        <w:t xml:space="preserve">Given what is done, is the rule engine the right first thing to build, and is anything upstream of it not actually settled?</w:t>
      </w:r>
    </w:p>
    <w:p>
      <w:pPr>
        <w:spacing w:after="110" w:line="272"/>
      </w:pPr>
      <w:r>
        <w:rPr>
          <w:b/>
          <w:bCs/>
          <w:sz w:val="21"/>
          <w:szCs w:val="21"/>
        </w:rPr>
        <w:t xml:space="preserve">5. </w:t>
      </w:r>
      <w:r>
        <w:rPr>
          <w:sz w:val="21"/>
          <w:szCs w:val="21"/>
        </w:rPr>
        <w:t xml:space="preserve">Is there any claim here that I could not defend without the vet labels, and should therefore soften?</w:t>
      </w:r>
    </w:p>
    <w:p>
      <w:pPr>
        <w:spacing w:before="200"/>
      </w:pPr>
      <w:r>
        <w:rPr>
          <w:i/>
          <w:iCs/>
          <w:color w:val="595959"/>
          <w:sz w:val="18"/>
          <w:szCs w:val="18"/>
        </w:rPr>
        <w:t xml:space="preserve">Note: every figure here traces to the project analysis artefacts. No figure describes agreement with clinical judgement, which awaits the veterinary labels.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2026-08-29T04:50:17.576Z</dcterms:created>
  <dcterms:modified xsi:type="dcterms:W3CDTF">2026-08-29T04:50:17.589Z</dcterms:modified>
</cp:coreProperties>
</file>

<file path=docProps/custom.xml><?xml version="1.0" encoding="utf-8"?>
<Properties xmlns="http://schemas.openxmlformats.org/officeDocument/2006/custom-properties" xmlns:vt="http://schemas.openxmlformats.org/officeDocument/2006/docPropsVTypes"/>
</file>