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2"/>
          <w:szCs w:val="32"/>
        </w:rPr>
        <w:t xml:space="preserve">Architecture, Memory Organization, and Fixed-Point Analysis</w:t>
      </w:r>
    </w:p>
    <w:p>
      <w:pPr>
        <w:spacing w:after="300"/>
        <w:jc w:val="center"/>
      </w:pPr>
      <w:r>
        <w:rPr>
          <w:color w:val="595959"/>
          <w:sz w:val="22"/>
          <w:szCs w:val="22"/>
        </w:rPr>
        <w:t xml:space="preserve">FPGA-Based 3×3 CNN Convolution Accelerator for Edge-AI Vision</w:t>
      </w:r>
    </w:p>
    <w:p>
      <w:pPr>
        <w:pStyle w:val="Heading1"/>
        <w:spacing w:after="120" w:before="240"/>
      </w:pPr>
      <w:r>
        <w:rPr>
          <w:b/>
          <w:bCs/>
          <w:color w:val="1F4E79"/>
        </w:rPr>
        <w:t xml:space="preserve">1. Architecture Overview</w:t>
      </w:r>
    </w:p>
    <w:p>
      <w:pPr>
        <w:spacing w:after="120" w:line="276"/>
        <w:jc w:val="both"/>
      </w:pPr>
      <w:r>
        <w:t xml:space="preserve">The accelerator computes a single-channel 3×3 convolution over a 32×32 grayscale image using </w:t>
      </w:r>
      <w:r>
        <w:rPr>
          <w:b/>
          <w:bCs/>
        </w:rPr>
        <w:t xml:space="preserve">same (zero-padded) convolution</w:t>
      </w:r>
      <w:r>
        <w:t xml:space="preserve">, producing a 32×32 output feature map of 1024 pixels. It is a fully streaming design: one 8-bit pixel enters per clock cycle and, after an initial fill latency, one 16-bit output pixel is produced per clock cycle. This sustained one-output-per-cycle rate is the primary throughput target, as the Figure of Merit measures throughput in output pixels per cycle.</w:t>
      </w:r>
    </w:p>
    <w:p>
      <w:pPr>
        <w:spacing w:after="120" w:line="276"/>
        <w:jc w:val="both"/>
      </w:pPr>
      <w:r>
        <w:t xml:space="preserve">The design is partitioned along a strict </w:t>
      </w:r>
      <w:r>
        <w:rPr>
          <w:b/>
          <w:bCs/>
        </w:rPr>
        <w:t xml:space="preserve">control/datapath separation</w:t>
      </w:r>
      <w:r>
        <w:t xml:space="preserve">. The datapath modules are deliberately "dumb" — they perform mechanical operations (shifting, multiplying, accumulating, saturating) and hold no knowledge of their position within the frame. All positional state — row and column counters, pipeline-fill tracking, image-border detection, and output-valid generation — is owned by a single </w:t>
      </w:r>
      <w:r>
        <w:rPr>
          <w:b/>
          <w:bCs/>
        </w:rPr>
        <w:t xml:space="preserve">Control Unit</w:t>
      </w:r>
      <w:r>
        <w:t xml:space="preserve">. This separation keeps the stall logic in one place: a single enable signal, derived from </w:t>
      </w:r>
      <w:r>
        <w:rPr>
          <w:rFonts w:ascii="Consolas" w:cs="Consolas" w:eastAsia="Consolas" w:hAnsi="Consolas"/>
          <w:sz w:val="20"/>
          <w:szCs w:val="20"/>
        </w:rPr>
        <w:t xml:space="preserve">valid_in</w:t>
      </w:r>
      <w:r>
        <w:t xml:space="preserve">, gates every sequential element, so an input stall freezes the entire pipeline coherently with no risk of two modules disagreeing about frame position.</w:t>
      </w:r>
    </w:p>
    <w:p>
      <w:pPr>
        <w:spacing w:after="120" w:line="276"/>
        <w:jc w:val="both"/>
      </w:pPr>
      <w:r>
        <w:rPr>
          <w:b/>
          <w:bCs/>
        </w:rPr>
        <w:t xml:space="preserve">Datapath.  </w:t>
      </w:r>
      <w:r>
        <w:t xml:space="preserve">Incoming pixels stream into a two-stage line-buffer chain that reconstructs three vertically adjacent image rows. A 3×3 array of tap registers slides horizontally across those rows to form the convolution window each cycle. Border taps are masked to zero under control of four edge flags to implement zero padding. The nine window pixels are multiplied by nine programmable 8-bit signed coefficients in the MAC array, summed in a 20-bit accumulator, and reduced to a 16-bit signed result by a saturation stage with an optional ReLU clip.</w:t>
      </w:r>
    </w:p>
    <w:p>
      <w:pPr>
        <w:spacing w:after="120" w:line="276"/>
        <w:jc w:val="both"/>
      </w:pPr>
      <w:r>
        <w:rPr>
          <w:b/>
          <w:bCs/>
        </w:rPr>
        <w:t xml:space="preserve">Control.  </w:t>
      </w:r>
      <w:r>
        <w:t xml:space="preserve">The Control Unit tracks the current output position and asserts </w:t>
      </w:r>
      <w:r>
        <w:rPr>
          <w:rFonts w:ascii="Consolas" w:cs="Consolas" w:eastAsia="Consolas" w:hAnsi="Consolas"/>
          <w:sz w:val="20"/>
          <w:szCs w:val="20"/>
        </w:rPr>
        <w:t xml:space="preserve">top_edge</w:t>
      </w:r>
      <w:r>
        <w:t xml:space="preserve">, </w:t>
      </w:r>
      <w:r>
        <w:rPr>
          <w:rFonts w:ascii="Consolas" w:cs="Consolas" w:eastAsia="Consolas" w:hAnsi="Consolas"/>
          <w:sz w:val="20"/>
          <w:szCs w:val="20"/>
        </w:rPr>
        <w:t xml:space="preserve">left_edge</w:t>
      </w:r>
      <w:r>
        <w:t xml:space="preserve">, </w:t>
      </w:r>
      <w:r>
        <w:rPr>
          <w:rFonts w:ascii="Consolas" w:cs="Consolas" w:eastAsia="Consolas" w:hAnsi="Consolas"/>
          <w:sz w:val="20"/>
          <w:szCs w:val="20"/>
        </w:rPr>
        <w:t xml:space="preserve">right_edge</w:t>
      </w:r>
      <w:r>
        <w:t xml:space="preserve">, and </w:t>
      </w:r>
      <w:r>
        <w:rPr>
          <w:rFonts w:ascii="Consolas" w:cs="Consolas" w:eastAsia="Consolas" w:hAnsi="Consolas"/>
          <w:sz w:val="20"/>
          <w:szCs w:val="20"/>
        </w:rPr>
        <w:t xml:space="preserve">bottom_edge</w:t>
      </w:r>
      <w:r>
        <w:t xml:space="preserve"> when the window straddles an image boundary, and drives the </w:t>
      </w:r>
      <w:r>
        <w:rPr>
          <w:rFonts w:ascii="Consolas" w:cs="Consolas" w:eastAsia="Consolas" w:hAnsi="Consolas"/>
          <w:sz w:val="20"/>
          <w:szCs w:val="20"/>
        </w:rPr>
        <w:t xml:space="preserve">en</w:t>
      </w:r>
      <w:r>
        <w:t xml:space="preserve"> enable to the datapath. It generates </w:t>
      </w:r>
      <w:r>
        <w:rPr>
          <w:rFonts w:ascii="Consolas" w:cs="Consolas" w:eastAsia="Consolas" w:hAnsi="Consolas"/>
          <w:sz w:val="20"/>
          <w:szCs w:val="20"/>
        </w:rPr>
        <w:t xml:space="preserve">valid_out</w:t>
      </w:r>
      <w:r>
        <w:t xml:space="preserve"> so that exactly 1024 valid outputs are emitted in raster order.</w:t>
      </w:r>
    </w:p>
    <w:p>
      <w:pPr>
        <w:spacing w:before="16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33800"/>
                    </a:xfrm>
                    <a:prstGeom prst="rect">
                      <a:avLst/>
                    </a:prstGeom>
                  </pic:spPr>
                </pic:pic>
              </a:graphicData>
            </a:graphic>
          </wp:inline>
        </w:drawing>
      </w:r>
    </w:p>
    <w:p>
      <w:pPr>
        <w:spacing w:after="200" w:before="80"/>
        <w:jc w:val="center"/>
      </w:pPr>
      <w:r>
        <w:rPr>
          <w:i/>
          <w:iCs/>
          <w:color w:val="595959"/>
          <w:sz w:val="20"/>
          <w:szCs w:val="20"/>
        </w:rPr>
        <w:t xml:space="preserve">Figure 1. Top-level block diagram. Control Unit drives the four edge flags and the en enable; input_in cascades through LB0 → LB1 to reconstruct three rows; the 3×3 tap array feeds the MAC array, then Saturate + ReLU produces pixel_out.</w:t>
      </w:r>
    </w:p>
    <w:p>
      <w:pPr>
        <w:pStyle w:val="Heading1"/>
        <w:spacing w:after="120" w:before="240"/>
      </w:pPr>
      <w:r>
        <w:rPr>
          <w:b/>
          <w:bCs/>
          <w:color w:val="1F4E79"/>
        </w:rPr>
        <w:t xml:space="preserve">2. Memory and Line-Buffer Organization</w:t>
      </w:r>
    </w:p>
    <w:p>
      <w:pPr>
        <w:spacing w:after="120" w:line="276"/>
        <w:jc w:val="both"/>
      </w:pPr>
      <w:r>
        <w:t xml:space="preserve">Forming a 3×3 window from a raster pixel stream requires simultaneous access to three vertically adjacent rows. A naïve approach would store the whole image and read a neighborhood each cycle, but that wastes memory and bandwidth. The standard efficient solution is a </w:t>
      </w:r>
      <w:r>
        <w:rPr>
          <w:b/>
          <w:bCs/>
        </w:rPr>
        <w:t xml:space="preserve">line-buffer sliding-window</w:t>
      </w:r>
      <w:r>
        <w:t xml:space="preserve"> structure: only the two most recent rows are retained, and the window slides across them as new pixels arrive.</w:t>
      </w:r>
    </w:p>
    <w:p>
      <w:pPr>
        <w:spacing w:after="120" w:line="276"/>
        <w:jc w:val="both"/>
      </w:pPr>
      <w:r>
        <w:t xml:space="preserve">Two line buffers, </w:t>
      </w:r>
      <w:r>
        <w:rPr>
          <w:rFonts w:ascii="Consolas" w:cs="Consolas" w:eastAsia="Consolas" w:hAnsi="Consolas"/>
          <w:sz w:val="20"/>
          <w:szCs w:val="20"/>
        </w:rPr>
        <w:t xml:space="preserve">LB0</w:t>
      </w:r>
      <w:r>
        <w:t xml:space="preserve"> and </w:t>
      </w:r>
      <w:r>
        <w:rPr>
          <w:rFonts w:ascii="Consolas" w:cs="Consolas" w:eastAsia="Consolas" w:hAnsi="Consolas"/>
          <w:sz w:val="20"/>
          <w:szCs w:val="20"/>
        </w:rPr>
        <w:t xml:space="preserve">LB1</w:t>
      </w:r>
      <w:r>
        <w:t xml:space="preserve">, are chained in series. The incoming pixel </w:t>
      </w:r>
      <w:r>
        <w:rPr>
          <w:rFonts w:ascii="Consolas" w:cs="Consolas" w:eastAsia="Consolas" w:hAnsi="Consolas"/>
          <w:sz w:val="20"/>
          <w:szCs w:val="20"/>
        </w:rPr>
        <w:t xml:space="preserve">input_in</w:t>
      </w:r>
      <w:r>
        <w:t xml:space="preserve"> is the newest pixel of the bottom window row; it also feeds </w:t>
      </w:r>
      <w:r>
        <w:rPr>
          <w:rFonts w:ascii="Consolas" w:cs="Consolas" w:eastAsia="Consolas" w:hAnsi="Consolas"/>
          <w:sz w:val="20"/>
          <w:szCs w:val="20"/>
        </w:rPr>
        <w:t xml:space="preserve">LB0</w:t>
      </w:r>
      <w:r>
        <w:t xml:space="preserve">. The output of </w:t>
      </w:r>
      <w:r>
        <w:rPr>
          <w:rFonts w:ascii="Consolas" w:cs="Consolas" w:eastAsia="Consolas" w:hAnsi="Consolas"/>
          <w:sz w:val="20"/>
          <w:szCs w:val="20"/>
        </w:rPr>
        <w:t xml:space="preserve">LB0</w:t>
      </w:r>
      <w:r>
        <w:t xml:space="preserve"> — delayed by exactly one image row — is the newest pixel of the middle window row and feeds </w:t>
      </w:r>
      <w:r>
        <w:rPr>
          <w:rFonts w:ascii="Consolas" w:cs="Consolas" w:eastAsia="Consolas" w:hAnsi="Consolas"/>
          <w:sz w:val="20"/>
          <w:szCs w:val="20"/>
        </w:rPr>
        <w:t xml:space="preserve">LB1</w:t>
      </w:r>
      <w:r>
        <w:t xml:space="preserve">. The output of </w:t>
      </w:r>
      <w:r>
        <w:rPr>
          <w:rFonts w:ascii="Consolas" w:cs="Consolas" w:eastAsia="Consolas" w:hAnsi="Consolas"/>
          <w:sz w:val="20"/>
          <w:szCs w:val="20"/>
        </w:rPr>
        <w:t xml:space="preserve">LB1</w:t>
      </w:r>
      <w:r>
        <w:t xml:space="preserve"> — delayed by two image rows — is the newest pixel of the top window row. Three horizontal tap-register chains (three registers each) shift these three streams sideways to complete the nine-pixel window.</w:t>
      </w:r>
    </w:p>
    <w:p>
      <w:pPr>
        <w:spacing w:after="120" w:line="276"/>
        <w:jc w:val="both"/>
      </w:pPr>
      <w:r>
        <w:rPr>
          <w:b/>
          <w:bCs/>
        </w:rPr>
        <w:t xml:space="preserve">Line-buffer depth = 32.  </w:t>
      </w:r>
      <w:r>
        <w:t xml:space="preserve">Each line buffer is 32 entries deep (one full image row). The vertical delay between adjacent window rows must equal one image row, and that entire delay is supplied by the line buffer; the horizontal tap registers move within a row and contribute no vertical delay. The two axes are independent, so the depth equals </w:t>
      </w:r>
      <w:r>
        <w:rPr>
          <w:rFonts w:ascii="Consolas" w:cs="Consolas" w:eastAsia="Consolas" w:hAnsi="Consolas"/>
          <w:sz w:val="20"/>
          <w:szCs w:val="20"/>
        </w:rPr>
        <w:t xml:space="preserve">IMG_W</w:t>
      </w:r>
      <w:r>
        <w:t xml:space="preserve"> = 32, not </w:t>
      </w:r>
      <w:r>
        <w:rPr>
          <w:rFonts w:ascii="Consolas" w:cs="Consolas" w:eastAsia="Consolas" w:hAnsi="Consolas"/>
          <w:sz w:val="20"/>
          <w:szCs w:val="20"/>
        </w:rPr>
        <w:t xml:space="preserve">IMG_W − 3</w:t>
      </w:r>
      <w:r>
        <w:t xml:space="preserve">. This was verified in simulation by sweeping the depth and confirming that only depth 32 yields a vertically aligned 3×3 window.</w:t>
      </w:r>
    </w:p>
    <w:p>
      <w:pPr>
        <w:spacing w:after="120" w:line="276"/>
        <w:jc w:val="both"/>
      </w:pPr>
      <w:r>
        <w:rPr>
          <w:b/>
          <w:bCs/>
        </w:rPr>
        <w:t xml:space="preserve">No BRAM — the key FoM decision.  </w:t>
      </w:r>
      <w:r>
        <w:t xml:space="preserve">The Figure of Merit penalizes each block RAM by a factor of 100 in the denominator, versus 1 per LUT and 50 per DSP. The line buffers are therefore implemented as </w:t>
      </w:r>
      <w:r>
        <w:rPr>
          <w:b/>
          <w:bCs/>
        </w:rPr>
        <w:t xml:space="preserve">flip-flop / distributed-LUTRAM shift registers, not block RAM</w:t>
      </w:r>
      <w:r>
        <w:t xml:space="preserve">. The total storage required is tiny: two buffers of 32 × 8 bits, i.e. 512 bits, plus the nine 8-bit tap registers — well under what distributed logic absorbs cheaply. Mapping this into a single BRAM would add 100 penalty units to the denominator for no benefit; keeping it in fabric contributes only a modest LUT/FF count and eliminates the ×100 term entirely.</w:t>
      </w:r>
    </w:p>
    <w:tbl>
      <w:tblPr>
        <w:tblW w:type="dxa" w:w="88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2000"/>
        <w:gridCol w:w="4200"/>
      </w:tblGrid>
      <w:tr>
        <w:trPr>
          <w:tblHeader/>
        </w:trPr>
        <w:tc>
          <w:tcPr>
            <w:tcW w:type="dxa" w:w="2600"/>
            <w:shd w:fill="1F4E79" w:val="clear"/>
            <w:tcMar>
              <w:top w:type="dxa" w:w="60"/>
              <w:left w:type="dxa" w:w="100"/>
              <w:bottom w:type="dxa" w:w="60"/>
              <w:right w:type="dxa" w:w="100"/>
            </w:tcMar>
          </w:tcPr>
          <w:p>
            <w:pPr>
              <w:jc w:val="center"/>
            </w:pPr>
            <w:r>
              <w:rPr>
                <w:b/>
                <w:bCs/>
                <w:sz w:val="22"/>
                <w:szCs w:val="22"/>
              </w:rPr>
              <w:t xml:space="preserve">Storage element</w:t>
            </w:r>
          </w:p>
        </w:tc>
        <w:tc>
          <w:tcPr>
            <w:tcW w:type="dxa" w:w="2000"/>
            <w:shd w:fill="1F4E79" w:val="clear"/>
            <w:tcMar>
              <w:top w:type="dxa" w:w="60"/>
              <w:left w:type="dxa" w:w="100"/>
              <w:bottom w:type="dxa" w:w="60"/>
              <w:right w:type="dxa" w:w="100"/>
            </w:tcMar>
          </w:tcPr>
          <w:p>
            <w:pPr>
              <w:jc w:val="center"/>
            </w:pPr>
            <w:r>
              <w:rPr>
                <w:b/>
                <w:bCs/>
                <w:sz w:val="22"/>
                <w:szCs w:val="22"/>
              </w:rPr>
              <w:t xml:space="preserve">Size</w:t>
            </w:r>
          </w:p>
        </w:tc>
        <w:tc>
          <w:tcPr>
            <w:tcW w:type="dxa" w:w="4200"/>
            <w:shd w:fill="1F4E79" w:val="clear"/>
            <w:tcMar>
              <w:top w:type="dxa" w:w="60"/>
              <w:left w:type="dxa" w:w="100"/>
              <w:bottom w:type="dxa" w:w="60"/>
              <w:right w:type="dxa" w:w="100"/>
            </w:tcMar>
          </w:tcPr>
          <w:p>
            <w:pPr>
              <w:jc w:val="center"/>
            </w:pPr>
            <w:r>
              <w:rPr>
                <w:b/>
                <w:bCs/>
                <w:sz w:val="22"/>
                <w:szCs w:val="22"/>
              </w:rPr>
              <w:t xml:space="preserve">Implementation</w:t>
            </w:r>
          </w:p>
        </w:tc>
      </w:tr>
      <w:tr>
        <w:tc>
          <w:tcPr>
            <w:tcW w:type="dxa" w:w="2600"/>
            <w:tcMar>
              <w:top w:type="dxa" w:w="60"/>
              <w:left w:type="dxa" w:w="100"/>
              <w:bottom w:type="dxa" w:w="60"/>
              <w:right w:type="dxa" w:w="100"/>
            </w:tcMar>
          </w:tcPr>
          <w:p>
            <w:pPr>
              <w:jc w:val="left"/>
            </w:pPr>
            <w:r>
              <w:rPr>
                <w:b w:val="false"/>
                <w:bCs w:val="false"/>
                <w:sz w:val="22"/>
                <w:szCs w:val="22"/>
              </w:rPr>
              <w:t xml:space="preserve">Line buffer LB0</w:t>
            </w:r>
          </w:p>
        </w:tc>
        <w:tc>
          <w:tcPr>
            <w:tcW w:type="dxa" w:w="2000"/>
            <w:tcMar>
              <w:top w:type="dxa" w:w="60"/>
              <w:left w:type="dxa" w:w="100"/>
              <w:bottom w:type="dxa" w:w="60"/>
              <w:right w:type="dxa" w:w="100"/>
            </w:tcMar>
          </w:tcPr>
          <w:p>
            <w:pPr>
              <w:jc w:val="left"/>
            </w:pPr>
            <w:r>
              <w:rPr>
                <w:b w:val="false"/>
                <w:bCs w:val="false"/>
                <w:sz w:val="22"/>
                <w:szCs w:val="22"/>
              </w:rPr>
              <w:t xml:space="preserve">32 × 8 bits</w:t>
            </w:r>
          </w:p>
        </w:tc>
        <w:tc>
          <w:tcPr>
            <w:tcW w:type="dxa" w:w="4200"/>
            <w:tcMar>
              <w:top w:type="dxa" w:w="60"/>
              <w:left w:type="dxa" w:w="100"/>
              <w:bottom w:type="dxa" w:w="60"/>
              <w:right w:type="dxa" w:w="100"/>
            </w:tcMar>
          </w:tcPr>
          <w:p>
            <w:pPr>
              <w:jc w:val="left"/>
            </w:pPr>
            <w:r>
              <w:rPr>
                <w:b w:val="false"/>
                <w:bCs w:val="false"/>
                <w:sz w:val="22"/>
                <w:szCs w:val="22"/>
              </w:rPr>
              <w:t xml:space="preserve">FF / distributed LUTRAM shift register</w:t>
            </w:r>
          </w:p>
        </w:tc>
      </w:tr>
      <w:tr>
        <w:tc>
          <w:tcPr>
            <w:tcW w:type="dxa" w:w="2600"/>
            <w:tcMar>
              <w:top w:type="dxa" w:w="60"/>
              <w:left w:type="dxa" w:w="100"/>
              <w:bottom w:type="dxa" w:w="60"/>
              <w:right w:type="dxa" w:w="100"/>
            </w:tcMar>
          </w:tcPr>
          <w:p>
            <w:pPr>
              <w:jc w:val="left"/>
            </w:pPr>
            <w:r>
              <w:rPr>
                <w:b w:val="false"/>
                <w:bCs w:val="false"/>
                <w:sz w:val="22"/>
                <w:szCs w:val="22"/>
              </w:rPr>
              <w:t xml:space="preserve">Line buffer LB1</w:t>
            </w:r>
          </w:p>
        </w:tc>
        <w:tc>
          <w:tcPr>
            <w:tcW w:type="dxa" w:w="2000"/>
            <w:tcMar>
              <w:top w:type="dxa" w:w="60"/>
              <w:left w:type="dxa" w:w="100"/>
              <w:bottom w:type="dxa" w:w="60"/>
              <w:right w:type="dxa" w:w="100"/>
            </w:tcMar>
          </w:tcPr>
          <w:p>
            <w:pPr>
              <w:jc w:val="left"/>
            </w:pPr>
            <w:r>
              <w:rPr>
                <w:b w:val="false"/>
                <w:bCs w:val="false"/>
                <w:sz w:val="22"/>
                <w:szCs w:val="22"/>
              </w:rPr>
              <w:t xml:space="preserve">32 × 8 bits</w:t>
            </w:r>
          </w:p>
        </w:tc>
        <w:tc>
          <w:tcPr>
            <w:tcW w:type="dxa" w:w="4200"/>
            <w:tcMar>
              <w:top w:type="dxa" w:w="60"/>
              <w:left w:type="dxa" w:w="100"/>
              <w:bottom w:type="dxa" w:w="60"/>
              <w:right w:type="dxa" w:w="100"/>
            </w:tcMar>
          </w:tcPr>
          <w:p>
            <w:pPr>
              <w:jc w:val="left"/>
            </w:pPr>
            <w:r>
              <w:rPr>
                <w:b w:val="false"/>
                <w:bCs w:val="false"/>
                <w:sz w:val="22"/>
                <w:szCs w:val="22"/>
              </w:rPr>
              <w:t xml:space="preserve">FF / distributed LUTRAM shift register</w:t>
            </w:r>
          </w:p>
        </w:tc>
      </w:tr>
      <w:tr>
        <w:tc>
          <w:tcPr>
            <w:tcW w:type="dxa" w:w="2600"/>
            <w:tcMar>
              <w:top w:type="dxa" w:w="60"/>
              <w:left w:type="dxa" w:w="100"/>
              <w:bottom w:type="dxa" w:w="60"/>
              <w:right w:type="dxa" w:w="100"/>
            </w:tcMar>
          </w:tcPr>
          <w:p>
            <w:pPr>
              <w:jc w:val="left"/>
            </w:pPr>
            <w:r>
              <w:rPr>
                <w:b w:val="false"/>
                <w:bCs w:val="false"/>
                <w:sz w:val="22"/>
                <w:szCs w:val="22"/>
              </w:rPr>
              <w:t xml:space="preserve">Tap registers (a–i)</w:t>
            </w:r>
          </w:p>
        </w:tc>
        <w:tc>
          <w:tcPr>
            <w:tcW w:type="dxa" w:w="2000"/>
            <w:tcMar>
              <w:top w:type="dxa" w:w="60"/>
              <w:left w:type="dxa" w:w="100"/>
              <w:bottom w:type="dxa" w:w="60"/>
              <w:right w:type="dxa" w:w="100"/>
            </w:tcMar>
          </w:tcPr>
          <w:p>
            <w:pPr>
              <w:jc w:val="left"/>
            </w:pPr>
            <w:r>
              <w:rPr>
                <w:b w:val="false"/>
                <w:bCs w:val="false"/>
                <w:sz w:val="22"/>
                <w:szCs w:val="22"/>
              </w:rPr>
              <w:t xml:space="preserve">9 × 8 bits</w:t>
            </w:r>
          </w:p>
        </w:tc>
        <w:tc>
          <w:tcPr>
            <w:tcW w:type="dxa" w:w="4200"/>
            <w:tcMar>
              <w:top w:type="dxa" w:w="60"/>
              <w:left w:type="dxa" w:w="100"/>
              <w:bottom w:type="dxa" w:w="60"/>
              <w:right w:type="dxa" w:w="100"/>
            </w:tcMar>
          </w:tcPr>
          <w:p>
            <w:pPr>
              <w:jc w:val="left"/>
            </w:pPr>
            <w:r>
              <w:rPr>
                <w:b w:val="false"/>
                <w:bCs w:val="false"/>
                <w:sz w:val="22"/>
                <w:szCs w:val="22"/>
              </w:rPr>
              <w:t xml:space="preserve">Flip-flops</w:t>
            </w:r>
          </w:p>
        </w:tc>
      </w:tr>
      <w:tr>
        <w:tc>
          <w:tcPr>
            <w:tcW w:type="dxa" w:w="2600"/>
            <w:tcMar>
              <w:top w:type="dxa" w:w="60"/>
              <w:left w:type="dxa" w:w="100"/>
              <w:bottom w:type="dxa" w:w="60"/>
              <w:right w:type="dxa" w:w="100"/>
            </w:tcMar>
          </w:tcPr>
          <w:p>
            <w:pPr>
              <w:jc w:val="left"/>
            </w:pPr>
            <w:r>
              <w:rPr>
                <w:b w:val="false"/>
                <w:bCs w:val="false"/>
                <w:sz w:val="22"/>
                <w:szCs w:val="22"/>
              </w:rPr>
              <w:t xml:space="preserve">Block RAM (BRAM)</w:t>
            </w:r>
          </w:p>
        </w:tc>
        <w:tc>
          <w:tcPr>
            <w:tcW w:type="dxa" w:w="2000"/>
            <w:tcMar>
              <w:top w:type="dxa" w:w="60"/>
              <w:left w:type="dxa" w:w="100"/>
              <w:bottom w:type="dxa" w:w="60"/>
              <w:right w:type="dxa" w:w="100"/>
            </w:tcMar>
          </w:tcPr>
          <w:p>
            <w:pPr>
              <w:jc w:val="left"/>
            </w:pPr>
            <w:r>
              <w:rPr>
                <w:b w:val="false"/>
                <w:bCs w:val="false"/>
                <w:sz w:val="22"/>
                <w:szCs w:val="22"/>
              </w:rPr>
              <w:t xml:space="preserve">0</w:t>
            </w:r>
          </w:p>
        </w:tc>
        <w:tc>
          <w:tcPr>
            <w:tcW w:type="dxa" w:w="4200"/>
            <w:tcMar>
              <w:top w:type="dxa" w:w="60"/>
              <w:left w:type="dxa" w:w="100"/>
              <w:bottom w:type="dxa" w:w="60"/>
              <w:right w:type="dxa" w:w="100"/>
            </w:tcMar>
          </w:tcPr>
          <w:p>
            <w:pPr>
              <w:jc w:val="left"/>
            </w:pPr>
            <w:r>
              <w:rPr>
                <w:b w:val="false"/>
                <w:bCs w:val="false"/>
                <w:sz w:val="22"/>
                <w:szCs w:val="22"/>
              </w:rPr>
              <w:t xml:space="preserve">None — eliminated by design</w:t>
            </w:r>
          </w:p>
        </w:tc>
      </w:tr>
    </w:tbl>
    <w:p>
      <w:pPr>
        <w:spacing w:after="200" w:before="80"/>
        <w:jc w:val="center"/>
      </w:pPr>
      <w:r>
        <w:rPr>
          <w:i/>
          <w:iCs/>
          <w:color w:val="595959"/>
          <w:sz w:val="20"/>
          <w:szCs w:val="20"/>
        </w:rPr>
        <w:t xml:space="preserve">Table 1. Memory organization. All storage is in fabric; zero block RAM is used, removing the ×100 BRAM term from the FoM denominator.</w:t>
      </w:r>
    </w:p>
    <w:p>
      <w:pPr>
        <w:pStyle w:val="Heading1"/>
        <w:spacing w:after="120" w:before="240"/>
      </w:pPr>
      <w:r>
        <w:rPr>
          <w:b/>
          <w:bCs/>
          <w:color w:val="1F4E79"/>
        </w:rPr>
        <w:t xml:space="preserve">3. Fixed-Point and Bit-Width Analysis</w:t>
      </w:r>
    </w:p>
    <w:p>
      <w:pPr>
        <w:spacing w:after="120" w:line="276"/>
        <w:jc w:val="both"/>
      </w:pPr>
      <w:r>
        <w:t xml:space="preserve">All arithmetic is fixed-point. Input pixels are </w:t>
      </w:r>
      <w:r>
        <w:rPr>
          <w:b/>
          <w:bCs/>
        </w:rPr>
        <w:t xml:space="preserve">8-bit unsigned</w:t>
      </w:r>
      <w:r>
        <w:t xml:space="preserve"> (Q8.0, range 0–255), matching 8-bit grayscale. Kernel coefficients are </w:t>
      </w:r>
      <w:r>
        <w:rPr>
          <w:b/>
          <w:bCs/>
        </w:rPr>
        <w:t xml:space="preserve">8-bit signed</w:t>
      </w:r>
      <w:r>
        <w:t xml:space="preserve"> (Q8.0 integer by default, range −128 to +127); signed coefficients are required because edge-detection kernels such as Sobel and Laplacian contain negative weights. The datapath widths below are not chosen but </w:t>
      </w:r>
      <w:r>
        <w:rPr>
          <w:b/>
          <w:bCs/>
        </w:rPr>
        <w:t xml:space="preserve">derived from worst-case bit growth</w:t>
      </w:r>
      <w:r>
        <w:t xml:space="preserve">, then confirmed against measured ranges from the Python golden model.</w:t>
      </w:r>
    </w:p>
    <w:p>
      <w:pPr>
        <w:spacing w:after="120" w:line="276"/>
        <w:jc w:val="both"/>
      </w:pPr>
      <w:r>
        <w:rPr>
          <w:b/>
          <w:bCs/>
        </w:rPr>
        <w:t xml:space="preserve">Product width.  </w:t>
      </w:r>
      <w:r>
        <w:t xml:space="preserve">Each tap multiplies an 8-bit unsigned pixel by an 8-bit signed coefficient. The extreme product is 255 × (−128) = −32,640, and 255 × 127 = +32,385, both of which fit in a </w:t>
      </w:r>
      <w:r>
        <w:rPr>
          <w:b/>
          <w:bCs/>
        </w:rPr>
        <w:t xml:space="preserve">16-bit signed</w:t>
      </w:r>
      <w:r>
        <w:t xml:space="preserve"> value (range −32,768 to +32,767).</w:t>
      </w:r>
    </w:p>
    <w:p>
      <w:pPr>
        <w:spacing w:after="120" w:line="276"/>
        <w:jc w:val="both"/>
      </w:pPr>
      <w:r>
        <w:rPr>
          <w:b/>
          <w:bCs/>
        </w:rPr>
        <w:t xml:space="preserve">Accumulator width.  </w:t>
      </w:r>
      <w:r>
        <w:t xml:space="preserve">Nine such products are summed. The worst-case magnitude is 9 × 255 × 128 = 293,760, which requires </w:t>
      </w:r>
      <w:r>
        <w:rPr>
          <w:b/>
          <w:bCs/>
        </w:rPr>
        <w:t xml:space="preserve">20 bits signed</w:t>
      </w:r>
      <w:r>
        <w:t xml:space="preserve"> to represent losslessly. The accumulator is therefore 20 bits — the minimum width that guarantees no overflow for any 8-bit unsigned image and any 8-bit signed kernel. Widening beyond 20 bits would be wasteful; narrowing below 20 would risk silent overflow.</w:t>
      </w:r>
    </w:p>
    <w:p>
      <w:pPr>
        <w:spacing w:after="120" w:line="276"/>
        <w:jc w:val="both"/>
      </w:pPr>
      <w:r>
        <w:rPr>
          <w:b/>
          <w:bCs/>
        </w:rPr>
        <w:t xml:space="preserve">Output width and saturation.  </w:t>
      </w:r>
      <w:r>
        <w:t xml:space="preserve">The output is 16-bit signed (the specified minimum). Because the 20-bit accumulator can exceed the 16-bit range in principle, the result is passed through a </w:t>
      </w:r>
      <w:r>
        <w:rPr>
          <w:b/>
          <w:bCs/>
        </w:rPr>
        <w:t xml:space="preserve">saturating</w:t>
      </w:r>
      <w:r>
        <w:t xml:space="preserve"> stage that clamps to [−32,768, +32,767] rather than wrapping or truncating, which avoids gross artifacts from overflow. The golden model applies the identical clamp so hardware and reference remain bit-exact. An optional ReLU stage (disabled by default) clips negative results to zero as a post-processing bonus.</w:t>
      </w:r>
    </w:p>
    <w:tbl>
      <w:tblPr>
        <w:tblW w:type="dxa" w:w="87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1500"/>
        <w:gridCol w:w="1500"/>
        <w:gridCol w:w="3300"/>
      </w:tblGrid>
      <w:tr>
        <w:trPr>
          <w:tblHeader/>
        </w:trPr>
        <w:tc>
          <w:tcPr>
            <w:tcW w:type="dxa" w:w="2400"/>
            <w:shd w:fill="1F4E79" w:val="clear"/>
            <w:tcMar>
              <w:top w:type="dxa" w:w="60"/>
              <w:left w:type="dxa" w:w="100"/>
              <w:bottom w:type="dxa" w:w="60"/>
              <w:right w:type="dxa" w:w="100"/>
            </w:tcMar>
          </w:tcPr>
          <w:p>
            <w:pPr>
              <w:jc w:val="center"/>
            </w:pPr>
            <w:r>
              <w:rPr>
                <w:b/>
                <w:bCs/>
                <w:sz w:val="22"/>
                <w:szCs w:val="22"/>
              </w:rPr>
              <w:t xml:space="preserve">Signal</w:t>
            </w:r>
          </w:p>
        </w:tc>
        <w:tc>
          <w:tcPr>
            <w:tcW w:type="dxa" w:w="1500"/>
            <w:shd w:fill="1F4E79" w:val="clear"/>
            <w:tcMar>
              <w:top w:type="dxa" w:w="60"/>
              <w:left w:type="dxa" w:w="100"/>
              <w:bottom w:type="dxa" w:w="60"/>
              <w:right w:type="dxa" w:w="100"/>
            </w:tcMar>
          </w:tcPr>
          <w:p>
            <w:pPr>
              <w:jc w:val="center"/>
            </w:pPr>
            <w:r>
              <w:rPr>
                <w:b/>
                <w:bCs/>
                <w:sz w:val="22"/>
                <w:szCs w:val="22"/>
              </w:rPr>
              <w:t xml:space="preserve">Format</w:t>
            </w:r>
          </w:p>
        </w:tc>
        <w:tc>
          <w:tcPr>
            <w:tcW w:type="dxa" w:w="1500"/>
            <w:shd w:fill="1F4E79" w:val="clear"/>
            <w:tcMar>
              <w:top w:type="dxa" w:w="60"/>
              <w:left w:type="dxa" w:w="100"/>
              <w:bottom w:type="dxa" w:w="60"/>
              <w:right w:type="dxa" w:w="100"/>
            </w:tcMar>
          </w:tcPr>
          <w:p>
            <w:pPr>
              <w:jc w:val="center"/>
            </w:pPr>
            <w:r>
              <w:rPr>
                <w:b/>
                <w:bCs/>
                <w:sz w:val="22"/>
                <w:szCs w:val="22"/>
              </w:rPr>
              <w:t xml:space="preserve">Width</w:t>
            </w:r>
          </w:p>
        </w:tc>
        <w:tc>
          <w:tcPr>
            <w:tcW w:type="dxa" w:w="3300"/>
            <w:shd w:fill="1F4E79" w:val="clear"/>
            <w:tcMar>
              <w:top w:type="dxa" w:w="60"/>
              <w:left w:type="dxa" w:w="100"/>
              <w:bottom w:type="dxa" w:w="60"/>
              <w:right w:type="dxa" w:w="100"/>
            </w:tcMar>
          </w:tcPr>
          <w:p>
            <w:pPr>
              <w:jc w:val="center"/>
            </w:pPr>
            <w:r>
              <w:rPr>
                <w:b/>
                <w:bCs/>
                <w:sz w:val="22"/>
                <w:szCs w:val="22"/>
              </w:rPr>
              <w:t xml:space="preserve">Worst-case range</w:t>
            </w:r>
          </w:p>
        </w:tc>
      </w:tr>
      <w:tr>
        <w:tc>
          <w:tcPr>
            <w:tcW w:type="dxa" w:w="2400"/>
            <w:tcMar>
              <w:top w:type="dxa" w:w="60"/>
              <w:left w:type="dxa" w:w="100"/>
              <w:bottom w:type="dxa" w:w="60"/>
              <w:right w:type="dxa" w:w="100"/>
            </w:tcMar>
          </w:tcPr>
          <w:p>
            <w:pPr>
              <w:jc w:val="left"/>
            </w:pPr>
            <w:r>
              <w:rPr>
                <w:b w:val="false"/>
                <w:bCs w:val="false"/>
                <w:sz w:val="22"/>
                <w:szCs w:val="22"/>
              </w:rPr>
              <w:t xml:space="preserve">Input pixel</w:t>
            </w:r>
          </w:p>
        </w:tc>
        <w:tc>
          <w:tcPr>
            <w:tcW w:type="dxa" w:w="1500"/>
            <w:tcMar>
              <w:top w:type="dxa" w:w="60"/>
              <w:left w:type="dxa" w:w="100"/>
              <w:bottom w:type="dxa" w:w="60"/>
              <w:right w:type="dxa" w:w="100"/>
            </w:tcMar>
          </w:tcPr>
          <w:p>
            <w:pPr>
              <w:jc w:val="left"/>
            </w:pPr>
            <w:r>
              <w:rPr>
                <w:rFonts w:ascii="Consolas" w:cs="Consolas" w:eastAsia="Consolas" w:hAnsi="Consolas"/>
                <w:b w:val="false"/>
                <w:bCs w:val="false"/>
                <w:sz w:val="20"/>
                <w:szCs w:val="20"/>
              </w:rPr>
              <w:t xml:space="preserve">Q8.0 unsigned</w:t>
            </w:r>
          </w:p>
        </w:tc>
        <w:tc>
          <w:tcPr>
            <w:tcW w:type="dxa" w:w="1500"/>
            <w:tcMar>
              <w:top w:type="dxa" w:w="60"/>
              <w:left w:type="dxa" w:w="100"/>
              <w:bottom w:type="dxa" w:w="60"/>
              <w:right w:type="dxa" w:w="100"/>
            </w:tcMar>
          </w:tcPr>
          <w:p>
            <w:pPr>
              <w:jc w:val="left"/>
            </w:pPr>
            <w:r>
              <w:rPr>
                <w:rFonts w:ascii="Consolas" w:cs="Consolas" w:eastAsia="Consolas" w:hAnsi="Consolas"/>
                <w:b w:val="false"/>
                <w:bCs w:val="false"/>
                <w:sz w:val="20"/>
                <w:szCs w:val="20"/>
              </w:rPr>
              <w:t xml:space="preserve">8</w:t>
            </w:r>
          </w:p>
        </w:tc>
        <w:tc>
          <w:tcPr>
            <w:tcW w:type="dxa" w:w="3300"/>
            <w:tcMar>
              <w:top w:type="dxa" w:w="60"/>
              <w:left w:type="dxa" w:w="100"/>
              <w:bottom w:type="dxa" w:w="60"/>
              <w:right w:type="dxa" w:w="100"/>
            </w:tcMar>
          </w:tcPr>
          <w:p>
            <w:pPr>
              <w:jc w:val="left"/>
            </w:pPr>
            <w:r>
              <w:rPr>
                <w:b w:val="false"/>
                <w:bCs w:val="false"/>
                <w:sz w:val="22"/>
                <w:szCs w:val="22"/>
              </w:rPr>
              <w:t xml:space="preserve">0 … 255</w:t>
            </w:r>
          </w:p>
        </w:tc>
      </w:tr>
      <w:tr>
        <w:tc>
          <w:tcPr>
            <w:tcW w:type="dxa" w:w="2400"/>
            <w:tcMar>
              <w:top w:type="dxa" w:w="60"/>
              <w:left w:type="dxa" w:w="100"/>
              <w:bottom w:type="dxa" w:w="60"/>
              <w:right w:type="dxa" w:w="100"/>
            </w:tcMar>
          </w:tcPr>
          <w:p>
            <w:pPr>
              <w:jc w:val="left"/>
            </w:pPr>
            <w:r>
              <w:rPr>
                <w:b w:val="false"/>
                <w:bCs w:val="false"/>
                <w:sz w:val="22"/>
                <w:szCs w:val="22"/>
              </w:rPr>
              <w:t xml:space="preserve">Coefficient</w:t>
            </w:r>
          </w:p>
        </w:tc>
        <w:tc>
          <w:tcPr>
            <w:tcW w:type="dxa" w:w="1500"/>
            <w:tcMar>
              <w:top w:type="dxa" w:w="60"/>
              <w:left w:type="dxa" w:w="100"/>
              <w:bottom w:type="dxa" w:w="60"/>
              <w:right w:type="dxa" w:w="100"/>
            </w:tcMar>
          </w:tcPr>
          <w:p>
            <w:pPr>
              <w:jc w:val="left"/>
            </w:pPr>
            <w:r>
              <w:rPr>
                <w:rFonts w:ascii="Consolas" w:cs="Consolas" w:eastAsia="Consolas" w:hAnsi="Consolas"/>
                <w:b w:val="false"/>
                <w:bCs w:val="false"/>
                <w:sz w:val="20"/>
                <w:szCs w:val="20"/>
              </w:rPr>
              <w:t xml:space="preserve">Q8.0 signed</w:t>
            </w:r>
          </w:p>
        </w:tc>
        <w:tc>
          <w:tcPr>
            <w:tcW w:type="dxa" w:w="1500"/>
            <w:tcMar>
              <w:top w:type="dxa" w:w="60"/>
              <w:left w:type="dxa" w:w="100"/>
              <w:bottom w:type="dxa" w:w="60"/>
              <w:right w:type="dxa" w:w="100"/>
            </w:tcMar>
          </w:tcPr>
          <w:p>
            <w:pPr>
              <w:jc w:val="left"/>
            </w:pPr>
            <w:r>
              <w:rPr>
                <w:rFonts w:ascii="Consolas" w:cs="Consolas" w:eastAsia="Consolas" w:hAnsi="Consolas"/>
                <w:b w:val="false"/>
                <w:bCs w:val="false"/>
                <w:sz w:val="20"/>
                <w:szCs w:val="20"/>
              </w:rPr>
              <w:t xml:space="preserve">8</w:t>
            </w:r>
          </w:p>
        </w:tc>
        <w:tc>
          <w:tcPr>
            <w:tcW w:type="dxa" w:w="3300"/>
            <w:tcMar>
              <w:top w:type="dxa" w:w="60"/>
              <w:left w:type="dxa" w:w="100"/>
              <w:bottom w:type="dxa" w:w="60"/>
              <w:right w:type="dxa" w:w="100"/>
            </w:tcMar>
          </w:tcPr>
          <w:p>
            <w:pPr>
              <w:jc w:val="left"/>
            </w:pPr>
            <w:r>
              <w:rPr>
                <w:b w:val="false"/>
                <w:bCs w:val="false"/>
                <w:sz w:val="22"/>
                <w:szCs w:val="22"/>
              </w:rPr>
              <w:t xml:space="preserve">−128 … 127</w:t>
            </w:r>
          </w:p>
        </w:tc>
      </w:tr>
      <w:tr>
        <w:tc>
          <w:tcPr>
            <w:tcW w:type="dxa" w:w="2400"/>
            <w:tcMar>
              <w:top w:type="dxa" w:w="60"/>
              <w:left w:type="dxa" w:w="100"/>
              <w:bottom w:type="dxa" w:w="60"/>
              <w:right w:type="dxa" w:w="100"/>
            </w:tcMar>
          </w:tcPr>
          <w:p>
            <w:pPr>
              <w:jc w:val="left"/>
            </w:pPr>
            <w:r>
              <w:rPr>
                <w:b w:val="false"/>
                <w:bCs w:val="false"/>
                <w:sz w:val="22"/>
                <w:szCs w:val="22"/>
              </w:rPr>
              <w:t xml:space="preserve">Product (per tap)</w:t>
            </w:r>
          </w:p>
        </w:tc>
        <w:tc>
          <w:tcPr>
            <w:tcW w:type="dxa" w:w="1500"/>
            <w:tcMar>
              <w:top w:type="dxa" w:w="60"/>
              <w:left w:type="dxa" w:w="100"/>
              <w:bottom w:type="dxa" w:w="60"/>
              <w:right w:type="dxa" w:w="100"/>
            </w:tcMar>
          </w:tcPr>
          <w:p>
            <w:pPr>
              <w:jc w:val="left"/>
            </w:pPr>
            <w:r>
              <w:rPr>
                <w:rFonts w:ascii="Consolas" w:cs="Consolas" w:eastAsia="Consolas" w:hAnsi="Consolas"/>
                <w:b w:val="false"/>
                <w:bCs w:val="false"/>
                <w:sz w:val="20"/>
                <w:szCs w:val="20"/>
              </w:rPr>
              <w:t xml:space="preserve">signed</w:t>
            </w:r>
          </w:p>
        </w:tc>
        <w:tc>
          <w:tcPr>
            <w:tcW w:type="dxa" w:w="1500"/>
            <w:tcMar>
              <w:top w:type="dxa" w:w="60"/>
              <w:left w:type="dxa" w:w="100"/>
              <w:bottom w:type="dxa" w:w="60"/>
              <w:right w:type="dxa" w:w="100"/>
            </w:tcMar>
          </w:tcPr>
          <w:p>
            <w:pPr>
              <w:jc w:val="left"/>
            </w:pPr>
            <w:r>
              <w:rPr>
                <w:rFonts w:ascii="Consolas" w:cs="Consolas" w:eastAsia="Consolas" w:hAnsi="Consolas"/>
                <w:b w:val="false"/>
                <w:bCs w:val="false"/>
                <w:sz w:val="20"/>
                <w:szCs w:val="20"/>
              </w:rPr>
              <w:t xml:space="preserve">16</w:t>
            </w:r>
          </w:p>
        </w:tc>
        <w:tc>
          <w:tcPr>
            <w:tcW w:type="dxa" w:w="3300"/>
            <w:tcMar>
              <w:top w:type="dxa" w:w="60"/>
              <w:left w:type="dxa" w:w="100"/>
              <w:bottom w:type="dxa" w:w="60"/>
              <w:right w:type="dxa" w:w="100"/>
            </w:tcMar>
          </w:tcPr>
          <w:p>
            <w:pPr>
              <w:jc w:val="left"/>
            </w:pPr>
            <w:r>
              <w:rPr>
                <w:b w:val="false"/>
                <w:bCs w:val="false"/>
                <w:sz w:val="22"/>
                <w:szCs w:val="22"/>
              </w:rPr>
              <w:t xml:space="preserve">−32,640 … 32,385</w:t>
            </w:r>
          </w:p>
        </w:tc>
      </w:tr>
      <w:tr>
        <w:tc>
          <w:tcPr>
            <w:tcW w:type="dxa" w:w="2400"/>
            <w:tcMar>
              <w:top w:type="dxa" w:w="60"/>
              <w:left w:type="dxa" w:w="100"/>
              <w:bottom w:type="dxa" w:w="60"/>
              <w:right w:type="dxa" w:w="100"/>
            </w:tcMar>
          </w:tcPr>
          <w:p>
            <w:pPr>
              <w:jc w:val="left"/>
            </w:pPr>
            <w:r>
              <w:rPr>
                <w:b w:val="false"/>
                <w:bCs w:val="false"/>
                <w:sz w:val="22"/>
                <w:szCs w:val="22"/>
              </w:rPr>
              <w:t xml:space="preserve">Accumulator</w:t>
            </w:r>
          </w:p>
        </w:tc>
        <w:tc>
          <w:tcPr>
            <w:tcW w:type="dxa" w:w="1500"/>
            <w:tcMar>
              <w:top w:type="dxa" w:w="60"/>
              <w:left w:type="dxa" w:w="100"/>
              <w:bottom w:type="dxa" w:w="60"/>
              <w:right w:type="dxa" w:w="100"/>
            </w:tcMar>
          </w:tcPr>
          <w:p>
            <w:pPr>
              <w:jc w:val="left"/>
            </w:pPr>
            <w:r>
              <w:rPr>
                <w:rFonts w:ascii="Consolas" w:cs="Consolas" w:eastAsia="Consolas" w:hAnsi="Consolas"/>
                <w:b w:val="false"/>
                <w:bCs w:val="false"/>
                <w:sz w:val="20"/>
                <w:szCs w:val="20"/>
              </w:rPr>
              <w:t xml:space="preserve">signed</w:t>
            </w:r>
          </w:p>
        </w:tc>
        <w:tc>
          <w:tcPr>
            <w:tcW w:type="dxa" w:w="1500"/>
            <w:tcMar>
              <w:top w:type="dxa" w:w="60"/>
              <w:left w:type="dxa" w:w="100"/>
              <w:bottom w:type="dxa" w:w="60"/>
              <w:right w:type="dxa" w:w="100"/>
            </w:tcMar>
          </w:tcPr>
          <w:p>
            <w:pPr>
              <w:jc w:val="left"/>
            </w:pPr>
            <w:r>
              <w:rPr>
                <w:rFonts w:ascii="Consolas" w:cs="Consolas" w:eastAsia="Consolas" w:hAnsi="Consolas"/>
                <w:b w:val="false"/>
                <w:bCs w:val="false"/>
                <w:sz w:val="20"/>
                <w:szCs w:val="20"/>
              </w:rPr>
              <w:t xml:space="preserve">20</w:t>
            </w:r>
          </w:p>
        </w:tc>
        <w:tc>
          <w:tcPr>
            <w:tcW w:type="dxa" w:w="3300"/>
            <w:tcMar>
              <w:top w:type="dxa" w:w="60"/>
              <w:left w:type="dxa" w:w="100"/>
              <w:bottom w:type="dxa" w:w="60"/>
              <w:right w:type="dxa" w:w="100"/>
            </w:tcMar>
          </w:tcPr>
          <w:p>
            <w:pPr>
              <w:jc w:val="left"/>
            </w:pPr>
            <w:r>
              <w:rPr>
                <w:b w:val="false"/>
                <w:bCs w:val="false"/>
                <w:sz w:val="22"/>
                <w:szCs w:val="22"/>
              </w:rPr>
              <w:t xml:space="preserve">−293,760 … 293,760</w:t>
            </w:r>
          </w:p>
        </w:tc>
      </w:tr>
      <w:tr>
        <w:tc>
          <w:tcPr>
            <w:tcW w:type="dxa" w:w="2400"/>
            <w:tcMar>
              <w:top w:type="dxa" w:w="60"/>
              <w:left w:type="dxa" w:w="100"/>
              <w:bottom w:type="dxa" w:w="60"/>
              <w:right w:type="dxa" w:w="100"/>
            </w:tcMar>
          </w:tcPr>
          <w:p>
            <w:pPr>
              <w:jc w:val="left"/>
            </w:pPr>
            <w:r>
              <w:rPr>
                <w:b w:val="false"/>
                <w:bCs w:val="false"/>
                <w:sz w:val="22"/>
                <w:szCs w:val="22"/>
              </w:rPr>
              <w:t xml:space="preserve">Output pixel</w:t>
            </w:r>
          </w:p>
        </w:tc>
        <w:tc>
          <w:tcPr>
            <w:tcW w:type="dxa" w:w="1500"/>
            <w:tcMar>
              <w:top w:type="dxa" w:w="60"/>
              <w:left w:type="dxa" w:w="100"/>
              <w:bottom w:type="dxa" w:w="60"/>
              <w:right w:type="dxa" w:w="100"/>
            </w:tcMar>
          </w:tcPr>
          <w:p>
            <w:pPr>
              <w:jc w:val="left"/>
            </w:pPr>
            <w:r>
              <w:rPr>
                <w:rFonts w:ascii="Consolas" w:cs="Consolas" w:eastAsia="Consolas" w:hAnsi="Consolas"/>
                <w:b w:val="false"/>
                <w:bCs w:val="false"/>
                <w:sz w:val="20"/>
                <w:szCs w:val="20"/>
              </w:rPr>
              <w:t xml:space="preserve">signed, saturated</w:t>
            </w:r>
          </w:p>
        </w:tc>
        <w:tc>
          <w:tcPr>
            <w:tcW w:type="dxa" w:w="1500"/>
            <w:tcMar>
              <w:top w:type="dxa" w:w="60"/>
              <w:left w:type="dxa" w:w="100"/>
              <w:bottom w:type="dxa" w:w="60"/>
              <w:right w:type="dxa" w:w="100"/>
            </w:tcMar>
          </w:tcPr>
          <w:p>
            <w:pPr>
              <w:jc w:val="left"/>
            </w:pPr>
            <w:r>
              <w:rPr>
                <w:rFonts w:ascii="Consolas" w:cs="Consolas" w:eastAsia="Consolas" w:hAnsi="Consolas"/>
                <w:b w:val="false"/>
                <w:bCs w:val="false"/>
                <w:sz w:val="20"/>
                <w:szCs w:val="20"/>
              </w:rPr>
              <w:t xml:space="preserve">16</w:t>
            </w:r>
          </w:p>
        </w:tc>
        <w:tc>
          <w:tcPr>
            <w:tcW w:type="dxa" w:w="3300"/>
            <w:tcMar>
              <w:top w:type="dxa" w:w="60"/>
              <w:left w:type="dxa" w:w="100"/>
              <w:bottom w:type="dxa" w:w="60"/>
              <w:right w:type="dxa" w:w="100"/>
            </w:tcMar>
          </w:tcPr>
          <w:p>
            <w:pPr>
              <w:jc w:val="left"/>
            </w:pPr>
            <w:r>
              <w:rPr>
                <w:b w:val="false"/>
                <w:bCs w:val="false"/>
                <w:sz w:val="22"/>
                <w:szCs w:val="22"/>
              </w:rPr>
              <w:t xml:space="preserve">−32,768 … 32,767</w:t>
            </w:r>
          </w:p>
        </w:tc>
      </w:tr>
    </w:tbl>
    <w:p>
      <w:pPr>
        <w:spacing w:after="200" w:before="80"/>
        <w:jc w:val="center"/>
      </w:pPr>
      <w:r>
        <w:rPr>
          <w:i/>
          <w:iCs/>
          <w:color w:val="595959"/>
          <w:sz w:val="20"/>
          <w:szCs w:val="20"/>
        </w:rPr>
        <w:t xml:space="preserve">Table 2. Bit-width derivation from worst-case growth. Each stage width is the minimum that avoids loss.</w:t>
      </w:r>
    </w:p>
    <w:p>
      <w:pPr>
        <w:spacing w:after="120" w:line="276"/>
        <w:jc w:val="both"/>
      </w:pPr>
      <w:r>
        <w:rPr>
          <w:b/>
          <w:bCs/>
        </w:rPr>
        <w:t xml:space="preserve">Measured ranges (golden-model evidence).  </w:t>
      </w:r>
      <w:r>
        <w:t xml:space="preserve">The theoretical 20-bit accumulator bound assumes a pathological kernel. For the actual target kernels, the measured accumulator ranges over the test images (random, horizontal ramp, ring, and an all-maximum stress image) are far smaller, and no real kernel saturates the 16-bit output:</w:t>
      </w:r>
    </w:p>
    <w:tbl>
      <w:tblPr>
        <w:tblW w:type="dxa" w:w="88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2600"/>
        <w:gridCol w:w="3600"/>
      </w:tblGrid>
      <w:tr>
        <w:trPr>
          <w:tblHeader/>
        </w:trPr>
        <w:tc>
          <w:tcPr>
            <w:tcW w:type="dxa" w:w="2600"/>
            <w:shd w:fill="1F4E79" w:val="clear"/>
            <w:tcMar>
              <w:top w:type="dxa" w:w="60"/>
              <w:left w:type="dxa" w:w="100"/>
              <w:bottom w:type="dxa" w:w="60"/>
              <w:right w:type="dxa" w:w="100"/>
            </w:tcMar>
          </w:tcPr>
          <w:p>
            <w:pPr>
              <w:jc w:val="center"/>
            </w:pPr>
            <w:r>
              <w:rPr>
                <w:b/>
                <w:bCs/>
                <w:sz w:val="22"/>
                <w:szCs w:val="22"/>
              </w:rPr>
              <w:t xml:space="preserve">Kernel</w:t>
            </w:r>
          </w:p>
        </w:tc>
        <w:tc>
          <w:tcPr>
            <w:tcW w:type="dxa" w:w="2600"/>
            <w:shd w:fill="1F4E79" w:val="clear"/>
            <w:tcMar>
              <w:top w:type="dxa" w:w="60"/>
              <w:left w:type="dxa" w:w="100"/>
              <w:bottom w:type="dxa" w:w="60"/>
              <w:right w:type="dxa" w:w="100"/>
            </w:tcMar>
          </w:tcPr>
          <w:p>
            <w:pPr>
              <w:jc w:val="center"/>
            </w:pPr>
            <w:r>
              <w:rPr>
                <w:b/>
                <w:bCs/>
                <w:sz w:val="22"/>
                <w:szCs w:val="22"/>
              </w:rPr>
              <w:t xml:space="preserve">Measured acc range</w:t>
            </w:r>
          </w:p>
        </w:tc>
        <w:tc>
          <w:tcPr>
            <w:tcW w:type="dxa" w:w="3600"/>
            <w:shd w:fill="1F4E79" w:val="clear"/>
            <w:tcMar>
              <w:top w:type="dxa" w:w="60"/>
              <w:left w:type="dxa" w:w="100"/>
              <w:bottom w:type="dxa" w:w="60"/>
              <w:right w:type="dxa" w:w="100"/>
            </w:tcMar>
          </w:tcPr>
          <w:p>
            <w:pPr>
              <w:jc w:val="center"/>
            </w:pPr>
            <w:r>
              <w:rPr>
                <w:b/>
                <w:bCs/>
                <w:sz w:val="22"/>
                <w:szCs w:val="22"/>
              </w:rPr>
              <w:t xml:space="preserve">16-bit output status</w:t>
            </w:r>
          </w:p>
        </w:tc>
      </w:tr>
      <w:tr>
        <w:tc>
          <w:tcPr>
            <w:tcW w:type="dxa" w:w="2600"/>
            <w:tcMar>
              <w:top w:type="dxa" w:w="60"/>
              <w:left w:type="dxa" w:w="100"/>
              <w:bottom w:type="dxa" w:w="60"/>
              <w:right w:type="dxa" w:w="100"/>
            </w:tcMar>
          </w:tcPr>
          <w:p>
            <w:pPr>
              <w:jc w:val="left"/>
            </w:pPr>
            <w:r>
              <w:rPr>
                <w:b w:val="false"/>
                <w:bCs w:val="false"/>
                <w:sz w:val="22"/>
                <w:szCs w:val="22"/>
              </w:rPr>
              <w:t xml:space="preserve">identity</w:t>
            </w:r>
          </w:p>
        </w:tc>
        <w:tc>
          <w:tcPr>
            <w:tcW w:type="dxa" w:w="2600"/>
            <w:tcMar>
              <w:top w:type="dxa" w:w="60"/>
              <w:left w:type="dxa" w:w="100"/>
              <w:bottom w:type="dxa" w:w="60"/>
              <w:right w:type="dxa" w:w="100"/>
            </w:tcMar>
          </w:tcPr>
          <w:p>
            <w:pPr>
              <w:jc w:val="left"/>
            </w:pPr>
            <w:r>
              <w:rPr>
                <w:rFonts w:ascii="Consolas" w:cs="Consolas" w:eastAsia="Consolas" w:hAnsi="Consolas"/>
                <w:b w:val="false"/>
                <w:bCs w:val="false"/>
                <w:sz w:val="20"/>
                <w:szCs w:val="20"/>
              </w:rPr>
              <w:t xml:space="preserve">0 … 255</w:t>
            </w:r>
          </w:p>
        </w:tc>
        <w:tc>
          <w:tcPr>
            <w:tcW w:type="dxa" w:w="3600"/>
            <w:tcMar>
              <w:top w:type="dxa" w:w="60"/>
              <w:left w:type="dxa" w:w="100"/>
              <w:bottom w:type="dxa" w:w="60"/>
              <w:right w:type="dxa" w:w="100"/>
            </w:tcMar>
          </w:tcPr>
          <w:p>
            <w:pPr>
              <w:jc w:val="left"/>
            </w:pPr>
            <w:r>
              <w:rPr>
                <w:b w:val="false"/>
                <w:bCs w:val="false"/>
                <w:sz w:val="22"/>
                <w:szCs w:val="22"/>
              </w:rPr>
              <w:t xml:space="preserve">within range</w:t>
            </w:r>
          </w:p>
        </w:tc>
      </w:tr>
      <w:tr>
        <w:tc>
          <w:tcPr>
            <w:tcW w:type="dxa" w:w="2600"/>
            <w:tcMar>
              <w:top w:type="dxa" w:w="60"/>
              <w:left w:type="dxa" w:w="100"/>
              <w:bottom w:type="dxa" w:w="60"/>
              <w:right w:type="dxa" w:w="100"/>
            </w:tcMar>
          </w:tcPr>
          <w:p>
            <w:pPr>
              <w:jc w:val="left"/>
            </w:pPr>
            <w:r>
              <w:rPr>
                <w:b w:val="false"/>
                <w:bCs w:val="false"/>
                <w:sz w:val="22"/>
                <w:szCs w:val="22"/>
              </w:rPr>
              <w:t xml:space="preserve">sobel_x</w:t>
            </w:r>
          </w:p>
        </w:tc>
        <w:tc>
          <w:tcPr>
            <w:tcW w:type="dxa" w:w="2600"/>
            <w:tcMar>
              <w:top w:type="dxa" w:w="60"/>
              <w:left w:type="dxa" w:w="100"/>
              <w:bottom w:type="dxa" w:w="60"/>
              <w:right w:type="dxa" w:w="100"/>
            </w:tcMar>
          </w:tcPr>
          <w:p>
            <w:pPr>
              <w:jc w:val="left"/>
            </w:pPr>
            <w:r>
              <w:rPr>
                <w:rFonts w:ascii="Consolas" w:cs="Consolas" w:eastAsia="Consolas" w:hAnsi="Consolas"/>
                <w:b w:val="false"/>
                <w:bCs w:val="false"/>
                <w:sz w:val="20"/>
                <w:szCs w:val="20"/>
              </w:rPr>
              <w:t xml:space="preserve">−1,020 … 1,020</w:t>
            </w:r>
          </w:p>
        </w:tc>
        <w:tc>
          <w:tcPr>
            <w:tcW w:type="dxa" w:w="3600"/>
            <w:tcMar>
              <w:top w:type="dxa" w:w="60"/>
              <w:left w:type="dxa" w:w="100"/>
              <w:bottom w:type="dxa" w:w="60"/>
              <w:right w:type="dxa" w:w="100"/>
            </w:tcMar>
          </w:tcPr>
          <w:p>
            <w:pPr>
              <w:jc w:val="left"/>
            </w:pPr>
            <w:r>
              <w:rPr>
                <w:b w:val="false"/>
                <w:bCs w:val="false"/>
                <w:sz w:val="22"/>
                <w:szCs w:val="22"/>
              </w:rPr>
              <w:t xml:space="preserve">within range</w:t>
            </w:r>
          </w:p>
        </w:tc>
      </w:tr>
      <w:tr>
        <w:tc>
          <w:tcPr>
            <w:tcW w:type="dxa" w:w="2600"/>
            <w:tcMar>
              <w:top w:type="dxa" w:w="60"/>
              <w:left w:type="dxa" w:w="100"/>
              <w:bottom w:type="dxa" w:w="60"/>
              <w:right w:type="dxa" w:w="100"/>
            </w:tcMar>
          </w:tcPr>
          <w:p>
            <w:pPr>
              <w:jc w:val="left"/>
            </w:pPr>
            <w:r>
              <w:rPr>
                <w:b w:val="false"/>
                <w:bCs w:val="false"/>
                <w:sz w:val="22"/>
                <w:szCs w:val="22"/>
              </w:rPr>
              <w:t xml:space="preserve">sobel_y</w:t>
            </w:r>
          </w:p>
        </w:tc>
        <w:tc>
          <w:tcPr>
            <w:tcW w:type="dxa" w:w="2600"/>
            <w:tcMar>
              <w:top w:type="dxa" w:w="60"/>
              <w:left w:type="dxa" w:w="100"/>
              <w:bottom w:type="dxa" w:w="60"/>
              <w:right w:type="dxa" w:w="100"/>
            </w:tcMar>
          </w:tcPr>
          <w:p>
            <w:pPr>
              <w:jc w:val="left"/>
            </w:pPr>
            <w:r>
              <w:rPr>
                <w:rFonts w:ascii="Consolas" w:cs="Consolas" w:eastAsia="Consolas" w:hAnsi="Consolas"/>
                <w:b w:val="false"/>
                <w:bCs w:val="false"/>
                <w:sz w:val="20"/>
                <w:szCs w:val="20"/>
              </w:rPr>
              <w:t xml:space="preserve">−1,020 … 1,020</w:t>
            </w:r>
          </w:p>
        </w:tc>
        <w:tc>
          <w:tcPr>
            <w:tcW w:type="dxa" w:w="3600"/>
            <w:tcMar>
              <w:top w:type="dxa" w:w="60"/>
              <w:left w:type="dxa" w:w="100"/>
              <w:bottom w:type="dxa" w:w="60"/>
              <w:right w:type="dxa" w:w="100"/>
            </w:tcMar>
          </w:tcPr>
          <w:p>
            <w:pPr>
              <w:jc w:val="left"/>
            </w:pPr>
            <w:r>
              <w:rPr>
                <w:b w:val="false"/>
                <w:bCs w:val="false"/>
                <w:sz w:val="22"/>
                <w:szCs w:val="22"/>
              </w:rPr>
              <w:t xml:space="preserve">within range</w:t>
            </w:r>
          </w:p>
        </w:tc>
      </w:tr>
      <w:tr>
        <w:tc>
          <w:tcPr>
            <w:tcW w:type="dxa" w:w="2600"/>
            <w:tcMar>
              <w:top w:type="dxa" w:w="60"/>
              <w:left w:type="dxa" w:w="100"/>
              <w:bottom w:type="dxa" w:w="60"/>
              <w:right w:type="dxa" w:w="100"/>
            </w:tcMar>
          </w:tcPr>
          <w:p>
            <w:pPr>
              <w:jc w:val="left"/>
            </w:pPr>
            <w:r>
              <w:rPr>
                <w:b w:val="false"/>
                <w:bCs w:val="false"/>
                <w:sz w:val="22"/>
                <w:szCs w:val="22"/>
              </w:rPr>
              <w:t xml:space="preserve">sharpen</w:t>
            </w:r>
          </w:p>
        </w:tc>
        <w:tc>
          <w:tcPr>
            <w:tcW w:type="dxa" w:w="2600"/>
            <w:tcMar>
              <w:top w:type="dxa" w:w="60"/>
              <w:left w:type="dxa" w:w="100"/>
              <w:bottom w:type="dxa" w:w="60"/>
              <w:right w:type="dxa" w:w="100"/>
            </w:tcMar>
          </w:tcPr>
          <w:p>
            <w:pPr>
              <w:jc w:val="left"/>
            </w:pPr>
            <w:r>
              <w:rPr>
                <w:rFonts w:ascii="Consolas" w:cs="Consolas" w:eastAsia="Consolas" w:hAnsi="Consolas"/>
                <w:b w:val="false"/>
                <w:bCs w:val="false"/>
                <w:sz w:val="20"/>
                <w:szCs w:val="20"/>
              </w:rPr>
              <w:t xml:space="preserve">−762 … 1,003</w:t>
            </w:r>
          </w:p>
        </w:tc>
        <w:tc>
          <w:tcPr>
            <w:tcW w:type="dxa" w:w="3600"/>
            <w:tcMar>
              <w:top w:type="dxa" w:w="60"/>
              <w:left w:type="dxa" w:w="100"/>
              <w:bottom w:type="dxa" w:w="60"/>
              <w:right w:type="dxa" w:w="100"/>
            </w:tcMar>
          </w:tcPr>
          <w:p>
            <w:pPr>
              <w:jc w:val="left"/>
            </w:pPr>
            <w:r>
              <w:rPr>
                <w:b w:val="false"/>
                <w:bCs w:val="false"/>
                <w:sz w:val="22"/>
                <w:szCs w:val="22"/>
              </w:rPr>
              <w:t xml:space="preserve">within range</w:t>
            </w:r>
          </w:p>
        </w:tc>
      </w:tr>
      <w:tr>
        <w:tc>
          <w:tcPr>
            <w:tcW w:type="dxa" w:w="2600"/>
            <w:tcMar>
              <w:top w:type="dxa" w:w="60"/>
              <w:left w:type="dxa" w:w="100"/>
              <w:bottom w:type="dxa" w:w="60"/>
              <w:right w:type="dxa" w:w="100"/>
            </w:tcMar>
          </w:tcPr>
          <w:p>
            <w:pPr>
              <w:jc w:val="left"/>
            </w:pPr>
            <w:r>
              <w:rPr>
                <w:b w:val="false"/>
                <w:bCs w:val="false"/>
                <w:sz w:val="22"/>
                <w:szCs w:val="22"/>
              </w:rPr>
              <w:t xml:space="preserve">laplacian</w:t>
            </w:r>
          </w:p>
        </w:tc>
        <w:tc>
          <w:tcPr>
            <w:tcW w:type="dxa" w:w="2600"/>
            <w:tcMar>
              <w:top w:type="dxa" w:w="60"/>
              <w:left w:type="dxa" w:w="100"/>
              <w:bottom w:type="dxa" w:w="60"/>
              <w:right w:type="dxa" w:w="100"/>
            </w:tcMar>
          </w:tcPr>
          <w:p>
            <w:pPr>
              <w:jc w:val="left"/>
            </w:pPr>
            <w:r>
              <w:rPr>
                <w:rFonts w:ascii="Consolas" w:cs="Consolas" w:eastAsia="Consolas" w:hAnsi="Consolas"/>
                <w:b w:val="false"/>
                <w:bCs w:val="false"/>
                <w:sz w:val="20"/>
                <w:szCs w:val="20"/>
              </w:rPr>
              <w:t xml:space="preserve">−756 … 787</w:t>
            </w:r>
          </w:p>
        </w:tc>
        <w:tc>
          <w:tcPr>
            <w:tcW w:type="dxa" w:w="3600"/>
            <w:tcMar>
              <w:top w:type="dxa" w:w="60"/>
              <w:left w:type="dxa" w:w="100"/>
              <w:bottom w:type="dxa" w:w="60"/>
              <w:right w:type="dxa" w:w="100"/>
            </w:tcMar>
          </w:tcPr>
          <w:p>
            <w:pPr>
              <w:jc w:val="left"/>
            </w:pPr>
            <w:r>
              <w:rPr>
                <w:b w:val="false"/>
                <w:bCs w:val="false"/>
                <w:sz w:val="22"/>
                <w:szCs w:val="22"/>
              </w:rPr>
              <w:t xml:space="preserve">within range</w:t>
            </w:r>
          </w:p>
        </w:tc>
      </w:tr>
      <w:tr>
        <w:tc>
          <w:tcPr>
            <w:tcW w:type="dxa" w:w="2600"/>
            <w:tcMar>
              <w:top w:type="dxa" w:w="60"/>
              <w:left w:type="dxa" w:w="100"/>
              <w:bottom w:type="dxa" w:w="60"/>
              <w:right w:type="dxa" w:w="100"/>
            </w:tcMar>
          </w:tcPr>
          <w:p>
            <w:pPr>
              <w:jc w:val="left"/>
            </w:pPr>
            <w:r>
              <w:rPr>
                <w:b w:val="false"/>
                <w:bCs w:val="false"/>
                <w:sz w:val="22"/>
                <w:szCs w:val="22"/>
              </w:rPr>
              <w:t xml:space="preserve">box (integer sum)</w:t>
            </w:r>
          </w:p>
        </w:tc>
        <w:tc>
          <w:tcPr>
            <w:tcW w:type="dxa" w:w="2600"/>
            <w:tcMar>
              <w:top w:type="dxa" w:w="60"/>
              <w:left w:type="dxa" w:w="100"/>
              <w:bottom w:type="dxa" w:w="60"/>
              <w:right w:type="dxa" w:w="100"/>
            </w:tcMar>
          </w:tcPr>
          <w:p>
            <w:pPr>
              <w:jc w:val="left"/>
            </w:pPr>
            <w:r>
              <w:rPr>
                <w:rFonts w:ascii="Consolas" w:cs="Consolas" w:eastAsia="Consolas" w:hAnsi="Consolas"/>
                <w:b w:val="false"/>
                <w:bCs w:val="false"/>
                <w:sz w:val="20"/>
                <w:szCs w:val="20"/>
              </w:rPr>
              <w:t xml:space="preserve">0 … 2,295</w:t>
            </w:r>
          </w:p>
        </w:tc>
        <w:tc>
          <w:tcPr>
            <w:tcW w:type="dxa" w:w="3600"/>
            <w:tcMar>
              <w:top w:type="dxa" w:w="60"/>
              <w:left w:type="dxa" w:w="100"/>
              <w:bottom w:type="dxa" w:w="60"/>
              <w:right w:type="dxa" w:w="100"/>
            </w:tcMar>
          </w:tcPr>
          <w:p>
            <w:pPr>
              <w:jc w:val="left"/>
            </w:pPr>
            <w:r>
              <w:rPr>
                <w:b w:val="false"/>
                <w:bCs w:val="false"/>
                <w:sz w:val="22"/>
                <w:szCs w:val="22"/>
              </w:rPr>
              <w:t xml:space="preserve">within range</w:t>
            </w:r>
          </w:p>
        </w:tc>
      </w:tr>
    </w:tbl>
    <w:p>
      <w:pPr>
        <w:spacing w:after="200" w:before="80"/>
        <w:jc w:val="center"/>
      </w:pPr>
      <w:r>
        <w:rPr>
          <w:i/>
          <w:iCs/>
          <w:color w:val="595959"/>
          <w:sz w:val="20"/>
          <w:szCs w:val="20"/>
        </w:rPr>
        <w:t xml:space="preserve">Table 3. Measured accumulator ranges from the Python golden model across all test images. The 20-bit accumulator is sized for the theoretical worst case (293,760); real edge kernels use a small fraction of it, and none saturate the 16-bit output — the saturation stage is a correctness guarantee, not a routine operation.</w:t>
      </w:r>
    </w:p>
    <w:p>
      <w:pPr>
        <w:spacing w:after="120" w:line="276"/>
        <w:jc w:val="both"/>
      </w:pPr>
      <w:r>
        <w:t xml:space="preserve">This two-part result is the justification for the chosen widths: the </w:t>
      </w:r>
      <w:r>
        <w:rPr>
          <w:b/>
          <w:bCs/>
        </w:rPr>
        <w:t xml:space="preserve">20-bit accumulator</w:t>
      </w:r>
      <w:r>
        <w:t xml:space="preserve"> guarantees losslessness for </w:t>
      </w:r>
      <w:r>
        <w:rPr>
          <w:b/>
          <w:bCs/>
        </w:rPr>
        <w:t xml:space="preserve">any</w:t>
      </w:r>
      <w:r>
        <w:t xml:space="preserve"> admissible input, while the measured ranges confirm that the </w:t>
      </w:r>
      <w:r>
        <w:rPr>
          <w:b/>
          <w:bCs/>
        </w:rPr>
        <w:t xml:space="preserve">16-bit saturating output</w:t>
      </w:r>
      <w:r>
        <w:t xml:space="preserve"> is more than adequate for the intended edge-detection workload, with saturation serving as a safety clamp rather than a frequent event.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3×3 Edge-AI Convolution Accelerator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444e4fcb6728293ccf167afb8bb95c518ab5c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SSCS 2026 Conv Accelerator</dc:creator>
  <cp:lastModifiedBy>Un-named</cp:lastModifiedBy>
  <cp:revision>1</cp:revision>
  <dcterms:created xsi:type="dcterms:W3CDTF">2026-08-25T15:21:22.491Z</dcterms:created>
  <dcterms:modified xsi:type="dcterms:W3CDTF">2026-08-25T15:21:22.503Z</dcterms:modified>
</cp:coreProperties>
</file>

<file path=docProps/custom.xml><?xml version="1.0" encoding="utf-8"?>
<Properties xmlns="http://schemas.openxmlformats.org/officeDocument/2006/custom-properties" xmlns:vt="http://schemas.openxmlformats.org/officeDocument/2006/docPropsVTypes"/>
</file>