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5 — Trial Balance Alignment</w:t>
      </w:r>
    </w:p>
    <w:p>
      <w:pPr>
        <w:spacing w:after="280" w:before="0"/>
      </w:pPr>
      <w:r>
        <w:rPr>
          <w:rFonts w:ascii="Arial" w:cs="Arial" w:eastAsia="Arial" w:hAnsi="Arial"/>
          <w:i/>
          <w:iCs/>
          <w:color w:val="6B7280"/>
          <w:sz w:val="26"/>
          <w:szCs w:val="26"/>
        </w:rPr>
        <w:t xml:space="preserve">Skeleton spec  •  v2 (updated with bookkeeper input + Xero MD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b/>
                <w:bCs/>
                <w:color w:val="111827"/>
                <w:sz w:val="22"/>
                <w:szCs w:val="22"/>
              </w:rPr>
              <w:t xml:space="preserve">Update — May 2026.</w:t>
            </w:r>
            <w:r>
              <w:rPr>
                <w:rFonts w:ascii="Arial" w:cs="Arial" w:eastAsia="Arial" w:hAnsi="Arial"/>
                <w:color w:val="111827"/>
                <w:sz w:val="22"/>
                <w:szCs w:val="22"/>
              </w:rPr>
              <w:t xml:space="preserve"> Significant new input: workshop bookkeeper reports 30-40 alignments per year are realistic for a single mid-sized practice (12 entities × 2-3 years of adjustments). Time per alignment ranges from 2-3 hours (simple) to 6-10+ hours (complex). A Xero-specific comparative-review approach has also been drafted in detail and is treated here as the v1 implementation. MYOB / QBO / FreeAgent support are scoped for v2+.</w:t>
            </w:r>
          </w:p>
        </w:tc>
      </w:tr>
    </w:tbl>
    <w:p>
      <w:pPr>
        <w:spacing w:after="100"/>
      </w:pPr>
      <w:r>
        <w:t xml:space="preserve"/>
      </w:r>
    </w:p>
    <w:p>
      <w:pPr>
        <w:pStyle w:val="Heading2"/>
        <w:spacing w:after="160" w:before="300"/>
      </w:pPr>
      <w:r>
        <w:rPr>
          <w:rFonts w:ascii="Arial" w:cs="Arial" w:eastAsia="Arial" w:hAnsi="Arial"/>
          <w:b/>
          <w:bCs/>
          <w:color w:val="1F2937"/>
          <w:sz w:val="30"/>
          <w:szCs w:val="30"/>
        </w:rPr>
        <w:t xml:space="preserve">Name and one-line purpose</w:t>
      </w:r>
    </w:p>
    <w:p>
      <w:pPr>
        <w:spacing w:after="140" w:before="0"/>
      </w:pPr>
      <w:r>
        <w:rPr>
          <w:rFonts w:ascii="Arial" w:cs="Arial" w:eastAsia="Arial" w:hAnsi="Arial"/>
          <w:b/>
          <w:bCs/>
          <w:color w:val="111827"/>
          <w:sz w:val="22"/>
          <w:szCs w:val="22"/>
        </w:rPr>
        <w:t xml:space="preserve">Trial Balance Alignment</w:t>
      </w:r>
    </w:p>
    <w:p>
      <w:pPr>
        <w:spacing w:after="140" w:before="0"/>
      </w:pPr>
      <w:r>
        <w:rPr>
          <w:rFonts w:ascii="Arial" w:cs="Arial" w:eastAsia="Arial" w:hAnsi="Arial"/>
          <w:color w:val="111827"/>
          <w:sz w:val="22"/>
          <w:szCs w:val="22"/>
        </w:rPr>
        <w:t xml:space="preserve">Reconciles a client's trial balance (extracted from the accounting system) against the accountant's financial statements, identifies every variance, and produces a journal-ready review document with the manual journal entries the bookkeeper needs to post. The plugin produces the analysis and the journal recommendation — it does not post journals; the bookkeeper does that themselves in the accounting system.</w:t>
      </w:r>
    </w:p>
    <w:p>
      <w:pPr>
        <w:pStyle w:val="Heading2"/>
        <w:spacing w:after="160" w:before="300"/>
      </w:pPr>
      <w:r>
        <w:rPr>
          <w:rFonts w:ascii="Arial" w:cs="Arial" w:eastAsia="Arial" w:hAnsi="Arial"/>
          <w:b/>
          <w:bCs/>
          <w:color w:val="1F2937"/>
          <w:sz w:val="30"/>
          <w:szCs w:val="30"/>
        </w:rPr>
        <w:t xml:space="preserve">Target user</w:t>
      </w:r>
    </w:p>
    <w:p>
      <w:pPr>
        <w:pStyle w:val="ListParagraph"/>
        <w:numPr>
          <w:ilvl w:val="0"/>
          <w:numId w:val="2"/>
        </w:numPr>
        <w:spacing w:after="80"/>
      </w:pPr>
      <w:r>
        <w:rPr>
          <w:rFonts w:ascii="Arial" w:cs="Arial" w:eastAsia="Arial" w:hAnsi="Arial"/>
          <w:b/>
          <w:bCs/>
          <w:color w:val="111827"/>
          <w:sz w:val="22"/>
          <w:szCs w:val="22"/>
        </w:rPr>
        <w:t xml:space="preserve">Bookkeepers</w:t>
      </w:r>
      <w:r>
        <w:rPr>
          <w:rFonts w:ascii="Arial" w:cs="Arial" w:eastAsia="Arial" w:hAnsi="Arial"/>
          <w:color w:val="111827"/>
          <w:sz w:val="22"/>
          <w:szCs w:val="22"/>
        </w:rPr>
        <w:t xml:space="preserve">, primarily — they're the ones receiving the accountant's financials and doing the alignment work today. They run the plugin and review the output.</w:t>
      </w:r>
    </w:p>
    <w:p>
      <w:pPr>
        <w:pStyle w:val="ListParagraph"/>
        <w:numPr>
          <w:ilvl w:val="0"/>
          <w:numId w:val="2"/>
        </w:numPr>
        <w:spacing w:after="80"/>
      </w:pPr>
      <w:r>
        <w:rPr>
          <w:rFonts w:ascii="Arial" w:cs="Arial" w:eastAsia="Arial" w:hAnsi="Arial"/>
          <w:b/>
          <w:bCs/>
          <w:color w:val="111827"/>
          <w:sz w:val="22"/>
          <w:szCs w:val="22"/>
        </w:rPr>
        <w:t xml:space="preserve">Accountants</w:t>
      </w:r>
      <w:r>
        <w:rPr>
          <w:rFonts w:ascii="Arial" w:cs="Arial" w:eastAsia="Arial" w:hAnsi="Arial"/>
          <w:color w:val="111827"/>
          <w:sz w:val="22"/>
          <w:szCs w:val="22"/>
        </w:rPr>
        <w:t xml:space="preserve"> may be secondary readers if they want visibility into the journals being posted from their financials.</w:t>
      </w:r>
    </w:p>
    <w:p>
      <w:pPr>
        <w:spacing w:after="140" w:before="0"/>
      </w:pPr>
      <w:r>
        <w:rPr>
          <w:rFonts w:ascii="Arial" w:cs="Arial" w:eastAsia="Arial" w:hAnsi="Arial"/>
          <w:color w:val="111827"/>
          <w:sz w:val="22"/>
          <w:szCs w:val="22"/>
        </w:rPr>
        <w:t xml:space="preserve">Cohort: </w:t>
      </w:r>
      <w:r>
        <w:rPr>
          <w:rFonts w:ascii="Arial" w:cs="Arial" w:eastAsia="Arial" w:hAnsi="Arial"/>
          <w:b/>
          <w:bCs/>
          <w:color w:val="111827"/>
          <w:sz w:val="22"/>
          <w:szCs w:val="22"/>
        </w:rPr>
        <w:t xml:space="preserve">established customers</w:t>
      </w:r>
      <w:r>
        <w:rPr>
          <w:rFonts w:ascii="Arial" w:cs="Arial" w:eastAsia="Arial" w:hAnsi="Arial"/>
          <w:color w:val="111827"/>
          <w:sz w:val="22"/>
          <w:szCs w:val="22"/>
        </w:rPr>
        <w:t xml:space="preserve">. The trigger is event-driven — the moment the accountant sends back financials, typically year-end but can be more frequent.</w:t>
      </w:r>
    </w:p>
    <w:p>
      <w:pPr>
        <w:pStyle w:val="Heading2"/>
        <w:spacing w:after="160" w:before="300"/>
      </w:pPr>
      <w:r>
        <w:rPr>
          <w:rFonts w:ascii="Arial" w:cs="Arial" w:eastAsia="Arial" w:hAnsi="Arial"/>
          <w:b/>
          <w:bCs/>
          <w:color w:val="1F2937"/>
          <w:sz w:val="30"/>
          <w:szCs w:val="30"/>
        </w:rPr>
        <w:t xml:space="preserve">Measurable benefit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b/>
                <w:bCs/>
                <w:color w:val="111827"/>
                <w:sz w:val="22"/>
                <w:szCs w:val="22"/>
              </w:rPr>
              <w:t xml:space="preserve">Workshop input (anonymised):</w:t>
            </w:r>
            <w:r>
              <w:rPr>
                <w:rFonts w:ascii="Arial" w:cs="Arial" w:eastAsia="Arial" w:hAnsi="Arial"/>
                <w:color w:val="111827"/>
                <w:sz w:val="22"/>
                <w:szCs w:val="22"/>
              </w:rPr>
              <w:t xml:space="preserve"> A single mid-sized practice has 12 entities, each with 2-3 years of adjustments to do — that's 30-40 alignments a year. Simple alignments take 2-3 hours each; complex ones 6-10+ hours. That's a range of roughly </w:t>
            </w:r>
            <w:r>
              <w:rPr>
                <w:rFonts w:ascii="Arial" w:cs="Arial" w:eastAsia="Arial" w:hAnsi="Arial"/>
                <w:b/>
                <w:bCs/>
                <w:color w:val="111827"/>
                <w:sz w:val="22"/>
                <w:szCs w:val="22"/>
              </w:rPr>
              <w:t xml:space="preserve">80-300+ hours per year per practice</w:t>
            </w:r>
            <w:r>
              <w:rPr>
                <w:rFonts w:ascii="Arial" w:cs="Arial" w:eastAsia="Arial" w:hAnsi="Arial"/>
                <w:color w:val="111827"/>
                <w:sz w:val="22"/>
                <w:szCs w:val="22"/>
              </w:rPr>
              <w:t xml:space="preserve"> of work the plugin is targeting for automation. At typical Australian bookkeeper rates, the cost-of-time figure on this is significant — easily in the tens of thousands of dollars per practice per year.</w:t>
            </w:r>
          </w:p>
        </w:tc>
      </w:tr>
    </w:tbl>
    <w:p>
      <w:pPr>
        <w:spacing w:after="100"/>
      </w:pPr>
      <w:r>
        <w:t xml:space="preserve"/>
      </w:r>
    </w:p>
    <w:p>
      <w:pPr>
        <w:spacing w:after="140" w:before="0"/>
      </w:pPr>
      <w:r>
        <w:rPr>
          <w:rFonts w:ascii="Arial" w:cs="Arial" w:eastAsia="Arial" w:hAnsi="Arial"/>
          <w:color w:val="111827"/>
          <w:sz w:val="22"/>
          <w:szCs w:val="22"/>
        </w:rPr>
        <w:t xml:space="preserve">Primary benefits, in order of impact:</w:t>
      </w:r>
    </w:p>
    <w:p>
      <w:pPr>
        <w:pStyle w:val="ListParagraph"/>
        <w:numPr>
          <w:ilvl w:val="0"/>
          <w:numId w:val="2"/>
        </w:numPr>
        <w:spacing w:after="80"/>
      </w:pPr>
      <w:r>
        <w:rPr>
          <w:rFonts w:ascii="Arial" w:cs="Arial" w:eastAsia="Arial" w:hAnsi="Arial"/>
          <w:b/>
          <w:bCs/>
          <w:color w:val="111827"/>
          <w:sz w:val="22"/>
          <w:szCs w:val="22"/>
        </w:rPr>
        <w:t xml:space="preserve">Time saved per alignment</w:t>
      </w:r>
      <w:r>
        <w:rPr>
          <w:rFonts w:ascii="Arial" w:cs="Arial" w:eastAsia="Arial" w:hAnsi="Arial"/>
          <w:color w:val="111827"/>
          <w:sz w:val="22"/>
          <w:szCs w:val="22"/>
        </w:rPr>
        <w:t xml:space="preserve"> — the plugin replaces the manual extraction, matching, variance calculation, and journal-drafting work. Realistic order of magnitude is 60-80% time saving on simple alignments (3 hours → 30-60 minutes) and a larger absolute saving on complex ones (10 hours → 1-2 hours).</w:t>
      </w:r>
    </w:p>
    <w:p>
      <w:pPr>
        <w:pStyle w:val="ListParagraph"/>
        <w:numPr>
          <w:ilvl w:val="0"/>
          <w:numId w:val="2"/>
        </w:numPr>
        <w:spacing w:after="80"/>
      </w:pPr>
      <w:r>
        <w:rPr>
          <w:rFonts w:ascii="Arial" w:cs="Arial" w:eastAsia="Arial" w:hAnsi="Arial"/>
          <w:b/>
          <w:bCs/>
          <w:color w:val="111827"/>
          <w:sz w:val="22"/>
          <w:szCs w:val="22"/>
        </w:rPr>
        <w:t xml:space="preserve">Error reduction</w:t>
      </w:r>
      <w:r>
        <w:rPr>
          <w:rFonts w:ascii="Arial" w:cs="Arial" w:eastAsia="Arial" w:hAnsi="Arial"/>
          <w:color w:val="111827"/>
          <w:sz w:val="22"/>
          <w:szCs w:val="22"/>
        </w:rPr>
        <w:t xml:space="preserve"> — manual matching of account names, computing variances, and drafting journal entries is exactly the kind of work that introduces mistakes. The plugin produces formula-driven variance columns and zero-tolerance balance checks (any non-zero residual is flagged, however small).</w:t>
      </w:r>
    </w:p>
    <w:p>
      <w:pPr>
        <w:pStyle w:val="ListParagraph"/>
        <w:numPr>
          <w:ilvl w:val="0"/>
          <w:numId w:val="2"/>
        </w:numPr>
        <w:spacing w:after="80"/>
      </w:pPr>
      <w:r>
        <w:rPr>
          <w:rFonts w:ascii="Arial" w:cs="Arial" w:eastAsia="Arial" w:hAnsi="Arial"/>
          <w:b/>
          <w:bCs/>
          <w:color w:val="111827"/>
          <w:sz w:val="22"/>
          <w:szCs w:val="22"/>
        </w:rPr>
        <w:t xml:space="preserve">Audit trail</w:t>
      </w:r>
      <w:r>
        <w:rPr>
          <w:rFonts w:ascii="Arial" w:cs="Arial" w:eastAsia="Arial" w:hAnsi="Arial"/>
          <w:color w:val="111827"/>
          <w:sz w:val="22"/>
          <w:szCs w:val="22"/>
        </w:rPr>
        <w:t xml:space="preserve"> — a clear record of what came from the accounting system, what came from the accountant's document, where they aligned, where they differed, and the journal(s) that resolve each difference. Useful when the bookkeeper needs to defend the adjustments to the accountant or to a future reviewer.</w:t>
      </w:r>
    </w:p>
    <w:p>
      <w:pPr>
        <w:pStyle w:val="ListParagraph"/>
        <w:numPr>
          <w:ilvl w:val="0"/>
          <w:numId w:val="2"/>
        </w:numPr>
        <w:spacing w:after="80"/>
      </w:pPr>
      <w:r>
        <w:rPr>
          <w:rFonts w:ascii="Arial" w:cs="Arial" w:eastAsia="Arial" w:hAnsi="Arial"/>
          <w:b/>
          <w:bCs/>
          <w:color w:val="111827"/>
          <w:sz w:val="22"/>
          <w:szCs w:val="22"/>
        </w:rPr>
        <w:t xml:space="preserve">Backlog clearance</w:t>
      </w:r>
      <w:r>
        <w:rPr>
          <w:rFonts w:ascii="Arial" w:cs="Arial" w:eastAsia="Arial" w:hAnsi="Arial"/>
          <w:color w:val="111827"/>
          <w:sz w:val="22"/>
          <w:szCs w:val="22"/>
        </w:rPr>
        <w:t xml:space="preserve"> — practices with 2-3 years of accumulated adjustments to apply face a meaningful productivity barrier; the plugin makes catching up actually feasible.</w:t>
      </w:r>
    </w:p>
    <w:p>
      <w:pPr>
        <w:pStyle w:val="Heading2"/>
        <w:spacing w:after="160" w:before="300"/>
      </w:pPr>
      <w:r>
        <w:rPr>
          <w:rFonts w:ascii="Arial" w:cs="Arial" w:eastAsia="Arial" w:hAnsi="Arial"/>
          <w:b/>
          <w:bCs/>
          <w:color w:val="1F2937"/>
          <w:sz w:val="30"/>
          <w:szCs w:val="30"/>
        </w:rPr>
        <w:t xml:space="preserve">Churn themes addressed (internal only)</w:t>
      </w:r>
    </w:p>
    <w:p>
      <w:pPr>
        <w:pStyle w:val="ListParagraph"/>
        <w:numPr>
          <w:ilvl w:val="0"/>
          <w:numId w:val="2"/>
        </w:numPr>
        <w:spacing w:after="80"/>
      </w:pPr>
      <w:r>
        <w:rPr>
          <w:rFonts w:ascii="Arial" w:cs="Arial" w:eastAsia="Arial" w:hAnsi="Arial"/>
          <w:b/>
          <w:bCs/>
          <w:color w:val="111827"/>
          <w:sz w:val="22"/>
          <w:szCs w:val="22"/>
        </w:rPr>
        <w:t xml:space="preserve">Low adoption</w:t>
      </w:r>
      <w:r>
        <w:rPr>
          <w:rFonts w:ascii="Arial" w:cs="Arial" w:eastAsia="Arial" w:hAnsi="Arial"/>
          <w:color w:val="111827"/>
          <w:sz w:val="22"/>
          <w:szCs w:val="22"/>
        </w:rPr>
        <w:t xml:space="preserve"> — solving a real, painful, recurring task is the kind of thing that gets the bookkeeper using XBert as a daily tool rather than something they pay for and don't use. Given the time-saved figure above, this is one of the strongest activation candidates in the top 5.</w:t>
      </w:r>
    </w:p>
    <w:p>
      <w:pPr>
        <w:pStyle w:val="ListParagraph"/>
        <w:numPr>
          <w:ilvl w:val="0"/>
          <w:numId w:val="2"/>
        </w:numPr>
        <w:spacing w:after="80"/>
      </w:pPr>
      <w:r>
        <w:rPr>
          <w:rFonts w:ascii="Arial" w:cs="Arial" w:eastAsia="Arial" w:hAnsi="Arial"/>
          <w:b/>
          <w:bCs/>
          <w:color w:val="111827"/>
          <w:sz w:val="22"/>
          <w:szCs w:val="22"/>
        </w:rPr>
        <w:t xml:space="preserve">Product gaps / poor support</w:t>
      </w:r>
      <w:r>
        <w:rPr>
          <w:rFonts w:ascii="Arial" w:cs="Arial" w:eastAsia="Arial" w:hAnsi="Arial"/>
          <w:color w:val="111827"/>
          <w:sz w:val="22"/>
          <w:szCs w:val="22"/>
        </w:rPr>
        <w:t xml:space="preserve"> — long-tenure customers waiting for advisory features. Trial balance alignment is exactly the kind of "the product does the boring part of advisory work for me" capability the mature-user cohort wants.</w:t>
      </w:r>
    </w:p>
    <w:p>
      <w:pPr>
        <w:pStyle w:val="ListParagraph"/>
        <w:numPr>
          <w:ilvl w:val="0"/>
          <w:numId w:val="2"/>
        </w:numPr>
        <w:spacing w:after="80"/>
      </w:pPr>
      <w:r>
        <w:rPr>
          <w:rFonts w:ascii="Arial" w:cs="Arial" w:eastAsia="Arial" w:hAnsi="Arial"/>
          <w:b/>
          <w:bCs/>
          <w:color w:val="111827"/>
          <w:sz w:val="22"/>
          <w:szCs w:val="22"/>
        </w:rPr>
        <w:t xml:space="preserve">Cost / ROI</w:t>
      </w:r>
      <w:r>
        <w:rPr>
          <w:rFonts w:ascii="Arial" w:cs="Arial" w:eastAsia="Arial" w:hAnsi="Arial"/>
          <w:color w:val="111827"/>
          <w:sz w:val="22"/>
          <w:szCs w:val="22"/>
        </w:rPr>
        <w:t xml:space="preserve"> — concrete, defensible time saving per use. With 30-40 alignments a year per practice in the worked example, the ROI calculation against an XBert subscription is straightforward.</w:t>
      </w:r>
    </w:p>
    <w:p>
      <w:pPr>
        <w:pStyle w:val="Heading2"/>
        <w:spacing w:after="160" w:before="300"/>
      </w:pPr>
      <w:r>
        <w:rPr>
          <w:rFonts w:ascii="Arial" w:cs="Arial" w:eastAsia="Arial" w:hAnsi="Arial"/>
          <w:b/>
          <w:bCs/>
          <w:color w:val="1F2937"/>
          <w:sz w:val="30"/>
          <w:szCs w:val="30"/>
        </w:rPr>
        <w:t xml:space="preserve">Inputs needed</w:t>
      </w:r>
    </w:p>
    <w:p>
      <w:pPr>
        <w:spacing w:after="140" w:before="0"/>
      </w:pPr>
      <w:r>
        <w:rPr>
          <w:rFonts w:ascii="Arial" w:cs="Arial" w:eastAsia="Arial" w:hAnsi="Arial"/>
          <w:b/>
          <w:bCs/>
          <w:color w:val="111827"/>
          <w:sz w:val="22"/>
          <w:szCs w:val="22"/>
        </w:rPr>
        <w:t xml:space="preserve">Two inputs, both needed:</w:t>
      </w:r>
    </w:p>
    <w:p>
      <w:pPr>
        <w:pStyle w:val="Heading3"/>
        <w:spacing w:after="120" w:before="240"/>
      </w:pPr>
      <w:r>
        <w:rPr>
          <w:rFonts w:ascii="Arial" w:cs="Arial" w:eastAsia="Arial" w:hAnsi="Arial"/>
          <w:b/>
          <w:bCs/>
          <w:color w:val="1F2937"/>
          <w:sz w:val="26"/>
          <w:szCs w:val="26"/>
        </w:rPr>
        <w:t xml:space="preserve">1. Accounting system trial balance</w:t>
      </w:r>
    </w:p>
    <w:p>
      <w:pPr>
        <w:spacing w:after="140" w:before="0"/>
      </w:pPr>
      <w:r>
        <w:rPr>
          <w:rFonts w:ascii="Arial" w:cs="Arial" w:eastAsia="Arial" w:hAnsi="Arial"/>
          <w:b/>
          <w:bCs/>
          <w:color w:val="111827"/>
          <w:sz w:val="22"/>
          <w:szCs w:val="22"/>
        </w:rPr>
        <w:t xml:space="preserve">v1 — Xero:</w:t>
      </w:r>
      <w:r>
        <w:rPr>
          <w:rFonts w:ascii="Arial" w:cs="Arial" w:eastAsia="Arial" w:hAnsi="Arial"/>
          <w:color w:val="111827"/>
          <w:sz w:val="22"/>
          <w:szCs w:val="22"/>
        </w:rPr>
        <w:t xml:space="preserve"> The plugin accepts the standard Xero TB export (CSV or Excel) directly. No MCP query required for v1 — the user uploads the export. This is the approach in the worked comparative-review spec and reflects how bookkeepers already extract this data today.</w:t>
      </w:r>
    </w:p>
    <w:p>
      <w:pPr>
        <w:spacing w:after="140" w:before="0"/>
      </w:pPr>
      <w:r>
        <w:rPr>
          <w:rFonts w:ascii="Arial" w:cs="Arial" w:eastAsia="Arial" w:hAnsi="Arial"/>
          <w:color w:val="111827"/>
          <w:sz w:val="22"/>
          <w:szCs w:val="22"/>
        </w:rPr>
        <w:t xml:space="preserve">Required columns from Xero export: Account Code, Account, Account Type, Debit YTD, Credit YTD. The Net column is excluded from output.</w:t>
      </w:r>
    </w:p>
    <w:p>
      <w:pPr>
        <w:spacing w:after="140" w:before="0"/>
      </w:pPr>
      <w:r>
        <w:rPr>
          <w:rFonts w:ascii="Arial" w:cs="Arial" w:eastAsia="Arial" w:hAnsi="Arial"/>
          <w:b/>
          <w:bCs/>
          <w:color w:val="111827"/>
          <w:sz w:val="22"/>
          <w:szCs w:val="22"/>
        </w:rPr>
        <w:t xml:space="preserve">v2+ — MYOB, QBO, FreeAgent:</w:t>
      </w:r>
      <w:r>
        <w:rPr>
          <w:rFonts w:ascii="Arial" w:cs="Arial" w:eastAsia="Arial" w:hAnsi="Arial"/>
          <w:color w:val="111827"/>
          <w:sz w:val="22"/>
          <w:szCs w:val="22"/>
        </w:rPr>
        <w:t xml:space="preserve"> Either accept their native TB exports (same upload pattern) or pull via MCP if the accounting system's data is already in XBert. Decision deferred to v2.</w:t>
      </w:r>
    </w:p>
    <w:p>
      <w:pPr>
        <w:pStyle w:val="ListParagraph"/>
        <w:numPr>
          <w:ilvl w:val="0"/>
          <w:numId w:val="2"/>
        </w:numPr>
        <w:spacing w:after="80"/>
      </w:pPr>
      <w:r>
        <w:rPr>
          <w:rFonts w:ascii="Arial" w:cs="Arial" w:eastAsia="Arial" w:hAnsi="Arial"/>
          <w:b/>
          <w:bCs/>
          <w:color w:val="111827"/>
          <w:sz w:val="22"/>
          <w:szCs w:val="22"/>
        </w:rPr>
        <w:t xml:space="preserve">Note on accounting system variance:</w:t>
      </w:r>
      <w:r>
        <w:rPr>
          <w:rFonts w:ascii="Arial" w:cs="Arial" w:eastAsia="Arial" w:hAnsi="Arial"/>
          <w:color w:val="111827"/>
          <w:sz w:val="22"/>
          <w:szCs w:val="22"/>
        </w:rPr>
        <w:t xml:space="preserve"> TB API coverage differs across systems. Xero's API is the richest; FreeAgent provides much less. Starting with Xero export-upload sidesteps this for v1.</w:t>
      </w:r>
    </w:p>
    <w:p>
      <w:pPr>
        <w:pStyle w:val="Heading3"/>
        <w:spacing w:after="120" w:before="240"/>
      </w:pPr>
      <w:r>
        <w:rPr>
          <w:rFonts w:ascii="Arial" w:cs="Arial" w:eastAsia="Arial" w:hAnsi="Arial"/>
          <w:b/>
          <w:bCs/>
          <w:color w:val="1F2937"/>
          <w:sz w:val="26"/>
          <w:szCs w:val="26"/>
        </w:rPr>
        <w:t xml:space="preserve">2. Accountant's financial statements</w:t>
      </w:r>
    </w:p>
    <w:p>
      <w:pPr>
        <w:spacing w:after="140" w:before="0"/>
      </w:pPr>
      <w:r>
        <w:rPr>
          <w:rFonts w:ascii="Arial" w:cs="Arial" w:eastAsia="Arial" w:hAnsi="Arial"/>
          <w:color w:val="111827"/>
          <w:sz w:val="22"/>
          <w:szCs w:val="22"/>
        </w:rPr>
        <w:t xml:space="preserve">Uploaded by the bookkeeper, in any of:</w:t>
      </w:r>
    </w:p>
    <w:p>
      <w:pPr>
        <w:pStyle w:val="ListParagraph"/>
        <w:numPr>
          <w:ilvl w:val="0"/>
          <w:numId w:val="2"/>
        </w:numPr>
        <w:spacing w:after="80"/>
      </w:pPr>
      <w:r>
        <w:rPr>
          <w:rFonts w:ascii="Arial" w:cs="Arial" w:eastAsia="Arial" w:hAnsi="Arial"/>
          <w:b/>
          <w:bCs/>
          <w:color w:val="111827"/>
          <w:sz w:val="22"/>
          <w:szCs w:val="22"/>
        </w:rPr>
        <w:t xml:space="preserve">PDF</w:t>
      </w:r>
      <w:r>
        <w:rPr>
          <w:rFonts w:ascii="Arial" w:cs="Arial" w:eastAsia="Arial" w:hAnsi="Arial"/>
          <w:color w:val="111827"/>
          <w:sz w:val="22"/>
          <w:szCs w:val="22"/>
        </w:rPr>
        <w:t xml:space="preserve"> (most common per the bookkeeper)</w:t>
      </w:r>
    </w:p>
    <w:p>
      <w:pPr>
        <w:pStyle w:val="ListParagraph"/>
        <w:numPr>
          <w:ilvl w:val="0"/>
          <w:numId w:val="2"/>
        </w:numPr>
        <w:spacing w:after="80"/>
      </w:pPr>
      <w:r>
        <w:rPr>
          <w:rFonts w:ascii="Arial" w:cs="Arial" w:eastAsia="Arial" w:hAnsi="Arial"/>
          <w:b/>
          <w:bCs/>
          <w:color w:val="111827"/>
          <w:sz w:val="22"/>
          <w:szCs w:val="22"/>
        </w:rPr>
        <w:t xml:space="preserve">Excel</w:t>
      </w:r>
      <w:r>
        <w:rPr>
          <w:rFonts w:ascii="Arial" w:cs="Arial" w:eastAsia="Arial" w:hAnsi="Arial"/>
          <w:color w:val="111827"/>
          <w:sz w:val="22"/>
          <w:szCs w:val="22"/>
        </w:rPr>
        <w:t xml:space="preserve"> (possible)</w:t>
      </w:r>
    </w:p>
    <w:p>
      <w:pPr>
        <w:pStyle w:val="ListParagraph"/>
        <w:numPr>
          <w:ilvl w:val="0"/>
          <w:numId w:val="2"/>
        </w:numPr>
        <w:spacing w:after="80"/>
      </w:pPr>
      <w:r>
        <w:rPr>
          <w:rFonts w:ascii="Arial" w:cs="Arial" w:eastAsia="Arial" w:hAnsi="Arial"/>
          <w:b/>
          <w:bCs/>
          <w:color w:val="111827"/>
          <w:sz w:val="22"/>
          <w:szCs w:val="22"/>
        </w:rPr>
        <w:t xml:space="preserve">Word</w:t>
      </w:r>
      <w:r>
        <w:rPr>
          <w:rFonts w:ascii="Arial" w:cs="Arial" w:eastAsia="Arial" w:hAnsi="Arial"/>
          <w:color w:val="111827"/>
          <w:sz w:val="22"/>
          <w:szCs w:val="22"/>
        </w:rPr>
        <w:t xml:space="preserve"> (possible)</w:t>
      </w:r>
    </w:p>
    <w:p>
      <w:pPr>
        <w:pStyle w:val="ListParagraph"/>
        <w:numPr>
          <w:ilvl w:val="0"/>
          <w:numId w:val="2"/>
        </w:numPr>
        <w:spacing w:after="80"/>
      </w:pPr>
      <w:r>
        <w:rPr>
          <w:rFonts w:ascii="Arial" w:cs="Arial" w:eastAsia="Arial" w:hAnsi="Arial"/>
          <w:b/>
          <w:bCs/>
          <w:color w:val="111827"/>
          <w:sz w:val="22"/>
          <w:szCs w:val="22"/>
        </w:rPr>
        <w:t xml:space="preserve">Other formats as discovered</w:t>
      </w:r>
      <w:r>
        <w:rPr>
          <w:rFonts w:ascii="Arial" w:cs="Arial" w:eastAsia="Arial" w:hAnsi="Arial"/>
          <w:color w:val="111827"/>
          <w:sz w:val="22"/>
          <w:szCs w:val="22"/>
        </w:rPr>
        <w:t xml:space="preserve"> — flag during workshop</w:t>
      </w:r>
    </w:p>
    <w:p>
      <w:pPr>
        <w:spacing w:after="140" w:before="0"/>
      </w:pPr>
      <w:r>
        <w:rPr>
          <w:rFonts w:ascii="Arial" w:cs="Arial" w:eastAsia="Arial" w:hAnsi="Arial"/>
          <w:color w:val="111827"/>
          <w:sz w:val="22"/>
          <w:szCs w:val="22"/>
        </w:rPr>
        <w:t xml:space="preserve">The plugin extracts the figures from the document and builds a structured representation suitable for matching against the TB. Format variance is high — different accounting firms use different templates (CCH, MYOB AE, APS, Xero Practice Manager Reports, custom Word templates). The plugin needs to be robust to this OR ask the bookkeeper to confirm/correct extracted figures before matching runs.</w:t>
      </w:r>
    </w:p>
    <w:p>
      <w:pPr>
        <w:pStyle w:val="Heading2"/>
        <w:spacing w:after="160" w:before="300"/>
      </w:pPr>
      <w:r>
        <w:rPr>
          <w:rFonts w:ascii="Arial" w:cs="Arial" w:eastAsia="Arial" w:hAnsi="Arial"/>
          <w:b/>
          <w:bCs/>
          <w:color w:val="1F2937"/>
          <w:sz w:val="30"/>
          <w:szCs w:val="30"/>
        </w:rPr>
        <w:t xml:space="preserve">The matching problem</w:t>
      </w:r>
    </w:p>
    <w:p>
      <w:pPr>
        <w:spacing w:after="140" w:before="0"/>
      </w:pPr>
      <w:r>
        <w:rPr>
          <w:rFonts w:ascii="Arial" w:cs="Arial" w:eastAsia="Arial" w:hAnsi="Arial"/>
          <w:color w:val="111827"/>
          <w:sz w:val="22"/>
          <w:szCs w:val="22"/>
        </w:rPr>
        <w:t xml:space="preserve">The analytical core of the plugin is the mapping between trial balance accounts and financial statement line items. Four cases need handling:</w:t>
      </w:r>
    </w:p>
    <w:p>
      <w:pPr>
        <w:pStyle w:val="ListParagraph"/>
        <w:numPr>
          <w:ilvl w:val="0"/>
          <w:numId w:val="2"/>
        </w:numPr>
        <w:spacing w:after="80"/>
      </w:pPr>
      <w:r>
        <w:rPr>
          <w:rFonts w:ascii="Arial" w:cs="Arial" w:eastAsia="Arial" w:hAnsi="Arial"/>
          <w:b/>
          <w:bCs/>
          <w:color w:val="111827"/>
          <w:sz w:val="22"/>
          <w:szCs w:val="22"/>
        </w:rPr>
        <w:t xml:space="preserve">One-to-one</w:t>
      </w:r>
      <w:r>
        <w:rPr>
          <w:rFonts w:ascii="Arial" w:cs="Arial" w:eastAsia="Arial" w:hAnsi="Arial"/>
          <w:color w:val="111827"/>
          <w:sz w:val="22"/>
          <w:szCs w:val="22"/>
        </w:rPr>
        <w:t xml:space="preserve"> — a single TB account maps to a single FS line. Straightforward.</w:t>
      </w:r>
    </w:p>
    <w:p>
      <w:pPr>
        <w:pStyle w:val="ListParagraph"/>
        <w:numPr>
          <w:ilvl w:val="0"/>
          <w:numId w:val="2"/>
        </w:numPr>
        <w:spacing w:after="80"/>
      </w:pPr>
      <w:r>
        <w:rPr>
          <w:rFonts w:ascii="Arial" w:cs="Arial" w:eastAsia="Arial" w:hAnsi="Arial"/>
          <w:b/>
          <w:bCs/>
          <w:color w:val="111827"/>
          <w:sz w:val="22"/>
          <w:szCs w:val="22"/>
        </w:rPr>
        <w:t xml:space="preserve">Consolidated</w:t>
      </w:r>
      <w:r>
        <w:rPr>
          <w:rFonts w:ascii="Arial" w:cs="Arial" w:eastAsia="Arial" w:hAnsi="Arial"/>
          <w:color w:val="111827"/>
          <w:sz w:val="22"/>
          <w:szCs w:val="22"/>
        </w:rPr>
        <w:t xml:space="preserve"> — a single FS line covers multiple TB accounts. The plugin sums the relevant TB Debit and Credit figures, documents which TB accounts are grouped under which FS line, and compares the consolidated total against the FS figure.</w:t>
      </w:r>
    </w:p>
    <w:p>
      <w:pPr>
        <w:pStyle w:val="ListParagraph"/>
        <w:numPr>
          <w:ilvl w:val="0"/>
          <w:numId w:val="2"/>
        </w:numPr>
        <w:spacing w:after="80"/>
      </w:pPr>
      <w:r>
        <w:rPr>
          <w:rFonts w:ascii="Arial" w:cs="Arial" w:eastAsia="Arial" w:hAnsi="Arial"/>
          <w:b/>
          <w:bCs/>
          <w:color w:val="111827"/>
          <w:sz w:val="22"/>
          <w:szCs w:val="22"/>
        </w:rPr>
        <w:t xml:space="preserve">Unmatched TB accounts</w:t>
      </w:r>
      <w:r>
        <w:rPr>
          <w:rFonts w:ascii="Arial" w:cs="Arial" w:eastAsia="Arial" w:hAnsi="Arial"/>
          <w:color w:val="111827"/>
          <w:sz w:val="22"/>
          <w:szCs w:val="22"/>
        </w:rPr>
        <w:t xml:space="preserve"> — TB accounts with no corresponding FS line. Included in output, flagged as unmatched, FS columns left blank.</w:t>
      </w:r>
    </w:p>
    <w:p>
      <w:pPr>
        <w:pStyle w:val="ListParagraph"/>
        <w:numPr>
          <w:ilvl w:val="0"/>
          <w:numId w:val="2"/>
        </w:numPr>
        <w:spacing w:after="80"/>
      </w:pPr>
      <w:r>
        <w:rPr>
          <w:rFonts w:ascii="Arial" w:cs="Arial" w:eastAsia="Arial" w:hAnsi="Arial"/>
          <w:b/>
          <w:bCs/>
          <w:color w:val="111827"/>
          <w:sz w:val="22"/>
          <w:szCs w:val="22"/>
        </w:rPr>
        <w:t xml:space="preserve">Unmatched FS lines</w:t>
      </w:r>
      <w:r>
        <w:rPr>
          <w:rFonts w:ascii="Arial" w:cs="Arial" w:eastAsia="Arial" w:hAnsi="Arial"/>
          <w:color w:val="111827"/>
          <w:sz w:val="22"/>
          <w:szCs w:val="22"/>
        </w:rPr>
        <w:t xml:space="preserve"> — FS line items that couldn't be matched to any TB account. Included in a separate section, flagged for review.</w:t>
      </w:r>
    </w:p>
    <w:p>
      <w:pPr>
        <w:spacing w:after="140" w:before="0"/>
      </w:pPr>
      <w:r>
        <w:rPr>
          <w:rFonts w:ascii="Arial" w:cs="Arial" w:eastAsia="Arial" w:hAnsi="Arial"/>
          <w:color w:val="111827"/>
          <w:sz w:val="22"/>
          <w:szCs w:val="22"/>
        </w:rPr>
        <w:t xml:space="preserve">Matching uses Account Code (when present), Account Name, and Account Type as criteria. Account Code is the most reliable match key when available.</w:t>
      </w:r>
    </w:p>
    <w:p>
      <w:pPr>
        <w:pStyle w:val="Heading2"/>
        <w:spacing w:after="160" w:before="300"/>
      </w:pPr>
      <w:r>
        <w:rPr>
          <w:rFonts w:ascii="Arial" w:cs="Arial" w:eastAsia="Arial" w:hAnsi="Arial"/>
          <w:b/>
          <w:bCs/>
          <w:color w:val="1F2937"/>
          <w:sz w:val="30"/>
          <w:szCs w:val="30"/>
        </w:rPr>
        <w:t xml:space="preserve">Output</w:t>
      </w:r>
    </w:p>
    <w:p>
      <w:pPr>
        <w:spacing w:after="140" w:before="0"/>
      </w:pPr>
      <w:r>
        <w:rPr>
          <w:rFonts w:ascii="Arial" w:cs="Arial" w:eastAsia="Arial" w:hAnsi="Arial"/>
          <w:color w:val="111827"/>
          <w:sz w:val="22"/>
          <w:szCs w:val="22"/>
        </w:rPr>
        <w:t xml:space="preserve">Two outputs:</w:t>
      </w:r>
    </w:p>
    <w:p>
      <w:pPr>
        <w:pStyle w:val="Heading3"/>
        <w:spacing w:after="120" w:before="240"/>
      </w:pPr>
      <w:r>
        <w:rPr>
          <w:rFonts w:ascii="Arial" w:cs="Arial" w:eastAsia="Arial" w:hAnsi="Arial"/>
          <w:b/>
          <w:bCs/>
          <w:color w:val="1F2937"/>
          <w:sz w:val="26"/>
          <w:szCs w:val="26"/>
        </w:rPr>
        <w:t xml:space="preserve">1. Excel comparative-review workbook</w:t>
      </w:r>
    </w:p>
    <w:p>
      <w:pPr>
        <w:spacing w:after="140" w:before="0"/>
      </w:pPr>
      <w:r>
        <w:rPr>
          <w:rFonts w:ascii="Arial" w:cs="Arial" w:eastAsia="Arial" w:hAnsi="Arial"/>
          <w:color w:val="111827"/>
          <w:sz w:val="22"/>
          <w:szCs w:val="22"/>
        </w:rPr>
        <w:t xml:space="preserve">File naming: </w:t>
      </w:r>
      <w:r>
        <w:rPr>
          <w:rFonts w:ascii="Consolas" w:cs="Consolas" w:eastAsia="Consolas" w:hAnsi="Consolas"/>
          <w:color w:val="111827"/>
          <w:sz w:val="20"/>
          <w:szCs w:val="20"/>
        </w:rPr>
        <w:t xml:space="preserve">YYYYMMDD-[ClientName]-TB-comparative-review.xlsx</w:t>
      </w:r>
      <w:r>
        <w:rPr>
          <w:rFonts w:ascii="Arial" w:cs="Arial" w:eastAsia="Arial" w:hAnsi="Arial"/>
          <w:color w:val="111827"/>
          <w:sz w:val="22"/>
          <w:szCs w:val="22"/>
        </w:rPr>
        <w:t xml:space="preserve"> where YYYYMMDD is the last day of the financial year under review.</w:t>
      </w:r>
    </w:p>
    <w:p>
      <w:pPr>
        <w:spacing w:after="140" w:before="0"/>
      </w:pPr>
      <w:r>
        <w:rPr>
          <w:rFonts w:ascii="Arial" w:cs="Arial" w:eastAsia="Arial" w:hAnsi="Arial"/>
          <w:b/>
          <w:bCs/>
          <w:color w:val="111827"/>
          <w:sz w:val="22"/>
          <w:szCs w:val="22"/>
        </w:rPr>
        <w:t xml:space="preserve">Sheet 1 — Comparative Review.</w:t>
      </w:r>
      <w:r>
        <w:rPr>
          <w:rFonts w:ascii="Arial" w:cs="Arial" w:eastAsia="Arial" w:hAnsi="Arial"/>
          <w:color w:val="111827"/>
          <w:sz w:val="22"/>
          <w:szCs w:val="22"/>
        </w:rPr>
        <w:t xml:space="preserve"> Columns: Account Code, Account, Account Type, TB Debit YTD, TB Credit YTD, FS Debit, FS Credit, Variance Debit, Variance Credit, Flag, Notes. Variance columns are formula-driven (</w:t>
      </w:r>
      <w:r>
        <w:rPr>
          <w:rFonts w:ascii="Consolas" w:cs="Consolas" w:eastAsia="Consolas" w:hAnsi="Consolas"/>
          <w:color w:val="111827"/>
          <w:sz w:val="20"/>
          <w:szCs w:val="20"/>
        </w:rPr>
        <w:t xml:space="preserve">= TB - FS</w:t>
      </w:r>
      <w:r>
        <w:rPr>
          <w:rFonts w:ascii="Arial" w:cs="Arial" w:eastAsia="Arial" w:hAnsi="Arial"/>
          <w:color w:val="111827"/>
          <w:sz w:val="22"/>
          <w:szCs w:val="22"/>
        </w:rPr>
        <w:t xml:space="preserve">); the Flag column displays "REVIEW" for any non-zero variance. Rows are grouped by Account Type with section subtotals. A Grand Total row sums every value column, and three Balance Check rows immediately below verify that TB, FS, and Variance all net to zero. Any non-zero balance check is flagged with a bold red "IMBALANCE" indicator — no materiality threshold applies, this is a zero-tolerance check.</w:t>
      </w:r>
    </w:p>
    <w:p>
      <w:pPr>
        <w:spacing w:after="140" w:before="0"/>
      </w:pPr>
      <w:r>
        <w:rPr>
          <w:rFonts w:ascii="Arial" w:cs="Arial" w:eastAsia="Arial" w:hAnsi="Arial"/>
          <w:b/>
          <w:bCs/>
          <w:color w:val="111827"/>
          <w:sz w:val="22"/>
          <w:szCs w:val="22"/>
        </w:rPr>
        <w:t xml:space="preserve">Sheet 2 — FS Mapping Log.</w:t>
      </w:r>
      <w:r>
        <w:rPr>
          <w:rFonts w:ascii="Arial" w:cs="Arial" w:eastAsia="Arial" w:hAnsi="Arial"/>
          <w:color w:val="111827"/>
          <w:sz w:val="22"/>
          <w:szCs w:val="22"/>
        </w:rPr>
        <w:t xml:space="preserve"> Documents the full mapping between FS line items and TB accounts: FS Line Item, FS Value, Mapped TB Account(s), Match Type (ONE-TO-ONE / CONSOLIDATED / UNMATCHED-TB / UNMATCHED-FS), Notes including any extraction confidence flags from the PDF.</w:t>
      </w:r>
    </w:p>
    <w:p>
      <w:pPr>
        <w:pStyle w:val="Heading3"/>
        <w:spacing w:after="120" w:before="240"/>
      </w:pPr>
      <w:r>
        <w:rPr>
          <w:rFonts w:ascii="Arial" w:cs="Arial" w:eastAsia="Arial" w:hAnsi="Arial"/>
          <w:b/>
          <w:bCs/>
          <w:color w:val="1F2937"/>
          <w:sz w:val="26"/>
          <w:szCs w:val="26"/>
        </w:rPr>
        <w:t xml:space="preserve">2. Word audit document</w:t>
      </w:r>
    </w:p>
    <w:p>
      <w:pPr>
        <w:spacing w:after="140" w:before="0"/>
      </w:pPr>
      <w:r>
        <w:rPr>
          <w:rFonts w:ascii="Arial" w:cs="Arial" w:eastAsia="Arial" w:hAnsi="Arial"/>
          <w:color w:val="111827"/>
          <w:sz w:val="22"/>
          <w:szCs w:val="22"/>
        </w:rPr>
        <w:t xml:space="preserve">A circulatable summary showing:</w:t>
      </w:r>
    </w:p>
    <w:p>
      <w:pPr>
        <w:pStyle w:val="ListParagraph"/>
        <w:numPr>
          <w:ilvl w:val="0"/>
          <w:numId w:val="2"/>
        </w:numPr>
        <w:spacing w:after="80"/>
      </w:pPr>
      <w:r>
        <w:rPr>
          <w:rFonts w:ascii="Arial" w:cs="Arial" w:eastAsia="Arial" w:hAnsi="Arial"/>
          <w:color w:val="111827"/>
          <w:sz w:val="22"/>
          <w:szCs w:val="22"/>
        </w:rPr>
        <w:t xml:space="preserve">What the accounting system's trial balance was (totals only)</w:t>
      </w:r>
    </w:p>
    <w:p>
      <w:pPr>
        <w:pStyle w:val="ListParagraph"/>
        <w:numPr>
          <w:ilvl w:val="0"/>
          <w:numId w:val="2"/>
        </w:numPr>
        <w:spacing w:after="80"/>
      </w:pPr>
      <w:r>
        <w:rPr>
          <w:rFonts w:ascii="Arial" w:cs="Arial" w:eastAsia="Arial" w:hAnsi="Arial"/>
          <w:color w:val="111827"/>
          <w:sz w:val="22"/>
          <w:szCs w:val="22"/>
        </w:rPr>
        <w:t xml:space="preserve">What the accountant's financials showed (totals only)</w:t>
      </w:r>
    </w:p>
    <w:p>
      <w:pPr>
        <w:pStyle w:val="ListParagraph"/>
        <w:numPr>
          <w:ilvl w:val="0"/>
          <w:numId w:val="2"/>
        </w:numPr>
        <w:spacing w:after="80"/>
      </w:pPr>
      <w:r>
        <w:rPr>
          <w:rFonts w:ascii="Arial" w:cs="Arial" w:eastAsia="Arial" w:hAnsi="Arial"/>
          <w:color w:val="111827"/>
          <w:sz w:val="22"/>
          <w:szCs w:val="22"/>
        </w:rPr>
        <w:t xml:space="preserve">Where they aligned (the boring part) — count of accounts with zero variance</w:t>
      </w:r>
    </w:p>
    <w:p>
      <w:pPr>
        <w:pStyle w:val="ListParagraph"/>
        <w:numPr>
          <w:ilvl w:val="0"/>
          <w:numId w:val="2"/>
        </w:numPr>
        <w:spacing w:after="80"/>
      </w:pPr>
      <w:r>
        <w:rPr>
          <w:rFonts w:ascii="Arial" w:cs="Arial" w:eastAsia="Arial" w:hAnsi="Arial"/>
          <w:color w:val="111827"/>
          <w:sz w:val="22"/>
          <w:szCs w:val="22"/>
        </w:rPr>
        <w:t xml:space="preserve">Where they differed (the interesting part), with an interpretation of why each variance exists</w:t>
      </w:r>
    </w:p>
    <w:p>
      <w:pPr>
        <w:pStyle w:val="ListParagraph"/>
        <w:numPr>
          <w:ilvl w:val="0"/>
          <w:numId w:val="2"/>
        </w:numPr>
        <w:spacing w:after="80"/>
      </w:pPr>
      <w:r>
        <w:rPr>
          <w:rFonts w:ascii="Arial" w:cs="Arial" w:eastAsia="Arial" w:hAnsi="Arial"/>
          <w:color w:val="111827"/>
          <w:sz w:val="22"/>
          <w:szCs w:val="22"/>
        </w:rPr>
        <w:t xml:space="preserve">The journal(s) being proposed to resolve each material variance, in draft form ready to enter into the accounting system</w:t>
      </w:r>
    </w:p>
    <w:p>
      <w:pPr>
        <w:pStyle w:val="ListParagraph"/>
        <w:numPr>
          <w:ilvl w:val="0"/>
          <w:numId w:val="2"/>
        </w:numPr>
        <w:spacing w:after="80"/>
      </w:pPr>
      <w:r>
        <w:rPr>
          <w:rFonts w:ascii="Arial" w:cs="Arial" w:eastAsia="Arial" w:hAnsi="Arial"/>
          <w:color w:val="111827"/>
          <w:sz w:val="22"/>
          <w:szCs w:val="22"/>
        </w:rPr>
        <w:t xml:space="preserve">Any items that need human resolution (e.g. account name doesn't match — is "Office Expenses" in the TB the same as "Office Costs" in the accountant's statements?)</w:t>
      </w:r>
    </w:p>
    <w:p>
      <w:pPr>
        <w:spacing w:after="140" w:before="0"/>
      </w:pPr>
      <w:r>
        <w:rPr>
          <w:rFonts w:ascii="Arial" w:cs="Arial" w:eastAsia="Arial" w:hAnsi="Arial"/>
          <w:color w:val="111827"/>
          <w:sz w:val="22"/>
          <w:szCs w:val="22"/>
        </w:rPr>
        <w:t xml:space="preserve">*</w:t>
      </w:r>
      <w:r>
        <w:rPr>
          <w:rFonts w:ascii="Arial" w:cs="Arial" w:eastAsia="Arial" w:hAnsi="Arial"/>
          <w:i/>
          <w:iCs/>
          <w:color w:val="111827"/>
          <w:sz w:val="22"/>
          <w:szCs w:val="22"/>
        </w:rPr>
        <w:t xml:space="preserve">The plugin produces the journal </w:t>
      </w:r>
      <w:r>
        <w:rPr>
          <w:rFonts w:ascii="Arial" w:cs="Arial" w:eastAsia="Arial" w:hAnsi="Arial"/>
          <w:color w:val="111827"/>
          <w:sz w:val="22"/>
          <w:szCs w:val="22"/>
        </w:rPr>
        <w:t xml:space="preserve">recommendation</w:t>
      </w:r>
      <w:r>
        <w:rPr>
          <w:rFonts w:ascii="Arial" w:cs="Arial" w:eastAsia="Arial" w:hAnsi="Arial"/>
          <w:i/>
          <w:iCs/>
          <w:color w:val="111827"/>
          <w:sz w:val="22"/>
          <w:szCs w:val="22"/>
        </w:rPr>
        <w:t xml:space="preserve"> in narrative and tabular form — it does not post journals. The bookkeeper enters them into the accounting system manually.</w:t>
      </w:r>
      <w:r>
        <w:rPr>
          <w:rFonts w:ascii="Arial" w:cs="Arial" w:eastAsia="Arial" w:hAnsi="Arial"/>
          <w:color w:val="111827"/>
          <w:sz w:val="22"/>
          <w:szCs w:val="22"/>
        </w:rPr>
        <w:t xml:space="preserve">* A future version could produce a journal-upload file for systems that accept it, but that's out of scope for v1.</w:t>
      </w:r>
    </w:p>
    <w:p>
      <w:pPr>
        <w:pStyle w:val="Heading2"/>
        <w:spacing w:after="160" w:before="300"/>
      </w:pPr>
      <w:r>
        <w:rPr>
          <w:rFonts w:ascii="Arial" w:cs="Arial" w:eastAsia="Arial" w:hAnsi="Arial"/>
          <w:b/>
          <w:bCs/>
          <w:color w:val="1F2937"/>
          <w:sz w:val="30"/>
          <w:szCs w:val="30"/>
        </w:rPr>
        <w:t xml:space="preserve">Quality standards (from the Xero comparative-review spec)</w:t>
      </w:r>
    </w:p>
    <w:p>
      <w:pPr>
        <w:pStyle w:val="ListParagraph"/>
        <w:numPr>
          <w:ilvl w:val="0"/>
          <w:numId w:val="2"/>
        </w:numPr>
        <w:spacing w:after="80"/>
      </w:pPr>
      <w:r>
        <w:rPr>
          <w:rFonts w:ascii="Arial" w:cs="Arial" w:eastAsia="Arial" w:hAnsi="Arial"/>
          <w:b/>
          <w:bCs/>
          <w:color w:val="111827"/>
          <w:sz w:val="22"/>
          <w:szCs w:val="22"/>
        </w:rPr>
        <w:t xml:space="preserve">Flag ALL variances</w:t>
      </w:r>
      <w:r>
        <w:rPr>
          <w:rFonts w:ascii="Arial" w:cs="Arial" w:eastAsia="Arial" w:hAnsi="Arial"/>
          <w:color w:val="111827"/>
          <w:sz w:val="22"/>
          <w:szCs w:val="22"/>
        </w:rPr>
        <w:t xml:space="preserve"> — every non-zero variance is flagged regardless of dollar amount. No materiality threshold.</w:t>
      </w:r>
    </w:p>
    <w:p>
      <w:pPr>
        <w:pStyle w:val="ListParagraph"/>
        <w:numPr>
          <w:ilvl w:val="0"/>
          <w:numId w:val="2"/>
        </w:numPr>
        <w:spacing w:after="80"/>
      </w:pPr>
      <w:r>
        <w:rPr>
          <w:rFonts w:ascii="Arial" w:cs="Arial" w:eastAsia="Arial" w:hAnsi="Arial"/>
          <w:b/>
          <w:bCs/>
          <w:color w:val="111827"/>
          <w:sz w:val="22"/>
          <w:szCs w:val="22"/>
        </w:rPr>
        <w:t xml:space="preserve">Document all consolidated mappings</w:t>
      </w:r>
      <w:r>
        <w:rPr>
          <w:rFonts w:ascii="Arial" w:cs="Arial" w:eastAsia="Arial" w:hAnsi="Arial"/>
          <w:color w:val="111827"/>
          <w:sz w:val="22"/>
          <w:szCs w:val="22"/>
        </w:rPr>
        <w:t xml:space="preserve"> — wherever a single FS line covers multiple TB accounts, this is explicitly noted in both Sheet 1 and Sheet 2.</w:t>
      </w:r>
    </w:p>
    <w:p>
      <w:pPr>
        <w:pStyle w:val="ListParagraph"/>
        <w:numPr>
          <w:ilvl w:val="0"/>
          <w:numId w:val="2"/>
        </w:numPr>
        <w:spacing w:after="80"/>
      </w:pPr>
      <w:r>
        <w:rPr>
          <w:rFonts w:ascii="Arial" w:cs="Arial" w:eastAsia="Arial" w:hAnsi="Arial"/>
          <w:b/>
          <w:bCs/>
          <w:color w:val="111827"/>
          <w:sz w:val="22"/>
          <w:szCs w:val="22"/>
        </w:rPr>
        <w:t xml:space="preserve">Never silently drop accounts</w:t>
      </w:r>
      <w:r>
        <w:rPr>
          <w:rFonts w:ascii="Arial" w:cs="Arial" w:eastAsia="Arial" w:hAnsi="Arial"/>
          <w:color w:val="111827"/>
          <w:sz w:val="22"/>
          <w:szCs w:val="22"/>
        </w:rPr>
        <w:t xml:space="preserve"> — every TB account and every FS line appears somewhere in the output, even if unmatched.</w:t>
      </w:r>
    </w:p>
    <w:p>
      <w:pPr>
        <w:pStyle w:val="ListParagraph"/>
        <w:numPr>
          <w:ilvl w:val="0"/>
          <w:numId w:val="2"/>
        </w:numPr>
        <w:spacing w:after="80"/>
      </w:pPr>
      <w:r>
        <w:rPr>
          <w:rFonts w:ascii="Arial" w:cs="Arial" w:eastAsia="Arial" w:hAnsi="Arial"/>
          <w:b/>
          <w:bCs/>
          <w:color w:val="111827"/>
          <w:sz w:val="22"/>
          <w:szCs w:val="22"/>
        </w:rPr>
        <w:t xml:space="preserve">Flag PDF extraction uncertainty</w:t>
      </w:r>
      <w:r>
        <w:rPr>
          <w:rFonts w:ascii="Arial" w:cs="Arial" w:eastAsia="Arial" w:hAnsi="Arial"/>
          <w:color w:val="111827"/>
          <w:sz w:val="22"/>
          <w:szCs w:val="22"/>
        </w:rPr>
        <w:t xml:space="preserve"> — if a figure could not be clearly read from the PDF, the plugin flags it in the Notes column rather than guessing.</w:t>
      </w:r>
    </w:p>
    <w:p>
      <w:pPr>
        <w:pStyle w:val="ListParagraph"/>
        <w:numPr>
          <w:ilvl w:val="0"/>
          <w:numId w:val="2"/>
        </w:numPr>
        <w:spacing w:after="80"/>
      </w:pPr>
      <w:r>
        <w:rPr>
          <w:rFonts w:ascii="Arial" w:cs="Arial" w:eastAsia="Arial" w:hAnsi="Arial"/>
          <w:b/>
          <w:bCs/>
          <w:color w:val="111827"/>
          <w:sz w:val="22"/>
          <w:szCs w:val="22"/>
        </w:rPr>
        <w:t xml:space="preserve">Preserve original codes and names</w:t>
      </w:r>
      <w:r>
        <w:rPr>
          <w:rFonts w:ascii="Arial" w:cs="Arial" w:eastAsia="Arial" w:hAnsi="Arial"/>
          <w:color w:val="111827"/>
          <w:sz w:val="22"/>
          <w:szCs w:val="22"/>
        </w:rPr>
        <w:t xml:space="preserve"> — the plugin never renames or recodes accounts.</w:t>
      </w:r>
    </w:p>
    <w:p>
      <w:pPr>
        <w:pStyle w:val="ListParagraph"/>
        <w:numPr>
          <w:ilvl w:val="0"/>
          <w:numId w:val="2"/>
        </w:numPr>
        <w:spacing w:after="80"/>
      </w:pPr>
      <w:r>
        <w:rPr>
          <w:rFonts w:ascii="Arial" w:cs="Arial" w:eastAsia="Arial" w:hAnsi="Arial"/>
          <w:b/>
          <w:bCs/>
          <w:color w:val="111827"/>
          <w:sz w:val="22"/>
          <w:szCs w:val="22"/>
        </w:rPr>
        <w:t xml:space="preserve">Variances are directional</w:t>
      </w:r>
      <w:r>
        <w:rPr>
          <w:rFonts w:ascii="Arial" w:cs="Arial" w:eastAsia="Arial" w:hAnsi="Arial"/>
          <w:color w:val="111827"/>
          <w:sz w:val="22"/>
          <w:szCs w:val="22"/>
        </w:rPr>
        <w:t xml:space="preserve"> — debit and credit variances are tracked separately, never netted.</w:t>
      </w:r>
    </w:p>
    <w:p>
      <w:pPr>
        <w:pStyle w:val="Heading2"/>
        <w:spacing w:after="160" w:before="300"/>
      </w:pPr>
      <w:r>
        <w:rPr>
          <w:rFonts w:ascii="Arial" w:cs="Arial" w:eastAsia="Arial" w:hAnsi="Arial"/>
          <w:b/>
          <w:bCs/>
          <w:color w:val="1F2937"/>
          <w:sz w:val="30"/>
          <w:szCs w:val="30"/>
        </w:rPr>
        <w:t xml:space="preserve">Non-overlap argument — draft</w:t>
      </w:r>
    </w:p>
    <w:p>
      <w:pPr>
        <w:pStyle w:val="ListParagraph"/>
        <w:numPr>
          <w:ilvl w:val="0"/>
          <w:numId w:val="2"/>
        </w:numPr>
        <w:spacing w:after="80"/>
      </w:pPr>
      <w:r>
        <w:rPr>
          <w:rFonts w:ascii="Arial" w:cs="Arial" w:eastAsia="Arial" w:hAnsi="Arial"/>
          <w:b/>
          <w:bCs/>
          <w:color w:val="111827"/>
          <w:sz w:val="22"/>
          <w:szCs w:val="22"/>
        </w:rPr>
        <w:t xml:space="preserve">XBert does not do trial balance reconciliation against external documents.</w:t>
      </w:r>
      <w:r>
        <w:rPr>
          <w:rFonts w:ascii="Arial" w:cs="Arial" w:eastAsia="Arial" w:hAnsi="Arial"/>
          <w:color w:val="111827"/>
          <w:sz w:val="22"/>
          <w:szCs w:val="22"/>
        </w:rPr>
        <w:t xml:space="preserve"> This is genuinely outside the app's current scope.</w:t>
      </w:r>
    </w:p>
    <w:p>
      <w:pPr>
        <w:pStyle w:val="ListParagraph"/>
        <w:numPr>
          <w:ilvl w:val="0"/>
          <w:numId w:val="2"/>
        </w:numPr>
        <w:spacing w:after="80"/>
      </w:pPr>
      <w:r>
        <w:rPr>
          <w:rFonts w:ascii="Arial" w:cs="Arial" w:eastAsia="Arial" w:hAnsi="Arial"/>
          <w:b/>
          <w:bCs/>
          <w:color w:val="111827"/>
          <w:sz w:val="22"/>
          <w:szCs w:val="22"/>
        </w:rPr>
        <w:t xml:space="preserve">The accounting systems</w:t>
      </w:r>
      <w:r>
        <w:rPr>
          <w:rFonts w:ascii="Arial" w:cs="Arial" w:eastAsia="Arial" w:hAnsi="Arial"/>
          <w:color w:val="111827"/>
          <w:sz w:val="22"/>
          <w:szCs w:val="22"/>
        </w:rPr>
        <w:t xml:space="preserve"> can show their own trial balance but can't reconcile it against a PDF or external document.</w:t>
      </w:r>
    </w:p>
    <w:p>
      <w:pPr>
        <w:pStyle w:val="ListParagraph"/>
        <w:numPr>
          <w:ilvl w:val="0"/>
          <w:numId w:val="2"/>
        </w:numPr>
        <w:spacing w:after="80"/>
      </w:pPr>
      <w:r>
        <w:rPr>
          <w:rFonts w:ascii="Arial" w:cs="Arial" w:eastAsia="Arial" w:hAnsi="Arial"/>
          <w:b/>
          <w:bCs/>
          <w:color w:val="111827"/>
          <w:sz w:val="22"/>
          <w:szCs w:val="22"/>
        </w:rPr>
        <w:t xml:space="preserve">The bookkeeper's current process</w:t>
      </w:r>
      <w:r>
        <w:rPr>
          <w:rFonts w:ascii="Arial" w:cs="Arial" w:eastAsia="Arial" w:hAnsi="Arial"/>
          <w:color w:val="111827"/>
          <w:sz w:val="22"/>
          <w:szCs w:val="22"/>
        </w:rPr>
        <w:t xml:space="preserve"> is manual matching in Excel or on paper — exactly the painful workflow the plugin replaces.</w:t>
      </w:r>
    </w:p>
    <w:p>
      <w:pPr>
        <w:spacing w:after="140" w:before="0"/>
      </w:pPr>
      <w:r>
        <w:rPr>
          <w:rFonts w:ascii="Arial" w:cs="Arial" w:eastAsia="Arial" w:hAnsi="Arial"/>
          <w:color w:val="111827"/>
          <w:sz w:val="22"/>
          <w:szCs w:val="22"/>
        </w:rPr>
        <w:t xml:space="preserve">Possibly the cleanest non-overlap of the five along with Bank Statement Upload.</w:t>
      </w:r>
    </w:p>
    <w:p>
      <w:pPr>
        <w:pStyle w:val="Heading2"/>
        <w:spacing w:after="160" w:before="300"/>
      </w:pPr>
      <w:r>
        <w:rPr>
          <w:rFonts w:ascii="Arial" w:cs="Arial" w:eastAsia="Arial" w:hAnsi="Arial"/>
          <w:b/>
          <w:bCs/>
          <w:color w:val="1F2937"/>
          <w:sz w:val="30"/>
          <w:szCs w:val="30"/>
        </w:rPr>
        <w:t xml:space="preserve">Open questions</w:t>
      </w:r>
    </w:p>
    <w:p>
      <w:pPr>
        <w:pStyle w:val="ListParagraph"/>
        <w:numPr>
          <w:ilvl w:val="0"/>
          <w:numId w:val="3"/>
        </w:numPr>
        <w:spacing w:after="80"/>
      </w:pPr>
      <w:r>
        <w:rPr>
          <w:rFonts w:ascii="Arial" w:cs="Arial" w:eastAsia="Arial" w:hAnsi="Arial"/>
          <w:b/>
          <w:bCs/>
          <w:color w:val="111827"/>
          <w:sz w:val="22"/>
          <w:szCs w:val="22"/>
        </w:rPr>
        <w:t xml:space="preserve">v1 = Xero only, confirmed?</w:t>
      </w:r>
      <w:r>
        <w:rPr>
          <w:rFonts w:ascii="Arial" w:cs="Arial" w:eastAsia="Arial" w:hAnsi="Arial"/>
          <w:color w:val="111827"/>
          <w:sz w:val="22"/>
          <w:szCs w:val="22"/>
        </w:rPr>
        <w:t xml:space="preserve"> Worth being explicit in messaging that MYOB / QBO / FreeAgent support is v2+. Customer expectations need setting.</w:t>
      </w:r>
    </w:p>
    <w:p>
      <w:pPr>
        <w:pStyle w:val="ListParagraph"/>
        <w:numPr>
          <w:ilvl w:val="0"/>
          <w:numId w:val="3"/>
        </w:numPr>
        <w:spacing w:after="80"/>
      </w:pPr>
      <w:r>
        <w:rPr>
          <w:rFonts w:ascii="Arial" w:cs="Arial" w:eastAsia="Arial" w:hAnsi="Arial"/>
          <w:b/>
          <w:bCs/>
          <w:color w:val="111827"/>
          <w:sz w:val="22"/>
          <w:szCs w:val="22"/>
        </w:rPr>
        <w:t xml:space="preserve">Multi-accountant format variance</w:t>
      </w:r>
      <w:r>
        <w:rPr>
          <w:rFonts w:ascii="Arial" w:cs="Arial" w:eastAsia="Arial" w:hAnsi="Arial"/>
          <w:color w:val="111827"/>
          <w:sz w:val="22"/>
          <w:szCs w:val="22"/>
        </w:rPr>
        <w:t xml:space="preserve"> — the bookkeeper to clarify whether she deals with one accountant per client (always the same format) or multiple accountants with varying formats. Big impact on how robust the extraction needs to be at v1.</w:t>
      </w:r>
    </w:p>
    <w:p>
      <w:pPr>
        <w:pStyle w:val="ListParagraph"/>
        <w:numPr>
          <w:ilvl w:val="0"/>
          <w:numId w:val="3"/>
        </w:numPr>
        <w:spacing w:after="80"/>
      </w:pPr>
      <w:r>
        <w:rPr>
          <w:rFonts w:ascii="Arial" w:cs="Arial" w:eastAsia="Arial" w:hAnsi="Arial"/>
          <w:b/>
          <w:bCs/>
          <w:color w:val="111827"/>
          <w:sz w:val="22"/>
          <w:szCs w:val="22"/>
        </w:rPr>
        <w:t xml:space="preserve">Account-name matching strategy</w:t>
      </w:r>
      <w:r>
        <w:rPr>
          <w:rFonts w:ascii="Arial" w:cs="Arial" w:eastAsia="Arial" w:hAnsi="Arial"/>
          <w:color w:val="111827"/>
          <w:sz w:val="22"/>
          <w:szCs w:val="22"/>
        </w:rPr>
        <w:t xml:space="preserve"> when the accountant's account names don't match the TB's (e.g. "Office Expenses" vs "Office Costs") — exact match, fuzzy match, code-based match if codes are present, human review.</w:t>
      </w:r>
    </w:p>
    <w:p>
      <w:pPr>
        <w:pStyle w:val="ListParagraph"/>
        <w:numPr>
          <w:ilvl w:val="0"/>
          <w:numId w:val="3"/>
        </w:numPr>
        <w:spacing w:after="80"/>
      </w:pPr>
      <w:r>
        <w:rPr>
          <w:rFonts w:ascii="Arial" w:cs="Arial" w:eastAsia="Arial" w:hAnsi="Arial"/>
          <w:b/>
          <w:bCs/>
          <w:color w:val="111827"/>
          <w:sz w:val="22"/>
          <w:szCs w:val="22"/>
        </w:rPr>
        <w:t xml:space="preserve">Material vs immaterial differences</w:t>
      </w:r>
      <w:r>
        <w:rPr>
          <w:rFonts w:ascii="Arial" w:cs="Arial" w:eastAsia="Arial" w:hAnsi="Arial"/>
          <w:color w:val="111827"/>
          <w:sz w:val="22"/>
          <w:szCs w:val="22"/>
        </w:rPr>
        <w:t xml:space="preserve"> — should the plugin auto-journal small differences (e.g. rounding under a configurable threshold) and surface only material ones for review? The Xero comparative-review spec is zero-tolerance for the balance check, but that's a different question from "which variances need a journal." Worth clarifying with the bookkeeper.</w:t>
      </w:r>
    </w:p>
    <w:p>
      <w:pPr>
        <w:pStyle w:val="ListParagraph"/>
        <w:numPr>
          <w:ilvl w:val="0"/>
          <w:numId w:val="3"/>
        </w:numPr>
        <w:spacing w:after="80"/>
      </w:pPr>
      <w:r>
        <w:rPr>
          <w:rFonts w:ascii="Arial" w:cs="Arial" w:eastAsia="Arial" w:hAnsi="Arial"/>
          <w:b/>
          <w:bCs/>
          <w:color w:val="111827"/>
          <w:sz w:val="22"/>
          <w:szCs w:val="22"/>
        </w:rPr>
        <w:t xml:space="preserve">Journal-upload-file output for v2+</w:t>
      </w:r>
      <w:r>
        <w:rPr>
          <w:rFonts w:ascii="Arial" w:cs="Arial" w:eastAsia="Arial" w:hAnsi="Arial"/>
          <w:color w:val="111827"/>
          <w:sz w:val="22"/>
          <w:szCs w:val="22"/>
        </w:rPr>
        <w:t xml:space="preserve"> — does Xero/MYOB/QBO support journal upload via file or API? Worth scoping for v2.</w:t>
      </w:r>
    </w:p>
    <w:p>
      <w:pPr>
        <w:pStyle w:val="ListParagraph"/>
        <w:numPr>
          <w:ilvl w:val="0"/>
          <w:numId w:val="3"/>
        </w:numPr>
        <w:spacing w:after="80"/>
      </w:pPr>
      <w:r>
        <w:rPr>
          <w:rFonts w:ascii="Arial" w:cs="Arial" w:eastAsia="Arial" w:hAnsi="Arial"/>
          <w:b/>
          <w:bCs/>
          <w:color w:val="111827"/>
          <w:sz w:val="22"/>
          <w:szCs w:val="22"/>
        </w:rPr>
        <w:t xml:space="preserve">Backlog handling</w:t>
      </w:r>
      <w:r>
        <w:rPr>
          <w:rFonts w:ascii="Arial" w:cs="Arial" w:eastAsia="Arial" w:hAnsi="Arial"/>
          <w:color w:val="111827"/>
          <w:sz w:val="22"/>
          <w:szCs w:val="22"/>
        </w:rPr>
        <w:t xml:space="preserve"> — when a practice has 2-3 years of adjustments to do, does the plugin run year by year, or can it process multiple years at once? Affects UX.</w:t>
      </w:r>
    </w:p>
    <w:p>
      <w:pPr>
        <w:pStyle w:val="Heading2"/>
        <w:spacing w:after="160" w:before="300"/>
      </w:pPr>
      <w:r>
        <w:rPr>
          <w:rFonts w:ascii="Arial" w:cs="Arial" w:eastAsia="Arial" w:hAnsi="Arial"/>
          <w:b/>
          <w:bCs/>
          <w:color w:val="1F2937"/>
          <w:sz w:val="30"/>
          <w:szCs w:val="30"/>
        </w:rPr>
        <w:t xml:space="preserve">Things you need to share when we spec this in detail</w:t>
      </w:r>
    </w:p>
    <w:p>
      <w:pPr>
        <w:pStyle w:val="ListParagraph"/>
        <w:numPr>
          <w:ilvl w:val="0"/>
          <w:numId w:val="2"/>
        </w:numPr>
        <w:spacing w:after="80"/>
      </w:pPr>
      <w:r>
        <w:rPr>
          <w:rFonts w:ascii="Arial" w:cs="Arial" w:eastAsia="Arial" w:hAnsi="Arial"/>
          <w:color w:val="111827"/>
          <w:sz w:val="22"/>
          <w:szCs w:val="22"/>
        </w:rPr>
        <w:t xml:space="preserve">The Xero comparative-review spec (already received as a markdown file — </w:t>
      </w:r>
      <w:r>
        <w:rPr>
          <w:rFonts w:ascii="Consolas" w:cs="Consolas" w:eastAsia="Consolas" w:hAnsi="Consolas"/>
          <w:color w:val="111827"/>
          <w:sz w:val="20"/>
          <w:szCs w:val="20"/>
        </w:rPr>
        <w:t xml:space="preserve">trial-balance-comparative-review.md</w:t>
      </w:r>
      <w:r>
        <w:rPr>
          <w:rFonts w:ascii="Arial" w:cs="Arial" w:eastAsia="Arial" w:hAnsi="Arial"/>
          <w:color w:val="111827"/>
          <w:sz w:val="22"/>
          <w:szCs w:val="22"/>
        </w:rPr>
        <w:t xml:space="preserve">).</w:t>
      </w:r>
    </w:p>
    <w:p>
      <w:pPr>
        <w:pStyle w:val="ListParagraph"/>
        <w:numPr>
          <w:ilvl w:val="0"/>
          <w:numId w:val="2"/>
        </w:numPr>
        <w:spacing w:after="80"/>
      </w:pPr>
      <w:r>
        <w:rPr>
          <w:rFonts w:ascii="Arial" w:cs="Arial" w:eastAsia="Arial" w:hAnsi="Arial"/>
          <w:color w:val="111827"/>
          <w:sz w:val="22"/>
          <w:szCs w:val="22"/>
        </w:rPr>
        <w:t xml:space="preserve">Trial balance export samples from Xero, MYOB, QBO, FreeAgent.</w:t>
      </w:r>
    </w:p>
    <w:p>
      <w:pPr>
        <w:pStyle w:val="ListParagraph"/>
        <w:numPr>
          <w:ilvl w:val="0"/>
          <w:numId w:val="2"/>
        </w:numPr>
        <w:spacing w:after="80"/>
      </w:pPr>
      <w:r>
        <w:rPr>
          <w:rFonts w:ascii="Arial" w:cs="Arial" w:eastAsia="Arial" w:hAnsi="Arial"/>
          <w:color w:val="111827"/>
          <w:sz w:val="22"/>
          <w:szCs w:val="22"/>
        </w:rPr>
        <w:t xml:space="preserve">Examples of accountant financial statement formats the bookkeeper has dealt with — particularly the PDF variations.</w:t>
      </w:r>
    </w:p>
    <w:p>
      <w:pPr>
        <w:pStyle w:val="ListParagraph"/>
        <w:numPr>
          <w:ilvl w:val="0"/>
          <w:numId w:val="2"/>
        </w:numPr>
        <w:spacing w:after="80"/>
      </w:pPr>
      <w:r>
        <w:rPr>
          <w:rFonts w:ascii="Arial" w:cs="Arial" w:eastAsia="Arial" w:hAnsi="Arial"/>
          <w:color w:val="111827"/>
          <w:sz w:val="22"/>
          <w:szCs w:val="22"/>
        </w:rPr>
        <w:t xml:space="preserve">The bookkeeper's step-by-step current process — what she does manually today, including any matching shortcuts she's developed.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2026-05-19T04:33:33.159Z</dcterms:created>
  <dcterms:modified xsi:type="dcterms:W3CDTF">2026-05-19T04:33:33.184Z</dcterms:modified>
</cp:coreProperties>
</file>

<file path=docProps/custom.xml><?xml version="1.0" encoding="utf-8"?>
<Properties xmlns="http://schemas.openxmlformats.org/officeDocument/2006/custom-properties" xmlns:vt="http://schemas.openxmlformats.org/officeDocument/2006/docPropsVTypes"/>
</file>