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2937"/>
          <w:sz w:val="44"/>
          <w:szCs w:val="44"/>
        </w:rPr>
        <w:t xml:space="preserve">Plugin 6 — Client Fee Review</w:t>
      </w:r>
    </w:p>
    <w:p>
      <w:pPr>
        <w:spacing w:after="280" w:before="0"/>
      </w:pPr>
      <w:r>
        <w:rPr>
          <w:rFonts w:ascii="Arial" w:cs="Arial" w:eastAsia="Arial" w:hAnsi="Arial"/>
          <w:i/>
          <w:iCs/>
          <w:color w:val="6B7280"/>
          <w:sz w:val="26"/>
          <w:szCs w:val="26"/>
        </w:rPr>
        <w:t xml:space="preserve">Skeleton spec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b/>
                <w:bCs/>
                <w:color w:val="111827"/>
                <w:sz w:val="22"/>
                <w:szCs w:val="22"/>
              </w:rPr>
              <w:t xml:space="preserve">New plugin, added after "hell yes" demand signal from a practice owner (workshop input, May 2026).</w:t>
            </w:r>
            <w:r>
              <w:rPr>
                <w:rFonts w:ascii="Arial" w:cs="Arial" w:eastAsia="Arial" w:hAnsi="Arial"/>
                <w:color w:val="111827"/>
                <w:sz w:val="22"/>
                <w:szCs w:val="22"/>
              </w:rPr>
              <w:t xml:space="preserve"> A separate detailed Excel-tool design brief exists (Cass Scott Business Services, </w:t>
            </w:r>
            <w:r>
              <w:rPr>
                <w:rFonts w:ascii="Arial" w:cs="Arial" w:eastAsia="Arial" w:hAnsi="Arial"/>
                <w:i/>
                <w:iCs/>
                <w:color w:val="111827"/>
                <w:sz w:val="22"/>
                <w:szCs w:val="22"/>
              </w:rPr>
              <w:t xml:space="preserve">Strategic Pricing Tool</w:t>
            </w:r>
            <w:r>
              <w:rPr>
                <w:rFonts w:ascii="Arial" w:cs="Arial" w:eastAsia="Arial" w:hAnsi="Arial"/>
                <w:color w:val="111827"/>
                <w:sz w:val="22"/>
                <w:szCs w:val="22"/>
              </w:rPr>
              <w:t xml:space="preserve">) which uses XBert as a data source. The relationship between this plugin and that Excel tool is an </w:t>
            </w:r>
            <w:r>
              <w:rPr>
                <w:rFonts w:ascii="Arial" w:cs="Arial" w:eastAsia="Arial" w:hAnsi="Arial"/>
                <w:b/>
                <w:bCs/>
                <w:color w:val="111827"/>
                <w:sz w:val="22"/>
                <w:szCs w:val="22"/>
              </w:rPr>
              <w:t xml:space="preserve">open commercial question to resolve with Cass</w:t>
            </w:r>
            <w:r>
              <w:rPr>
                <w:rFonts w:ascii="Arial" w:cs="Arial" w:eastAsia="Arial" w:hAnsi="Arial"/>
                <w:color w:val="111827"/>
                <w:sz w:val="22"/>
                <w:szCs w:val="22"/>
              </w:rPr>
              <w:t xml:space="preserve"> — proceeding here on the assumption that all relevant capability sits in this plugin.</w:t>
            </w:r>
          </w:p>
        </w:tc>
      </w:tr>
    </w:tbl>
    <w:p>
      <w:pPr>
        <w:spacing w:after="100"/>
      </w:pPr>
      <w:r>
        <w:t xml:space="preserve"/>
      </w:r>
    </w:p>
    <w:p>
      <w:pPr>
        <w:pStyle w:val="Heading2"/>
        <w:spacing w:after="160" w:before="300"/>
      </w:pPr>
      <w:r>
        <w:rPr>
          <w:rFonts w:ascii="Arial" w:cs="Arial" w:eastAsia="Arial" w:hAnsi="Arial"/>
          <w:b/>
          <w:bCs/>
          <w:color w:val="1F2937"/>
          <w:sz w:val="30"/>
          <w:szCs w:val="30"/>
        </w:rPr>
        <w:t xml:space="preserve">Name and one-line purpose</w:t>
      </w:r>
    </w:p>
    <w:p>
      <w:pPr>
        <w:spacing w:after="140" w:before="0"/>
      </w:pPr>
      <w:r>
        <w:rPr>
          <w:rFonts w:ascii="Arial" w:cs="Arial" w:eastAsia="Arial" w:hAnsi="Arial"/>
          <w:b/>
          <w:bCs/>
          <w:color w:val="111827"/>
          <w:sz w:val="22"/>
          <w:szCs w:val="22"/>
        </w:rPr>
        <w:t xml:space="preserve">Client Fee Review</w:t>
      </w:r>
    </w:p>
    <w:p>
      <w:pPr>
        <w:spacing w:after="140" w:before="0"/>
      </w:pPr>
      <w:r>
        <w:rPr>
          <w:rFonts w:ascii="Arial" w:cs="Arial" w:eastAsia="Arial" w:hAnsi="Arial"/>
          <w:color w:val="111827"/>
          <w:sz w:val="22"/>
          <w:szCs w:val="22"/>
        </w:rPr>
        <w:t xml:space="preserve">Produces evidence — from the actual XBert and XPM data on time spent, capacity, and transaction volume per client — of whether each client's current fee is appropriately priced for the work being delivered, or whether it needs adjusting up or down. Designed to support the annual (or ad-hoc) client fee review across a whole client portfolio, with per-client drill-down.</w:t>
      </w:r>
    </w:p>
    <w:p>
      <w:pPr>
        <w:pStyle w:val="Heading2"/>
        <w:spacing w:after="160" w:before="300"/>
      </w:pPr>
      <w:r>
        <w:rPr>
          <w:rFonts w:ascii="Arial" w:cs="Arial" w:eastAsia="Arial" w:hAnsi="Arial"/>
          <w:b/>
          <w:bCs/>
          <w:color w:val="1F2937"/>
          <w:sz w:val="30"/>
          <w:szCs w:val="30"/>
        </w:rPr>
        <w:t xml:space="preserve">Target user</w:t>
      </w:r>
    </w:p>
    <w:p>
      <w:pPr>
        <w:pStyle w:val="ListParagraph"/>
        <w:numPr>
          <w:ilvl w:val="0"/>
          <w:numId w:val="2"/>
        </w:numPr>
        <w:spacing w:after="80"/>
      </w:pPr>
      <w:r>
        <w:rPr>
          <w:rFonts w:ascii="Arial" w:cs="Arial" w:eastAsia="Arial" w:hAnsi="Arial"/>
          <w:b/>
          <w:bCs/>
          <w:color w:val="111827"/>
          <w:sz w:val="22"/>
          <w:szCs w:val="22"/>
        </w:rPr>
        <w:t xml:space="preserve">Practice owners</w:t>
      </w:r>
      <w:r>
        <w:rPr>
          <w:rFonts w:ascii="Arial" w:cs="Arial" w:eastAsia="Arial" w:hAnsi="Arial"/>
          <w:color w:val="111827"/>
          <w:sz w:val="22"/>
          <w:szCs w:val="22"/>
        </w:rPr>
        <w:t xml:space="preserve">, primarily — fee decisions belong at the top of the practice. The owner reads the portfolio-level evidence and makes the calls.</w:t>
      </w:r>
    </w:p>
    <w:p>
      <w:pPr>
        <w:pStyle w:val="ListParagraph"/>
        <w:numPr>
          <w:ilvl w:val="0"/>
          <w:numId w:val="2"/>
        </w:numPr>
        <w:spacing w:after="80"/>
      </w:pPr>
      <w:r>
        <w:rPr>
          <w:rFonts w:ascii="Arial" w:cs="Arial" w:eastAsia="Arial" w:hAnsi="Arial"/>
          <w:b/>
          <w:bCs/>
          <w:color w:val="111827"/>
          <w:sz w:val="22"/>
          <w:szCs w:val="22"/>
        </w:rPr>
        <w:t xml:space="preserve">Practice managers</w:t>
      </w:r>
      <w:r>
        <w:rPr>
          <w:rFonts w:ascii="Arial" w:cs="Arial" w:eastAsia="Arial" w:hAnsi="Arial"/>
          <w:color w:val="111827"/>
          <w:sz w:val="22"/>
          <w:szCs w:val="22"/>
        </w:rPr>
        <w:t xml:space="preserve"> as secondary users — they often run the fee review process even when the owner signs off the decisions.</w:t>
      </w:r>
    </w:p>
    <w:p>
      <w:pPr>
        <w:pStyle w:val="ListParagraph"/>
        <w:numPr>
          <w:ilvl w:val="0"/>
          <w:numId w:val="2"/>
        </w:numPr>
        <w:spacing w:after="80"/>
      </w:pPr>
      <w:r>
        <w:rPr>
          <w:rFonts w:ascii="Arial" w:cs="Arial" w:eastAsia="Arial" w:hAnsi="Arial"/>
          <w:b/>
          <w:bCs/>
          <w:color w:val="111827"/>
          <w:sz w:val="22"/>
          <w:szCs w:val="22"/>
        </w:rPr>
        <w:t xml:space="preserve">Senior bookkeepers</w:t>
      </w:r>
      <w:r>
        <w:rPr>
          <w:rFonts w:ascii="Arial" w:cs="Arial" w:eastAsia="Arial" w:hAnsi="Arial"/>
          <w:color w:val="111827"/>
          <w:sz w:val="22"/>
          <w:szCs w:val="22"/>
        </w:rPr>
        <w:t xml:space="preserve"> in larger practices where pricing is delegated.</w:t>
      </w:r>
    </w:p>
    <w:p>
      <w:pPr>
        <w:spacing w:after="140" w:before="0"/>
      </w:pPr>
      <w:r>
        <w:rPr>
          <w:rFonts w:ascii="Arial" w:cs="Arial" w:eastAsia="Arial" w:hAnsi="Arial"/>
          <w:color w:val="111827"/>
          <w:sz w:val="22"/>
          <w:szCs w:val="22"/>
        </w:rPr>
        <w:t xml:space="preserve">Cohort: </w:t>
      </w:r>
      <w:r>
        <w:rPr>
          <w:rFonts w:ascii="Arial" w:cs="Arial" w:eastAsia="Arial" w:hAnsi="Arial"/>
          <w:b/>
          <w:bCs/>
          <w:color w:val="111827"/>
          <w:sz w:val="22"/>
          <w:szCs w:val="22"/>
        </w:rPr>
        <w:t xml:space="preserve">established customers (3+ months)</w:t>
      </w:r>
      <w:r>
        <w:rPr>
          <w:rFonts w:ascii="Arial" w:cs="Arial" w:eastAsia="Arial" w:hAnsi="Arial"/>
          <w:color w:val="111827"/>
          <w:sz w:val="22"/>
          <w:szCs w:val="22"/>
        </w:rPr>
        <w:t xml:space="preserve"> with meaningful XBert and XPM data history. The plugin's evidence is only as good as the time and volume data it draws on; practices with thin data get thin evidence. Should degrade gracefully — for clients with insufficient history, the plugin says so explicitly rather than producing low-confidence recommendations.</w:t>
      </w:r>
    </w:p>
    <w:p>
      <w:pPr>
        <w:pStyle w:val="Heading2"/>
        <w:spacing w:after="160" w:before="300"/>
      </w:pPr>
      <w:r>
        <w:rPr>
          <w:rFonts w:ascii="Arial" w:cs="Arial" w:eastAsia="Arial" w:hAnsi="Arial"/>
          <w:b/>
          <w:bCs/>
          <w:color w:val="1F2937"/>
          <w:sz w:val="30"/>
          <w:szCs w:val="30"/>
        </w:rPr>
        <w:t xml:space="preserve">Churn themes addressed (internal only)</w:t>
      </w:r>
    </w:p>
    <w:p>
      <w:pPr>
        <w:pStyle w:val="ListParagraph"/>
        <w:numPr>
          <w:ilvl w:val="0"/>
          <w:numId w:val="2"/>
        </w:numPr>
        <w:spacing w:after="80"/>
      </w:pPr>
      <w:r>
        <w:rPr>
          <w:rFonts w:ascii="Arial" w:cs="Arial" w:eastAsia="Arial" w:hAnsi="Arial"/>
          <w:b/>
          <w:bCs/>
          <w:color w:val="111827"/>
          <w:sz w:val="22"/>
          <w:szCs w:val="22"/>
        </w:rPr>
        <w:t xml:space="preserve">Cost / ROI</w:t>
      </w:r>
      <w:r>
        <w:rPr>
          <w:rFonts w:ascii="Arial" w:cs="Arial" w:eastAsia="Arial" w:hAnsi="Arial"/>
          <w:color w:val="111827"/>
          <w:sz w:val="22"/>
          <w:szCs w:val="22"/>
        </w:rPr>
        <w:t xml:space="preserve"> — pricing decisions are where bookkeeping practices recover (or fail to recover) the value they create. A plugin that surfaces underpriced clients with evidence directly affects the practice's bottom line, which directly affects how they value the XBert subscription.</w:t>
      </w:r>
    </w:p>
    <w:p>
      <w:pPr>
        <w:pStyle w:val="ListParagraph"/>
        <w:numPr>
          <w:ilvl w:val="0"/>
          <w:numId w:val="2"/>
        </w:numPr>
        <w:spacing w:after="80"/>
      </w:pPr>
      <w:r>
        <w:rPr>
          <w:rFonts w:ascii="Arial" w:cs="Arial" w:eastAsia="Arial" w:hAnsi="Arial"/>
          <w:b/>
          <w:bCs/>
          <w:color w:val="111827"/>
          <w:sz w:val="22"/>
          <w:szCs w:val="22"/>
        </w:rPr>
        <w:t xml:space="preserve">Switched competitor</w:t>
      </w:r>
      <w:r>
        <w:rPr>
          <w:rFonts w:ascii="Arial" w:cs="Arial" w:eastAsia="Arial" w:hAnsi="Arial"/>
          <w:color w:val="111827"/>
          <w:sz w:val="22"/>
          <w:szCs w:val="22"/>
        </w:rPr>
        <w:t xml:space="preserve"> — Karbon is named as the most common alternative. Fee review / pricing intelligence is the kind of advisory-capability layer that turns XBert from a workflow tool into a commercial intelligence tool — anchoring it as the practice-management hub rather than something replaceable.</w:t>
      </w:r>
    </w:p>
    <w:p>
      <w:pPr>
        <w:pStyle w:val="ListParagraph"/>
        <w:numPr>
          <w:ilvl w:val="0"/>
          <w:numId w:val="2"/>
        </w:numPr>
        <w:spacing w:after="80"/>
      </w:pPr>
      <w:r>
        <w:rPr>
          <w:rFonts w:ascii="Arial" w:cs="Arial" w:eastAsia="Arial" w:hAnsi="Arial"/>
          <w:b/>
          <w:bCs/>
          <w:color w:val="111827"/>
          <w:sz w:val="22"/>
          <w:szCs w:val="22"/>
        </w:rPr>
        <w:t xml:space="preserve">Product gaps / poor support</w:t>
      </w:r>
      <w:r>
        <w:rPr>
          <w:rFonts w:ascii="Arial" w:cs="Arial" w:eastAsia="Arial" w:hAnsi="Arial"/>
          <w:color w:val="111827"/>
          <w:sz w:val="22"/>
          <w:szCs w:val="22"/>
        </w:rPr>
        <w:t xml:space="preserve"> — long-tenure customers waiting for advisory features that go beyond data quality and workflow into commercial decisions. This is exactly that layer.</w:t>
      </w:r>
    </w:p>
    <w:p>
      <w:pPr>
        <w:pStyle w:val="Heading2"/>
        <w:spacing w:after="160" w:before="300"/>
      </w:pPr>
      <w:r>
        <w:rPr>
          <w:rFonts w:ascii="Arial" w:cs="Arial" w:eastAsia="Arial" w:hAnsi="Arial"/>
          <w:b/>
          <w:bCs/>
          <w:color w:val="1F2937"/>
          <w:sz w:val="30"/>
          <w:szCs w:val="30"/>
        </w:rPr>
        <w:t xml:space="preserve">Measurable benefit</w:t>
      </w:r>
    </w:p>
    <w:p>
      <w:pPr>
        <w:spacing w:after="140" w:before="0"/>
      </w:pPr>
      <w:r>
        <w:rPr>
          <w:rFonts w:ascii="Arial" w:cs="Arial" w:eastAsia="Arial" w:hAnsi="Arial"/>
          <w:color w:val="111827"/>
          <w:sz w:val="22"/>
          <w:szCs w:val="22"/>
        </w:rPr>
        <w:t xml:space="preserve">The plugin's primary output is </w:t>
      </w:r>
      <w:r>
        <w:rPr>
          <w:rFonts w:ascii="Arial" w:cs="Arial" w:eastAsia="Arial" w:hAnsi="Arial"/>
          <w:b/>
          <w:bCs/>
          <w:color w:val="111827"/>
          <w:sz w:val="22"/>
          <w:szCs w:val="22"/>
        </w:rPr>
        <w:t xml:space="preserve">evidence to support fee decisions, applied across the whole client book.</w:t>
      </w:r>
      <w:r>
        <w:rPr>
          <w:rFonts w:ascii="Arial" w:cs="Arial" w:eastAsia="Arial" w:hAnsi="Arial"/>
          <w:color w:val="111827"/>
          <w:sz w:val="22"/>
          <w:szCs w:val="22"/>
        </w:rPr>
        <w:t xml:space="preserve"> Two valid framings depending on how the review goes for a given client:</w:t>
      </w:r>
    </w:p>
    <w:p>
      <w:pPr>
        <w:pStyle w:val="ListParagraph"/>
        <w:numPr>
          <w:ilvl w:val="0"/>
          <w:numId w:val="2"/>
        </w:numPr>
        <w:spacing w:after="80"/>
      </w:pPr>
      <w:r>
        <w:rPr>
          <w:rFonts w:ascii="Arial" w:cs="Arial" w:eastAsia="Arial" w:hAnsi="Arial"/>
          <w:b/>
          <w:bCs/>
          <w:color w:val="111827"/>
          <w:sz w:val="22"/>
          <w:szCs w:val="22"/>
        </w:rPr>
        <w:t xml:space="preserve">Where a fee change is warranted:</w:t>
      </w:r>
      <w:r>
        <w:rPr>
          <w:rFonts w:ascii="Arial" w:cs="Arial" w:eastAsia="Arial" w:hAnsi="Arial"/>
          <w:color w:val="111827"/>
          <w:sz w:val="22"/>
          <w:szCs w:val="22"/>
        </w:rPr>
        <w:t xml:space="preserve"> the plugin produces the specific data point that justifies the change — "this client's actual cost-to-serve has grown 40% in the last 12 months while their fee has stayed flat" — and the suggested fee adjustment. A practice that reprices even 20% of clients by even 10% recovers material revenue.</w:t>
      </w:r>
    </w:p>
    <w:p>
      <w:pPr>
        <w:pStyle w:val="ListParagraph"/>
        <w:numPr>
          <w:ilvl w:val="0"/>
          <w:numId w:val="2"/>
        </w:numPr>
        <w:spacing w:after="80"/>
      </w:pPr>
      <w:r>
        <w:rPr>
          <w:rFonts w:ascii="Arial" w:cs="Arial" w:eastAsia="Arial" w:hAnsi="Arial"/>
          <w:b/>
          <w:bCs/>
          <w:color w:val="111827"/>
          <w:sz w:val="22"/>
          <w:szCs w:val="22"/>
        </w:rPr>
        <w:t xml:space="preserve">Where a fee change is NOT warranted:</w:t>
      </w:r>
      <w:r>
        <w:rPr>
          <w:rFonts w:ascii="Arial" w:cs="Arial" w:eastAsia="Arial" w:hAnsi="Arial"/>
          <w:color w:val="111827"/>
          <w:sz w:val="22"/>
          <w:szCs w:val="22"/>
        </w:rPr>
        <w:t xml:space="preserve"> the plugin produces evidence that the current fee is well-priced — "this client's cost-to-serve has been stable; current fee delivers X% margin; no change recommended." Equally valuable. It lets the practice tell a client at annual review "we looked at your file and your pricing is appropriate" with data behind it, building trust rather than triggering a difficult conversation unnecessarily.</w:t>
      </w:r>
    </w:p>
    <w:p>
      <w:pPr>
        <w:spacing w:after="100"/>
      </w:pPr>
      <w:r>
        <w:t xml:space="preserve"/>
      </w:r>
    </w:p>
    <w:p>
      <w:pPr>
        <w:spacing w:after="140" w:before="0"/>
      </w:pPr>
      <w:r>
        <w:rPr>
          <w:rFonts w:ascii="Arial" w:cs="Arial" w:eastAsia="Arial" w:hAnsi="Arial"/>
          <w:color w:val="111827"/>
          <w:sz w:val="22"/>
          <w:szCs w:val="22"/>
        </w:rPr>
        <w:t xml:space="preserve">Both framings are first-class outputs. The plugin's value is the </w:t>
      </w:r>
      <w:r>
        <w:rPr>
          <w:rFonts w:ascii="Arial" w:cs="Arial" w:eastAsia="Arial" w:hAnsi="Arial"/>
          <w:b/>
          <w:bCs/>
          <w:color w:val="111827"/>
          <w:sz w:val="22"/>
          <w:szCs w:val="22"/>
        </w:rPr>
        <w:t xml:space="preserve">evidence</w:t>
      </w:r>
      <w:r>
        <w:rPr>
          <w:rFonts w:ascii="Arial" w:cs="Arial" w:eastAsia="Arial" w:hAnsi="Arial"/>
          <w:color w:val="111827"/>
          <w:sz w:val="22"/>
          <w:szCs w:val="22"/>
        </w:rPr>
        <w:t xml:space="preserve">, not the recommendation direction.</w:t>
      </w:r>
    </w:p>
    <w:p>
      <w:pPr>
        <w:spacing w:after="140" w:before="0"/>
      </w:pPr>
      <w:r>
        <w:rPr>
          <w:rFonts w:ascii="Arial" w:cs="Arial" w:eastAsia="Arial" w:hAnsi="Arial"/>
          <w:b/>
          <w:bCs/>
          <w:color w:val="111827"/>
          <w:sz w:val="22"/>
          <w:szCs w:val="22"/>
        </w:rPr>
        <w:t xml:space="preserve">Workshop input (anonymised):</w:t>
      </w:r>
      <w:r>
        <w:rPr>
          <w:rFonts w:ascii="Arial" w:cs="Arial" w:eastAsia="Arial" w:hAnsi="Arial"/>
          <w:color w:val="111827"/>
          <w:sz w:val="22"/>
          <w:szCs w:val="22"/>
        </w:rPr>
        <w:t xml:space="preserve"> "Hell yes, would use immediately" — practice owner response to the prompt of "a tool that pulls your XBert/XPM data and produces a draft pricing recommendation per client."</w:t>
      </w:r>
    </w:p>
    <w:p>
      <w:pPr>
        <w:pStyle w:val="Heading2"/>
        <w:spacing w:after="160" w:before="300"/>
      </w:pPr>
      <w:r>
        <w:rPr>
          <w:rFonts w:ascii="Arial" w:cs="Arial" w:eastAsia="Arial" w:hAnsi="Arial"/>
          <w:b/>
          <w:bCs/>
          <w:color w:val="1F2937"/>
          <w:sz w:val="30"/>
          <w:szCs w:val="30"/>
        </w:rPr>
        <w:t xml:space="preserve">What the plugin produces</w:t>
      </w:r>
    </w:p>
    <w:p>
      <w:pPr>
        <w:spacing w:after="140" w:before="0"/>
      </w:pPr>
      <w:r>
        <w:rPr>
          <w:rFonts w:ascii="Arial" w:cs="Arial" w:eastAsia="Arial" w:hAnsi="Arial"/>
          <w:b/>
          <w:bCs/>
          <w:color w:val="111827"/>
          <w:sz w:val="22"/>
          <w:szCs w:val="22"/>
        </w:rPr>
        <w:t xml:space="preserve">A portfolio-level fee review document</w:t>
      </w:r>
      <w:r>
        <w:rPr>
          <w:rFonts w:ascii="Arial" w:cs="Arial" w:eastAsia="Arial" w:hAnsi="Arial"/>
          <w:color w:val="111827"/>
          <w:sz w:val="22"/>
          <w:szCs w:val="22"/>
        </w:rPr>
        <w:t xml:space="preserve"> covering all clients (or a selected subset), with the following structure:</w:t>
      </w:r>
    </w:p>
    <w:p>
      <w:pPr>
        <w:pStyle w:val="ListParagraph"/>
        <w:numPr>
          <w:ilvl w:val="0"/>
          <w:numId w:val="2"/>
        </w:numPr>
        <w:spacing w:after="80"/>
      </w:pPr>
      <w:r>
        <w:rPr>
          <w:rFonts w:ascii="Arial" w:cs="Arial" w:eastAsia="Arial" w:hAnsi="Arial"/>
          <w:b/>
          <w:bCs/>
          <w:color w:val="111827"/>
          <w:sz w:val="22"/>
          <w:szCs w:val="22"/>
        </w:rPr>
        <w:t xml:space="preserve">Portfolio summary</w:t>
      </w:r>
      <w:r>
        <w:rPr>
          <w:rFonts w:ascii="Arial" w:cs="Arial" w:eastAsia="Arial" w:hAnsi="Arial"/>
          <w:color w:val="111827"/>
          <w:sz w:val="22"/>
          <w:szCs w:val="22"/>
        </w:rPr>
        <w:t xml:space="preserve"> — recovery position across the book (total fees ÷ total cost-to-serve), count of clients flagged for review, count confirmed appropriately priced, total revenue exposure from underpricing identified.</w:t>
      </w:r>
    </w:p>
    <w:p>
      <w:pPr>
        <w:pStyle w:val="ListParagraph"/>
        <w:numPr>
          <w:ilvl w:val="0"/>
          <w:numId w:val="2"/>
        </w:numPr>
        <w:spacing w:after="80"/>
      </w:pPr>
      <w:r>
        <w:rPr>
          <w:rFonts w:ascii="Arial" w:cs="Arial" w:eastAsia="Arial" w:hAnsi="Arial"/>
          <w:b/>
          <w:bCs/>
          <w:color w:val="111827"/>
          <w:sz w:val="22"/>
          <w:szCs w:val="22"/>
        </w:rPr>
        <w:t xml:space="preserve">Clients with strong evidence for fee increase</w:t>
      </w:r>
      <w:r>
        <w:rPr>
          <w:rFonts w:ascii="Arial" w:cs="Arial" w:eastAsia="Arial" w:hAnsi="Arial"/>
          <w:color w:val="111827"/>
          <w:sz w:val="22"/>
          <w:szCs w:val="22"/>
        </w:rPr>
        <w:t xml:space="preserve"> — ranked by dollar gap, with the specific evidence (time logged trends, transaction volume changes, scope creep signals).</w:t>
      </w:r>
    </w:p>
    <w:p>
      <w:pPr>
        <w:pStyle w:val="ListParagraph"/>
        <w:numPr>
          <w:ilvl w:val="0"/>
          <w:numId w:val="2"/>
        </w:numPr>
        <w:spacing w:after="80"/>
      </w:pPr>
      <w:r>
        <w:rPr>
          <w:rFonts w:ascii="Arial" w:cs="Arial" w:eastAsia="Arial" w:hAnsi="Arial"/>
          <w:b/>
          <w:bCs/>
          <w:color w:val="111827"/>
          <w:sz w:val="22"/>
          <w:szCs w:val="22"/>
        </w:rPr>
        <w:t xml:space="preserve">Clients with stable pricing — no change recommended</w:t>
      </w:r>
      <w:r>
        <w:rPr>
          <w:rFonts w:ascii="Arial" w:cs="Arial" w:eastAsia="Arial" w:hAnsi="Arial"/>
          <w:color w:val="111827"/>
          <w:sz w:val="22"/>
          <w:szCs w:val="22"/>
        </w:rPr>
        <w:t xml:space="preserve"> — the "confirmed healthy" section, with the evidence to defend the current fee at annual review.</w:t>
      </w:r>
    </w:p>
    <w:p>
      <w:pPr>
        <w:pStyle w:val="ListParagraph"/>
        <w:numPr>
          <w:ilvl w:val="0"/>
          <w:numId w:val="2"/>
        </w:numPr>
        <w:spacing w:after="80"/>
      </w:pPr>
      <w:r>
        <w:rPr>
          <w:rFonts w:ascii="Arial" w:cs="Arial" w:eastAsia="Arial" w:hAnsi="Arial"/>
          <w:b/>
          <w:bCs/>
          <w:color w:val="111827"/>
          <w:sz w:val="22"/>
          <w:szCs w:val="22"/>
        </w:rPr>
        <w:t xml:space="preserve">Clients with evidence for fee decrease</w:t>
      </w:r>
      <w:r>
        <w:rPr>
          <w:rFonts w:ascii="Arial" w:cs="Arial" w:eastAsia="Arial" w:hAnsi="Arial"/>
          <w:color w:val="111827"/>
          <w:sz w:val="22"/>
          <w:szCs w:val="22"/>
        </w:rPr>
        <w:t xml:space="preserve"> — typically clients whose work has shrunk materially. Surfacing these proactively (rather than waiting for the client to ask) is a trust-building move.</w:t>
      </w:r>
    </w:p>
    <w:p>
      <w:pPr>
        <w:pStyle w:val="ListParagraph"/>
        <w:numPr>
          <w:ilvl w:val="0"/>
          <w:numId w:val="2"/>
        </w:numPr>
        <w:spacing w:after="80"/>
      </w:pPr>
      <w:r>
        <w:rPr>
          <w:rFonts w:ascii="Arial" w:cs="Arial" w:eastAsia="Arial" w:hAnsi="Arial"/>
          <w:b/>
          <w:bCs/>
          <w:color w:val="111827"/>
          <w:sz w:val="22"/>
          <w:szCs w:val="22"/>
        </w:rPr>
        <w:t xml:space="preserve">Clients with insufficient data</w:t>
      </w:r>
      <w:r>
        <w:rPr>
          <w:rFonts w:ascii="Arial" w:cs="Arial" w:eastAsia="Arial" w:hAnsi="Arial"/>
          <w:color w:val="111827"/>
          <w:sz w:val="22"/>
          <w:szCs w:val="22"/>
        </w:rPr>
        <w:t xml:space="preserve"> — explicit list of clients where the plugin doesn't have enough history to produce evidence. The plugin says what's missing and what would need to happen to fix it.</w:t>
      </w:r>
    </w:p>
    <w:p>
      <w:pPr>
        <w:pStyle w:val="ListParagraph"/>
        <w:numPr>
          <w:ilvl w:val="0"/>
          <w:numId w:val="2"/>
        </w:numPr>
        <w:spacing w:after="80"/>
      </w:pPr>
      <w:r>
        <w:rPr>
          <w:rFonts w:ascii="Arial" w:cs="Arial" w:eastAsia="Arial" w:hAnsi="Arial"/>
          <w:b/>
          <w:bCs/>
          <w:color w:val="111827"/>
          <w:sz w:val="22"/>
          <w:szCs w:val="22"/>
        </w:rPr>
        <w:t xml:space="preserve">Per-client drill-down</w:t>
      </w:r>
      <w:r>
        <w:rPr>
          <w:rFonts w:ascii="Arial" w:cs="Arial" w:eastAsia="Arial" w:hAnsi="Arial"/>
          <w:color w:val="111827"/>
          <w:sz w:val="22"/>
          <w:szCs w:val="22"/>
        </w:rPr>
        <w:t xml:space="preserve"> — detail page per flagged client showing the time / volume / margin history that drives the recommendation.</w:t>
      </w:r>
    </w:p>
    <w:p>
      <w:pPr>
        <w:pStyle w:val="Heading2"/>
        <w:spacing w:after="160" w:before="300"/>
      </w:pPr>
      <w:r>
        <w:rPr>
          <w:rFonts w:ascii="Arial" w:cs="Arial" w:eastAsia="Arial" w:hAnsi="Arial"/>
          <w:b/>
          <w:bCs/>
          <w:color w:val="1F2937"/>
          <w:sz w:val="30"/>
          <w:szCs w:val="30"/>
        </w:rPr>
        <w:t xml:space="preserve">Inputs needed</w:t>
      </w:r>
    </w:p>
    <w:p>
      <w:pPr>
        <w:spacing w:after="140" w:before="0"/>
      </w:pPr>
      <w:r>
        <w:rPr>
          <w:rFonts w:ascii="Arial" w:cs="Arial" w:eastAsia="Arial" w:hAnsi="Arial"/>
          <w:b/>
          <w:bCs/>
          <w:color w:val="111827"/>
          <w:sz w:val="22"/>
          <w:szCs w:val="22"/>
        </w:rPr>
        <w:t xml:space="preserve">XBert workflow data</w:t>
      </w:r>
      <w:r>
        <w:rPr>
          <w:rFonts w:ascii="Arial" w:cs="Arial" w:eastAsia="Arial" w:hAnsi="Arial"/>
          <w:color w:val="111827"/>
          <w:sz w:val="22"/>
          <w:szCs w:val="22"/>
        </w:rPr>
        <w:t xml:space="preserve"> — actual time logged per client, by service or task category. This is the same data the Workflow Review uses for budget-vs-actual analysis but rolled up to client-fee-relevant aggregates.</w:t>
      </w:r>
    </w:p>
    <w:p>
      <w:pPr>
        <w:spacing w:after="140" w:before="0"/>
      </w:pPr>
      <w:r>
        <w:rPr>
          <w:rFonts w:ascii="Arial" w:cs="Arial" w:eastAsia="Arial" w:hAnsi="Arial"/>
          <w:b/>
          <w:bCs/>
          <w:color w:val="111827"/>
          <w:sz w:val="22"/>
          <w:szCs w:val="22"/>
        </w:rPr>
        <w:t xml:space="preserve">XBert transaction volume data</w:t>
      </w:r>
      <w:r>
        <w:rPr>
          <w:rFonts w:ascii="Arial" w:cs="Arial" w:eastAsia="Arial" w:hAnsi="Arial"/>
          <w:color w:val="111827"/>
          <w:sz w:val="22"/>
          <w:szCs w:val="22"/>
        </w:rPr>
        <w:t xml:space="preserve"> — monthly counts per client across the categories used in fee scoping. The Cass Scott strategic-pricing brief identifies six categories that matter for bookkeeping: bank transactions, AP documents, AR documents, payroll runs (pay events not employees), expense claims, manual journals. Worth using the same categorisation in this plugin for consistency.</w:t>
      </w:r>
    </w:p>
    <w:p>
      <w:pPr>
        <w:spacing w:after="140" w:before="0"/>
      </w:pPr>
      <w:r>
        <w:rPr>
          <w:rFonts w:ascii="Arial" w:cs="Arial" w:eastAsia="Arial" w:hAnsi="Arial"/>
          <w:b/>
          <w:bCs/>
          <w:color w:val="111827"/>
          <w:sz w:val="22"/>
          <w:szCs w:val="22"/>
        </w:rPr>
        <w:t xml:space="preserve">XPM data</w:t>
      </w:r>
      <w:r>
        <w:rPr>
          <w:rFonts w:ascii="Arial" w:cs="Arial" w:eastAsia="Arial" w:hAnsi="Arial"/>
          <w:color w:val="111827"/>
          <w:sz w:val="22"/>
          <w:szCs w:val="22"/>
        </w:rPr>
        <w:t xml:space="preserve"> — current fees per client, scope statements / engagement letters if accessible, billing history.</w:t>
      </w:r>
    </w:p>
    <w:p>
      <w:pPr>
        <w:spacing w:after="140" w:before="0"/>
      </w:pPr>
      <w:r>
        <w:rPr>
          <w:rFonts w:ascii="Arial" w:cs="Arial" w:eastAsia="Arial" w:hAnsi="Arial"/>
          <w:b/>
          <w:bCs/>
          <w:color w:val="111827"/>
          <w:sz w:val="22"/>
          <w:szCs w:val="22"/>
        </w:rPr>
        <w:t xml:space="preserve">Optional but valuable:</w:t>
      </w:r>
      <w:r>
        <w:rPr>
          <w:rFonts w:ascii="Arial" w:cs="Arial" w:eastAsia="Arial" w:hAnsi="Arial"/>
          <w:color w:val="111827"/>
          <w:sz w:val="22"/>
          <w:szCs w:val="22"/>
        </w:rPr>
        <w:t xml:space="preserve"> the practice's cost-base / floor-rate data from the strategic-pricing model (if they have one). The plugin can use this for margin calculations; without it, the plugin falls back to time-based proxies.</w:t>
      </w:r>
    </w:p>
    <w:p>
      <w:pPr>
        <w:spacing w:after="140" w:before="0"/>
      </w:pPr>
      <w:r>
        <w:rPr>
          <w:rFonts w:ascii="Arial" w:cs="Arial" w:eastAsia="Arial" w:hAnsi="Arial"/>
          <w:b/>
          <w:bCs/>
          <w:color w:val="111827"/>
          <w:sz w:val="22"/>
          <w:szCs w:val="22"/>
        </w:rPr>
        <w:t xml:space="preserve">Row shape (sketch):</w:t>
      </w:r>
      <w:r>
        <w:rPr>
          <w:rFonts w:ascii="Arial" w:cs="Arial" w:eastAsia="Arial" w:hAnsi="Arial"/>
          <w:color w:val="111827"/>
          <w:sz w:val="22"/>
          <w:szCs w:val="22"/>
        </w:rPr>
        <w:t xml:space="preserve"> one row per (Client × Month × Service Category), with time logged, transaction volumes by category, current fee, and any cost-floor or margin data available. Twelve months of history minimum to detect trends; 24+ months ideal.</w:t>
      </w:r>
    </w:p>
    <w:p>
      <w:pPr>
        <w:pStyle w:val="Heading2"/>
        <w:spacing w:after="160" w:before="300"/>
      </w:pPr>
      <w:r>
        <w:rPr>
          <w:rFonts w:ascii="Arial" w:cs="Arial" w:eastAsia="Arial" w:hAnsi="Arial"/>
          <w:b/>
          <w:bCs/>
          <w:color w:val="1F2937"/>
          <w:sz w:val="30"/>
          <w:szCs w:val="30"/>
        </w:rPr>
        <w:t xml:space="preserve">Output</w:t>
      </w:r>
    </w:p>
    <w:p>
      <w:pPr>
        <w:spacing w:after="140" w:before="0"/>
      </w:pPr>
      <w:r>
        <w:rPr>
          <w:rFonts w:ascii="Arial" w:cs="Arial" w:eastAsia="Arial" w:hAnsi="Arial"/>
          <w:b/>
          <w:bCs/>
          <w:color w:val="111827"/>
          <w:sz w:val="22"/>
          <w:szCs w:val="22"/>
        </w:rPr>
        <w:t xml:space="preserve">Format:</w:t>
      </w:r>
      <w:r>
        <w:rPr>
          <w:rFonts w:ascii="Arial" w:cs="Arial" w:eastAsia="Arial" w:hAnsi="Arial"/>
          <w:color w:val="111827"/>
          <w:sz w:val="22"/>
          <w:szCs w:val="22"/>
        </w:rPr>
        <w:t xml:space="preserve"> Word document primary, with optional Excel companion containing the underlying detail data (for practices that want to do their own analysis on top).</w:t>
      </w:r>
    </w:p>
    <w:p>
      <w:pPr>
        <w:spacing w:after="140" w:before="0"/>
      </w:pPr>
      <w:r>
        <w:rPr>
          <w:rFonts w:ascii="Arial" w:cs="Arial" w:eastAsia="Arial" w:hAnsi="Arial"/>
          <w:b/>
          <w:bCs/>
          <w:color w:val="111827"/>
          <w:sz w:val="22"/>
          <w:szCs w:val="22"/>
        </w:rPr>
        <w:t xml:space="preserve">Structure (sketch):</w:t>
      </w:r>
    </w:p>
    <w:p>
      <w:pPr>
        <w:pStyle w:val="ListParagraph"/>
        <w:numPr>
          <w:ilvl w:val="0"/>
          <w:numId w:val="2"/>
        </w:numPr>
        <w:spacing w:after="80"/>
      </w:pPr>
      <w:r>
        <w:rPr>
          <w:rFonts w:ascii="Arial" w:cs="Arial" w:eastAsia="Arial" w:hAnsi="Arial"/>
          <w:color w:val="111827"/>
          <w:sz w:val="22"/>
          <w:szCs w:val="22"/>
        </w:rPr>
        <w:t xml:space="preserve">First-page portfolio summary — recovery position, counts, total exposure</w:t>
      </w:r>
    </w:p>
    <w:p>
      <w:pPr>
        <w:pStyle w:val="ListParagraph"/>
        <w:numPr>
          <w:ilvl w:val="0"/>
          <w:numId w:val="2"/>
        </w:numPr>
        <w:spacing w:after="80"/>
      </w:pPr>
      <w:r>
        <w:rPr>
          <w:rFonts w:ascii="Arial" w:cs="Arial" w:eastAsia="Arial" w:hAnsi="Arial"/>
          <w:color w:val="111827"/>
          <w:sz w:val="22"/>
          <w:szCs w:val="22"/>
        </w:rPr>
        <w:t xml:space="preserve">Section 1: Clients flagged for fee increase (ranked by gap)</w:t>
      </w:r>
    </w:p>
    <w:p>
      <w:pPr>
        <w:pStyle w:val="ListParagraph"/>
        <w:numPr>
          <w:ilvl w:val="0"/>
          <w:numId w:val="2"/>
        </w:numPr>
        <w:spacing w:after="80"/>
      </w:pPr>
      <w:r>
        <w:rPr>
          <w:rFonts w:ascii="Arial" w:cs="Arial" w:eastAsia="Arial" w:hAnsi="Arial"/>
          <w:color w:val="111827"/>
          <w:sz w:val="22"/>
          <w:szCs w:val="22"/>
        </w:rPr>
        <w:t xml:space="preserve">Section 2: Clients confirmed appropriately priced (the "no change" evidence)</w:t>
      </w:r>
    </w:p>
    <w:p>
      <w:pPr>
        <w:pStyle w:val="ListParagraph"/>
        <w:numPr>
          <w:ilvl w:val="0"/>
          <w:numId w:val="2"/>
        </w:numPr>
        <w:spacing w:after="80"/>
      </w:pPr>
      <w:r>
        <w:rPr>
          <w:rFonts w:ascii="Arial" w:cs="Arial" w:eastAsia="Arial" w:hAnsi="Arial"/>
          <w:color w:val="111827"/>
          <w:sz w:val="22"/>
          <w:szCs w:val="22"/>
        </w:rPr>
        <w:t xml:space="preserve">Section 3: Clients flagged for fee decrease</w:t>
      </w:r>
    </w:p>
    <w:p>
      <w:pPr>
        <w:pStyle w:val="ListParagraph"/>
        <w:numPr>
          <w:ilvl w:val="0"/>
          <w:numId w:val="2"/>
        </w:numPr>
        <w:spacing w:after="80"/>
      </w:pPr>
      <w:r>
        <w:rPr>
          <w:rFonts w:ascii="Arial" w:cs="Arial" w:eastAsia="Arial" w:hAnsi="Arial"/>
          <w:color w:val="111827"/>
          <w:sz w:val="22"/>
          <w:szCs w:val="22"/>
        </w:rPr>
        <w:t xml:space="preserve">Section 4: Clients with insufficient data</w:t>
      </w:r>
    </w:p>
    <w:p>
      <w:pPr>
        <w:pStyle w:val="ListParagraph"/>
        <w:numPr>
          <w:ilvl w:val="0"/>
          <w:numId w:val="2"/>
        </w:numPr>
        <w:spacing w:after="80"/>
      </w:pPr>
      <w:r>
        <w:rPr>
          <w:rFonts w:ascii="Arial" w:cs="Arial" w:eastAsia="Arial" w:hAnsi="Arial"/>
          <w:color w:val="111827"/>
          <w:sz w:val="22"/>
          <w:szCs w:val="22"/>
        </w:rPr>
        <w:t xml:space="preserve">Section 5: Per-client drill-down (one page per flagged client)</w:t>
      </w:r>
    </w:p>
    <w:p>
      <w:pPr>
        <w:pStyle w:val="ListParagraph"/>
        <w:numPr>
          <w:ilvl w:val="0"/>
          <w:numId w:val="2"/>
        </w:numPr>
        <w:spacing w:after="80"/>
      </w:pPr>
      <w:r>
        <w:rPr>
          <w:rFonts w:ascii="Arial" w:cs="Arial" w:eastAsia="Arial" w:hAnsi="Arial"/>
          <w:color w:val="111827"/>
          <w:sz w:val="22"/>
          <w:szCs w:val="22"/>
        </w:rPr>
        <w:t xml:space="preserve">Section 6: How to use this in an annual client review — practical notes on having the conversation</w:t>
      </w:r>
    </w:p>
    <w:p>
      <w:pPr>
        <w:spacing w:after="140" w:before="0"/>
      </w:pPr>
      <w:r>
        <w:rPr>
          <w:rFonts w:ascii="Arial" w:cs="Arial" w:eastAsia="Arial" w:hAnsi="Arial"/>
          <w:b/>
          <w:bCs/>
          <w:color w:val="111827"/>
          <w:sz w:val="22"/>
          <w:szCs w:val="22"/>
        </w:rPr>
        <w:t xml:space="preserve">The plugin does not produce client-facing proposals.</w:t>
      </w:r>
      <w:r>
        <w:rPr>
          <w:rFonts w:ascii="Arial" w:cs="Arial" w:eastAsia="Arial" w:hAnsi="Arial"/>
          <w:color w:val="111827"/>
          <w:sz w:val="22"/>
          <w:szCs w:val="22"/>
        </w:rPr>
        <w:t xml:space="preserve"> Those are downstream of the fee-review decision and likely belong to a different tool (Cass's strategic-pricing tool, or a future plugin).</w:t>
      </w:r>
    </w:p>
    <w:p>
      <w:pPr>
        <w:pStyle w:val="Heading2"/>
        <w:spacing w:after="160" w:before="300"/>
      </w:pPr>
      <w:r>
        <w:rPr>
          <w:rFonts w:ascii="Arial" w:cs="Arial" w:eastAsia="Arial" w:hAnsi="Arial"/>
          <w:b/>
          <w:bCs/>
          <w:color w:val="1F2937"/>
          <w:sz w:val="30"/>
          <w:szCs w:val="30"/>
        </w:rPr>
        <w:t xml:space="preserve">Non-overlap argument — draft</w:t>
      </w:r>
    </w:p>
    <w:p>
      <w:pPr>
        <w:pStyle w:val="ListParagraph"/>
        <w:numPr>
          <w:ilvl w:val="0"/>
          <w:numId w:val="2"/>
        </w:numPr>
        <w:spacing w:after="80"/>
      </w:pPr>
      <w:r>
        <w:rPr>
          <w:rFonts w:ascii="Arial" w:cs="Arial" w:eastAsia="Arial" w:hAnsi="Arial"/>
          <w:b/>
          <w:bCs/>
          <w:color w:val="111827"/>
          <w:sz w:val="22"/>
          <w:szCs w:val="22"/>
        </w:rPr>
        <w:t xml:space="preserve">XBert work screens</w:t>
      </w:r>
      <w:r>
        <w:rPr>
          <w:rFonts w:ascii="Arial" w:cs="Arial" w:eastAsia="Arial" w:hAnsi="Arial"/>
          <w:color w:val="111827"/>
          <w:sz w:val="22"/>
          <w:szCs w:val="22"/>
        </w:rPr>
        <w:t xml:space="preserve"> show individual time logged but don't aggregate it to client-fee-relevant comparisons.</w:t>
      </w:r>
    </w:p>
    <w:p>
      <w:pPr>
        <w:pStyle w:val="ListParagraph"/>
        <w:numPr>
          <w:ilvl w:val="0"/>
          <w:numId w:val="2"/>
        </w:numPr>
        <w:spacing w:after="80"/>
      </w:pPr>
      <w:r>
        <w:rPr>
          <w:rFonts w:ascii="Arial" w:cs="Arial" w:eastAsia="Arial" w:hAnsi="Arial"/>
          <w:b/>
          <w:bCs/>
          <w:color w:val="111827"/>
          <w:sz w:val="22"/>
          <w:szCs w:val="22"/>
        </w:rPr>
        <w:t xml:space="preserve">XPM</w:t>
      </w:r>
      <w:r>
        <w:rPr>
          <w:rFonts w:ascii="Arial" w:cs="Arial" w:eastAsia="Arial" w:hAnsi="Arial"/>
          <w:color w:val="111827"/>
          <w:sz w:val="22"/>
          <w:szCs w:val="22"/>
        </w:rPr>
        <w:t xml:space="preserve"> shows fees and billing but doesn't fuse them with cost-to-serve data.</w:t>
      </w:r>
    </w:p>
    <w:p>
      <w:pPr>
        <w:pStyle w:val="ListParagraph"/>
        <w:numPr>
          <w:ilvl w:val="0"/>
          <w:numId w:val="2"/>
        </w:numPr>
        <w:spacing w:after="80"/>
      </w:pPr>
      <w:r>
        <w:rPr>
          <w:rFonts w:ascii="Arial" w:cs="Arial" w:eastAsia="Arial" w:hAnsi="Arial"/>
          <w:b/>
          <w:bCs/>
          <w:color w:val="111827"/>
          <w:sz w:val="22"/>
          <w:szCs w:val="22"/>
        </w:rPr>
        <w:t xml:space="preserve">The accounting system</w:t>
      </w:r>
      <w:r>
        <w:rPr>
          <w:rFonts w:ascii="Arial" w:cs="Arial" w:eastAsia="Arial" w:hAnsi="Arial"/>
          <w:color w:val="111827"/>
          <w:sz w:val="22"/>
          <w:szCs w:val="22"/>
        </w:rPr>
        <w:t xml:space="preserve"> holds none of this; revenue and cost-of-delivery aren't aggregated at the client level by Xero/MYOB/etc.</w:t>
      </w:r>
    </w:p>
    <w:p>
      <w:pPr>
        <w:pStyle w:val="ListParagraph"/>
        <w:numPr>
          <w:ilvl w:val="0"/>
          <w:numId w:val="2"/>
        </w:numPr>
        <w:spacing w:after="80"/>
      </w:pPr>
      <w:r>
        <w:rPr>
          <w:rFonts w:ascii="Arial" w:cs="Arial" w:eastAsia="Arial" w:hAnsi="Arial"/>
          <w:b/>
          <w:bCs/>
          <w:color w:val="111827"/>
          <w:sz w:val="22"/>
          <w:szCs w:val="22"/>
        </w:rPr>
        <w:t xml:space="preserve">The plugin's edge is the fusion</w:t>
      </w:r>
      <w:r>
        <w:rPr>
          <w:rFonts w:ascii="Arial" w:cs="Arial" w:eastAsia="Arial" w:hAnsi="Arial"/>
          <w:color w:val="111827"/>
          <w:sz w:val="22"/>
          <w:szCs w:val="22"/>
        </w:rPr>
        <w:t xml:space="preserve"> — workflow time + transaction volume + current fee, aggregated and compared per client, presented as portfolio-level evidence.</w:t>
      </w:r>
    </w:p>
    <w:p>
      <w:pPr>
        <w:spacing w:after="140" w:before="0"/>
      </w:pPr>
      <w:r>
        <w:rPr>
          <w:rFonts w:ascii="Arial" w:cs="Arial" w:eastAsia="Arial" w:hAnsi="Arial"/>
          <w:b/>
          <w:bCs/>
          <w:color w:val="111827"/>
          <w:sz w:val="22"/>
          <w:szCs w:val="22"/>
        </w:rPr>
        <w:t xml:space="preserve">Overlap with Cass's Strategic Pricing Tool</w:t>
      </w:r>
      <w:r>
        <w:rPr>
          <w:rFonts w:ascii="Arial" w:cs="Arial" w:eastAsia="Arial" w:hAnsi="Arial"/>
          <w:color w:val="111827"/>
          <w:sz w:val="22"/>
          <w:szCs w:val="22"/>
        </w:rPr>
        <w:t xml:space="preserve"> is the open commercial question. The pricing tool covers cost-base modelling, scope determination, proposal generation, and ongoing monitoring — much broader than this plugin. This plugin is narrower: it surfaces the evidence and recommendation, leaving the decision and the proposal to the practice owner (or to Cass's tool downstream). One reasonable framing: this plugin is what surfaces "you should look at this client's fee"; Cass's tool is what you use to actually do the repricing once you've decided to. But the relationship needs explicit definition with Cass before this plugin progresses.</w:t>
      </w:r>
    </w:p>
    <w:p>
      <w:pPr>
        <w:pStyle w:val="Heading2"/>
        <w:spacing w:after="160" w:before="300"/>
      </w:pPr>
      <w:r>
        <w:rPr>
          <w:rFonts w:ascii="Arial" w:cs="Arial" w:eastAsia="Arial" w:hAnsi="Arial"/>
          <w:b/>
          <w:bCs/>
          <w:color w:val="1F2937"/>
          <w:sz w:val="30"/>
          <w:szCs w:val="30"/>
        </w:rPr>
        <w:t xml:space="preserve">Open questions</w:t>
      </w:r>
    </w:p>
    <w:p>
      <w:pPr>
        <w:pStyle w:val="ListParagraph"/>
        <w:numPr>
          <w:ilvl w:val="0"/>
          <w:numId w:val="3"/>
        </w:numPr>
        <w:spacing w:after="80"/>
      </w:pPr>
      <w:r>
        <w:rPr>
          <w:rFonts w:ascii="Arial" w:cs="Arial" w:eastAsia="Arial" w:hAnsi="Arial"/>
          <w:b/>
          <w:bCs/>
          <w:color w:val="111827"/>
          <w:sz w:val="22"/>
          <w:szCs w:val="22"/>
        </w:rPr>
        <w:t xml:space="preserve">Commercial relationship with Cass's Strategic Pricing Tool</w:t>
      </w:r>
      <w:r>
        <w:rPr>
          <w:rFonts w:ascii="Arial" w:cs="Arial" w:eastAsia="Arial" w:hAnsi="Arial"/>
          <w:color w:val="111827"/>
          <w:sz w:val="22"/>
          <w:szCs w:val="22"/>
        </w:rPr>
        <w:t xml:space="preserve"> — primary open question. Possible framings: (a) the plugin is the trigger / evidence engine; the tool is the modelling and proposal engine. (b) The plugin is for practices that don't buy the tool; the tool is for practices that want the full framework. (c) The plugin's outputs are the tool's inputs — they're designed to compose. Worth Cass's input directly.</w:t>
      </w:r>
    </w:p>
    <w:p>
      <w:pPr>
        <w:pStyle w:val="ListParagraph"/>
        <w:numPr>
          <w:ilvl w:val="0"/>
          <w:numId w:val="3"/>
        </w:numPr>
        <w:spacing w:after="80"/>
      </w:pPr>
      <w:r>
        <w:rPr>
          <w:rFonts w:ascii="Arial" w:cs="Arial" w:eastAsia="Arial" w:hAnsi="Arial"/>
          <w:b/>
          <w:bCs/>
          <w:color w:val="111827"/>
          <w:sz w:val="22"/>
          <w:szCs w:val="22"/>
        </w:rPr>
        <w:t xml:space="preserve">Pricing model variance</w:t>
      </w:r>
      <w:r>
        <w:rPr>
          <w:rFonts w:ascii="Arial" w:cs="Arial" w:eastAsia="Arial" w:hAnsi="Arial"/>
          <w:color w:val="111827"/>
          <w:sz w:val="22"/>
          <w:szCs w:val="22"/>
        </w:rPr>
        <w:t xml:space="preserve"> — workshop input notes that pricing differs by work type ("consulting is priced differently to bookkeeping, which is different again, to systems implementation"). Does the plugin treat each work type separately when assessing recovery, or does it aggregate? Probably separately — confirm.</w:t>
      </w:r>
    </w:p>
    <w:p>
      <w:pPr>
        <w:pStyle w:val="ListParagraph"/>
        <w:numPr>
          <w:ilvl w:val="0"/>
          <w:numId w:val="3"/>
        </w:numPr>
        <w:spacing w:after="80"/>
      </w:pPr>
      <w:r>
        <w:rPr>
          <w:rFonts w:ascii="Arial" w:cs="Arial" w:eastAsia="Arial" w:hAnsi="Arial"/>
          <w:b/>
          <w:bCs/>
          <w:color w:val="111827"/>
          <w:sz w:val="22"/>
          <w:szCs w:val="22"/>
        </w:rPr>
        <w:t xml:space="preserve">Moving from hourly to other metrics</w:t>
      </w:r>
      <w:r>
        <w:rPr>
          <w:rFonts w:ascii="Arial" w:cs="Arial" w:eastAsia="Arial" w:hAnsi="Arial"/>
          <w:color w:val="111827"/>
          <w:sz w:val="22"/>
          <w:szCs w:val="22"/>
        </w:rPr>
        <w:t xml:space="preserve"> — workshop input notes "We are moving from hourly to other metrics (such as volume, value)." Means the plugin needs to support multiple pricing-basis types: time-based, volume-based, value-based, hybrid. Each has a different evidence model. v1 scope to be decided.</w:t>
      </w:r>
    </w:p>
    <w:p>
      <w:pPr>
        <w:pStyle w:val="ListParagraph"/>
        <w:numPr>
          <w:ilvl w:val="0"/>
          <w:numId w:val="3"/>
        </w:numPr>
        <w:spacing w:after="80"/>
      </w:pPr>
      <w:r>
        <w:rPr>
          <w:rFonts w:ascii="Arial" w:cs="Arial" w:eastAsia="Arial" w:hAnsi="Arial"/>
          <w:b/>
          <w:bCs/>
          <w:color w:val="111827"/>
          <w:sz w:val="22"/>
          <w:szCs w:val="22"/>
        </w:rPr>
        <w:t xml:space="preserve">In-scope vs out-of-scope work identification</w:t>
      </w:r>
      <w:r>
        <w:rPr>
          <w:rFonts w:ascii="Arial" w:cs="Arial" w:eastAsia="Arial" w:hAnsi="Arial"/>
          <w:color w:val="111827"/>
          <w:sz w:val="22"/>
          <w:szCs w:val="22"/>
        </w:rPr>
        <w:t xml:space="preserve"> — workshop input flags this as key: "key is key identification of in scope vs out of scope work, and how the pricing around that is also articulated." How does the plugin detect out-of-scope work? Is this encoded in XBert task / template data, or surfaced via the workflow review approach (scope-boundary breaches)?</w:t>
      </w:r>
    </w:p>
    <w:p>
      <w:pPr>
        <w:pStyle w:val="ListParagraph"/>
        <w:numPr>
          <w:ilvl w:val="0"/>
          <w:numId w:val="3"/>
        </w:numPr>
        <w:spacing w:after="80"/>
      </w:pPr>
      <w:r>
        <w:rPr>
          <w:rFonts w:ascii="Arial" w:cs="Arial" w:eastAsia="Arial" w:hAnsi="Arial"/>
          <w:b/>
          <w:bCs/>
          <w:color w:val="111827"/>
          <w:sz w:val="22"/>
          <w:szCs w:val="22"/>
        </w:rPr>
        <w:t xml:space="preserve">Confidence framing</w:t>
      </w:r>
      <w:r>
        <w:rPr>
          <w:rFonts w:ascii="Arial" w:cs="Arial" w:eastAsia="Arial" w:hAnsi="Arial"/>
          <w:color w:val="111827"/>
          <w:sz w:val="22"/>
          <w:szCs w:val="22"/>
        </w:rPr>
        <w:t xml:space="preserve"> — the plugin's recommendations are evidence-based, not prescriptive. How is uncertainty expressed in the output? "Strong evidence," "some evidence," "insufficient evidence" — or numerical confidence scores? Probably the former for readability.</w:t>
      </w:r>
    </w:p>
    <w:p>
      <w:pPr>
        <w:pStyle w:val="ListParagraph"/>
        <w:numPr>
          <w:ilvl w:val="0"/>
          <w:numId w:val="3"/>
        </w:numPr>
        <w:spacing w:after="80"/>
      </w:pPr>
      <w:r>
        <w:rPr>
          <w:rFonts w:ascii="Arial" w:cs="Arial" w:eastAsia="Arial" w:hAnsi="Arial"/>
          <w:b/>
          <w:bCs/>
          <w:color w:val="111827"/>
          <w:sz w:val="22"/>
          <w:szCs w:val="22"/>
        </w:rPr>
        <w:t xml:space="preserve">Engagement-letter integration</w:t>
      </w:r>
      <w:r>
        <w:rPr>
          <w:rFonts w:ascii="Arial" w:cs="Arial" w:eastAsia="Arial" w:hAnsi="Arial"/>
          <w:color w:val="111827"/>
          <w:sz w:val="22"/>
          <w:szCs w:val="22"/>
        </w:rPr>
        <w:t xml:space="preserve"> — fee changes typically require updated engagement letters or fee schedules. Does the plugin's output map to that? At minimum, the per-client drill-down should reference the existing engagement letter date so the practice owner has context.</w:t>
      </w:r>
    </w:p>
    <w:p>
      <w:pPr>
        <w:pStyle w:val="ListParagraph"/>
        <w:numPr>
          <w:ilvl w:val="0"/>
          <w:numId w:val="3"/>
        </w:numPr>
        <w:spacing w:after="80"/>
      </w:pPr>
      <w:r>
        <w:rPr>
          <w:rFonts w:ascii="Arial" w:cs="Arial" w:eastAsia="Arial" w:hAnsi="Arial"/>
          <w:b/>
          <w:bCs/>
          <w:color w:val="111827"/>
          <w:sz w:val="22"/>
          <w:szCs w:val="22"/>
        </w:rPr>
        <w:t xml:space="preserve">Cohort-defining minimum data history</w:t>
      </w:r>
      <w:r>
        <w:rPr>
          <w:rFonts w:ascii="Arial" w:cs="Arial" w:eastAsia="Arial" w:hAnsi="Arial"/>
          <w:color w:val="111827"/>
          <w:sz w:val="22"/>
          <w:szCs w:val="22"/>
        </w:rPr>
        <w:t xml:space="preserve"> — what's the minimum history before the plugin produces useful evidence? Provisional: 12 months of XBert workflow + transaction data per client. Confirm with the workshop participants.</w:t>
      </w:r>
    </w:p>
    <w:p>
      <w:pPr>
        <w:pStyle w:val="Heading2"/>
        <w:spacing w:after="160" w:before="300"/>
      </w:pPr>
      <w:r>
        <w:rPr>
          <w:rFonts w:ascii="Arial" w:cs="Arial" w:eastAsia="Arial" w:hAnsi="Arial"/>
          <w:b/>
          <w:bCs/>
          <w:color w:val="1F2937"/>
          <w:sz w:val="30"/>
          <w:szCs w:val="30"/>
        </w:rPr>
        <w:t xml:space="preserve">Things you need to share when we spec this in detail</w:t>
      </w:r>
    </w:p>
    <w:p>
      <w:pPr>
        <w:pStyle w:val="ListParagraph"/>
        <w:numPr>
          <w:ilvl w:val="0"/>
          <w:numId w:val="2"/>
        </w:numPr>
        <w:spacing w:after="80"/>
      </w:pPr>
      <w:r>
        <w:rPr>
          <w:rFonts w:ascii="Arial" w:cs="Arial" w:eastAsia="Arial" w:hAnsi="Arial"/>
          <w:color w:val="111827"/>
          <w:sz w:val="22"/>
          <w:szCs w:val="22"/>
        </w:rPr>
        <w:t xml:space="preserve">The Cass Scott </w:t>
      </w:r>
      <w:r>
        <w:rPr>
          <w:rFonts w:ascii="Arial" w:cs="Arial" w:eastAsia="Arial" w:hAnsi="Arial"/>
          <w:i/>
          <w:iCs/>
          <w:color w:val="111827"/>
          <w:sz w:val="22"/>
          <w:szCs w:val="22"/>
        </w:rPr>
        <w:t xml:space="preserve">Strategic Pricing Tool</w:t>
      </w:r>
      <w:r>
        <w:rPr>
          <w:rFonts w:ascii="Arial" w:cs="Arial" w:eastAsia="Arial" w:hAnsi="Arial"/>
          <w:color w:val="111827"/>
          <w:sz w:val="22"/>
          <w:szCs w:val="22"/>
        </w:rPr>
        <w:t xml:space="preserve"> design brief (already received as a docx file).</w:t>
      </w:r>
    </w:p>
    <w:p>
      <w:pPr>
        <w:pStyle w:val="ListParagraph"/>
        <w:numPr>
          <w:ilvl w:val="0"/>
          <w:numId w:val="2"/>
        </w:numPr>
        <w:spacing w:after="80"/>
      </w:pPr>
      <w:r>
        <w:rPr>
          <w:rFonts w:ascii="Arial" w:cs="Arial" w:eastAsia="Arial" w:hAnsi="Arial"/>
          <w:color w:val="111827"/>
          <w:sz w:val="22"/>
          <w:szCs w:val="22"/>
        </w:rPr>
        <w:t xml:space="preserve">Cass's view on the commercial overlap question above.</w:t>
      </w:r>
    </w:p>
    <w:p>
      <w:pPr>
        <w:pStyle w:val="ListParagraph"/>
        <w:numPr>
          <w:ilvl w:val="0"/>
          <w:numId w:val="2"/>
        </w:numPr>
        <w:spacing w:after="80"/>
      </w:pPr>
      <w:r>
        <w:rPr>
          <w:rFonts w:ascii="Arial" w:cs="Arial" w:eastAsia="Arial" w:hAnsi="Arial"/>
          <w:color w:val="111827"/>
          <w:sz w:val="22"/>
          <w:szCs w:val="22"/>
        </w:rPr>
        <w:t xml:space="preserve">The practice owner's view on how he runs annual client reviews today — particularly how he decides which clients to re-price.</w:t>
      </w:r>
    </w:p>
    <w:p>
      <w:pPr>
        <w:pStyle w:val="ListParagraph"/>
        <w:numPr>
          <w:ilvl w:val="0"/>
          <w:numId w:val="2"/>
        </w:numPr>
        <w:spacing w:after="80"/>
      </w:pPr>
      <w:r>
        <w:rPr>
          <w:rFonts w:ascii="Arial" w:cs="Arial" w:eastAsia="Arial" w:hAnsi="Arial"/>
          <w:color w:val="111827"/>
          <w:sz w:val="22"/>
          <w:szCs w:val="22"/>
        </w:rPr>
        <w:t xml:space="preserve">Any XPM data scope details — what fee-related data is accessible via XPM and at what grain.</w:t>
      </w:r>
    </w:p>
    <w:p>
      <w:pPr>
        <w:pStyle w:val="ListParagraph"/>
        <w:numPr>
          <w:ilvl w:val="0"/>
          <w:numId w:val="2"/>
        </w:numPr>
        <w:spacing w:after="80"/>
      </w:pPr>
      <w:r>
        <w:rPr>
          <w:rFonts w:ascii="Arial" w:cs="Arial" w:eastAsia="Arial" w:hAnsi="Arial"/>
          <w:color w:val="111827"/>
          <w:sz w:val="22"/>
          <w:szCs w:val="22"/>
        </w:rPr>
        <w:t xml:space="preserve">Whether XBert currently aggregates time logged per client per service category, or if a new derivation is needed.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2026-05-19T04:33:33.594Z</dcterms:created>
  <dcterms:modified xsi:type="dcterms:W3CDTF">2026-05-19T04:33:33.594Z</dcterms:modified>
</cp:coreProperties>
</file>

<file path=docProps/custom.xml><?xml version="1.0" encoding="utf-8"?>
<Properties xmlns="http://schemas.openxmlformats.org/officeDocument/2006/custom-properties" xmlns:vt="http://schemas.openxmlformats.org/officeDocument/2006/docPropsVTypes"/>
</file>