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BF44" w14:textId="77777777" w:rsidR="00F07518" w:rsidRDefault="00000000">
      <w:pPr>
        <w:spacing w:after="200"/>
      </w:pPr>
      <w:r>
        <w:rPr>
          <w:b/>
          <w:bCs/>
          <w:color w:val="1F2937"/>
          <w:sz w:val="44"/>
          <w:szCs w:val="44"/>
        </w:rPr>
        <w:t>Plugin 1 — Workflow Review</w:t>
      </w:r>
    </w:p>
    <w:p w14:paraId="1AEF4FCC" w14:textId="77777777" w:rsidR="00F07518" w:rsidRDefault="00000000">
      <w:pPr>
        <w:spacing w:after="280"/>
      </w:pPr>
      <w:r>
        <w:rPr>
          <w:i/>
          <w:iCs/>
          <w:color w:val="6B7280"/>
          <w:sz w:val="26"/>
          <w:szCs w:val="26"/>
        </w:rPr>
        <w:t>Workbook — fill in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2E33F76B"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3C7"/>
            <w:tcMar>
              <w:top w:w="160" w:type="dxa"/>
              <w:left w:w="200" w:type="dxa"/>
              <w:bottom w:w="160" w:type="dxa"/>
              <w:right w:w="200" w:type="dxa"/>
            </w:tcMar>
          </w:tcPr>
          <w:p w14:paraId="69D51282" w14:textId="77777777" w:rsidR="00F07518" w:rsidRDefault="00000000">
            <w:r>
              <w:t>Companion to the Workflow Review skeleton. Use this to capture answers from workshop participants and findings from data-side investigation. The Workflow Review is the most mature of the five plugins — most of the workbook here is for data-side confirmation rather than fresh workshop input.</w:t>
            </w:r>
          </w:p>
        </w:tc>
      </w:tr>
    </w:tbl>
    <w:p w14:paraId="1AA796D2" w14:textId="77777777" w:rsidR="00F07518" w:rsidRDefault="00F07518">
      <w:pPr>
        <w:spacing w:after="100"/>
      </w:pPr>
    </w:p>
    <w:p w14:paraId="2A51ACB0" w14:textId="77777777" w:rsidR="00F07518" w:rsidRDefault="00000000">
      <w:pPr>
        <w:pStyle w:val="Heading1"/>
      </w:pPr>
      <w:r>
        <w:t>Data-side investigations</w:t>
      </w:r>
    </w:p>
    <w:p w14:paraId="1A5AB0D5" w14:textId="77777777" w:rsidR="00F07518" w:rsidRDefault="00000000">
      <w:pPr>
        <w:spacing w:after="140"/>
      </w:pPr>
      <w:r>
        <w:rPr>
          <w:i/>
          <w:iCs/>
        </w:rPr>
        <w:t>Owner: you (Sam). These need to be answered before SQL is finalised.</w:t>
      </w:r>
    </w:p>
    <w:p w14:paraId="243EAD81" w14:textId="77777777" w:rsidR="00F07518" w:rsidRDefault="00F07518">
      <w:pPr>
        <w:spacing w:after="100"/>
      </w:pPr>
    </w:p>
    <w:p w14:paraId="1392E457" w14:textId="77777777" w:rsidR="00F07518" w:rsidRDefault="00000000">
      <w:pPr>
        <w:pStyle w:val="Heading3"/>
      </w:pPr>
      <w:r>
        <w:t xml:space="preserve">D1. </w:t>
      </w:r>
      <w:proofErr w:type="spellStart"/>
      <w:r>
        <w:t>BaseProcessTagId</w:t>
      </w:r>
      <w:proofErr w:type="spellEnd"/>
      <w:r>
        <w:t xml:space="preserve"> in the MCP extract</w:t>
      </w:r>
    </w:p>
    <w:p w14:paraId="054E931C" w14:textId="77777777" w:rsidR="00F07518" w:rsidRDefault="00000000">
      <w:pPr>
        <w:spacing w:after="140"/>
      </w:pPr>
      <w:r>
        <w:t xml:space="preserve">Confirm with the MCP team that </w:t>
      </w:r>
      <w:proofErr w:type="spellStart"/>
      <w:r>
        <w:rPr>
          <w:rFonts w:ascii="Consolas" w:eastAsia="Consolas" w:hAnsi="Consolas" w:cs="Consolas"/>
          <w:sz w:val="20"/>
          <w:szCs w:val="20"/>
        </w:rPr>
        <w:t>BaseProcessTagId</w:t>
      </w:r>
      <w:proofErr w:type="spellEnd"/>
      <w:r>
        <w:t xml:space="preserve"> is still in the extract and hasn't been deprioritised.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1D798778"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26E40CF" w14:textId="4994CB1B" w:rsidR="00F07518" w:rsidRDefault="00000000">
            <w:pPr>
              <w:spacing w:after="60"/>
            </w:pPr>
            <w:r>
              <w:rPr>
                <w:i/>
                <w:iCs/>
                <w:color w:val="6B7280"/>
                <w:sz w:val="18"/>
                <w:szCs w:val="18"/>
              </w:rPr>
              <w:t>Findings:</w:t>
            </w:r>
            <w:r w:rsidR="00F2033E">
              <w:rPr>
                <w:i/>
                <w:iCs/>
                <w:color w:val="6B7280"/>
                <w:sz w:val="18"/>
                <w:szCs w:val="18"/>
              </w:rPr>
              <w:t xml:space="preserve"> Yes, included.</w:t>
            </w:r>
          </w:p>
          <w:p w14:paraId="4AB92269" w14:textId="77777777" w:rsidR="00F07518" w:rsidRDefault="00000000">
            <w:r>
              <w:t xml:space="preserve"> </w:t>
            </w:r>
          </w:p>
          <w:p w14:paraId="3B69EE7C" w14:textId="77777777" w:rsidR="00F07518" w:rsidRDefault="00000000">
            <w:r>
              <w:t xml:space="preserve"> </w:t>
            </w:r>
          </w:p>
          <w:p w14:paraId="69EEEACE" w14:textId="77777777" w:rsidR="00F07518" w:rsidRDefault="00000000">
            <w:r>
              <w:t xml:space="preserve"> </w:t>
            </w:r>
          </w:p>
          <w:p w14:paraId="0DB2BFEC" w14:textId="77777777" w:rsidR="00F07518" w:rsidRDefault="00000000">
            <w:r>
              <w:t xml:space="preserve"> </w:t>
            </w:r>
          </w:p>
        </w:tc>
      </w:tr>
    </w:tbl>
    <w:p w14:paraId="5A4ECC0D" w14:textId="77777777" w:rsidR="00F07518" w:rsidRDefault="00F07518">
      <w:pPr>
        <w:spacing w:after="100"/>
      </w:pPr>
    </w:p>
    <w:p w14:paraId="1BF6F72D" w14:textId="77777777" w:rsidR="00F07518" w:rsidRDefault="00000000">
      <w:pPr>
        <w:pStyle w:val="Heading3"/>
      </w:pPr>
      <w:r>
        <w:t>D2. Placeholder-row format for clients with no schedules</w:t>
      </w:r>
    </w:p>
    <w:p w14:paraId="6C7534C3" w14:textId="77777777" w:rsidR="00F07518" w:rsidRDefault="00000000">
      <w:pPr>
        <w:spacing w:after="140"/>
      </w:pPr>
      <w:r>
        <w:t>Nail down the null vs empty-string contract for clients with no schedules configured. Document it so the analysis code can rely on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5BE66939"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7761E9D" w14:textId="1135CD84" w:rsidR="00F07518" w:rsidRDefault="00000000">
            <w:pPr>
              <w:spacing w:after="60"/>
            </w:pPr>
            <w:r>
              <w:rPr>
                <w:i/>
                <w:iCs/>
                <w:color w:val="6B7280"/>
                <w:sz w:val="18"/>
                <w:szCs w:val="18"/>
              </w:rPr>
              <w:t>Findings:</w:t>
            </w:r>
            <w:r w:rsidR="00F2033E">
              <w:rPr>
                <w:i/>
                <w:iCs/>
                <w:color w:val="6B7280"/>
                <w:sz w:val="18"/>
                <w:szCs w:val="18"/>
              </w:rPr>
              <w:t xml:space="preserve"> Yes, data source starts with client list then left joins from there. All clients always in the data. </w:t>
            </w:r>
          </w:p>
          <w:p w14:paraId="39815DF4" w14:textId="77777777" w:rsidR="00F07518" w:rsidRDefault="00000000">
            <w:r>
              <w:t xml:space="preserve"> </w:t>
            </w:r>
          </w:p>
          <w:p w14:paraId="32FE2937" w14:textId="77777777" w:rsidR="00F07518" w:rsidRDefault="00000000">
            <w:r>
              <w:t xml:space="preserve"> </w:t>
            </w:r>
          </w:p>
          <w:p w14:paraId="5B7FF912" w14:textId="77777777" w:rsidR="00F07518" w:rsidRDefault="00000000">
            <w:r>
              <w:t xml:space="preserve"> </w:t>
            </w:r>
          </w:p>
          <w:p w14:paraId="57831C6D" w14:textId="77777777" w:rsidR="00F07518" w:rsidRDefault="00000000">
            <w:r>
              <w:t xml:space="preserve"> </w:t>
            </w:r>
          </w:p>
        </w:tc>
      </w:tr>
    </w:tbl>
    <w:p w14:paraId="315F9191" w14:textId="77777777" w:rsidR="00F07518" w:rsidRDefault="00F07518">
      <w:pPr>
        <w:spacing w:after="100"/>
      </w:pPr>
    </w:p>
    <w:p w14:paraId="3A6023B2" w14:textId="77777777" w:rsidR="00F07518" w:rsidRDefault="00000000">
      <w:pPr>
        <w:pStyle w:val="Heading3"/>
      </w:pPr>
      <w:r>
        <w:t>D3. Richer fields not currently used</w:t>
      </w:r>
    </w:p>
    <w:p w14:paraId="15462A19" w14:textId="77777777" w:rsidR="00F07518" w:rsidRDefault="00000000">
      <w:pPr>
        <w:spacing w:after="140"/>
      </w:pPr>
      <w:r>
        <w:t xml:space="preserve">Decide whether to include any </w:t>
      </w:r>
      <w:proofErr w:type="gramStart"/>
      <w:r>
        <w:t>of:</w:t>
      </w:r>
      <w:proofErr w:type="gramEnd"/>
      <w:r>
        <w:t xml:space="preserve"> per-user time logged, comment counts, notification status breakdown (cancelled/snoozed/dismissed), billable revenue per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3E52150E"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FC9D108" w14:textId="16B10D1F" w:rsidR="00F07518" w:rsidRDefault="00000000">
            <w:pPr>
              <w:spacing w:after="60"/>
            </w:pPr>
            <w:r>
              <w:rPr>
                <w:i/>
                <w:iCs/>
                <w:color w:val="6B7280"/>
                <w:sz w:val="18"/>
                <w:szCs w:val="18"/>
              </w:rPr>
              <w:t>Findings:</w:t>
            </w:r>
            <w:r w:rsidR="00F2033E">
              <w:rPr>
                <w:i/>
                <w:iCs/>
                <w:color w:val="6B7280"/>
                <w:sz w:val="18"/>
                <w:szCs w:val="18"/>
              </w:rPr>
              <w:t xml:space="preserve"> Use per user time logged and notification status breakdown.</w:t>
            </w:r>
          </w:p>
          <w:p w14:paraId="3C64F27A" w14:textId="77777777" w:rsidR="00F07518" w:rsidRDefault="00000000">
            <w:r>
              <w:t xml:space="preserve"> </w:t>
            </w:r>
          </w:p>
          <w:p w14:paraId="07B7129B" w14:textId="77777777" w:rsidR="00F07518" w:rsidRDefault="00000000">
            <w:r>
              <w:t xml:space="preserve"> </w:t>
            </w:r>
          </w:p>
          <w:p w14:paraId="15518773" w14:textId="77777777" w:rsidR="00F07518" w:rsidRDefault="00000000">
            <w:r>
              <w:t xml:space="preserve"> </w:t>
            </w:r>
          </w:p>
          <w:p w14:paraId="73C5F0A9" w14:textId="77777777" w:rsidR="00F07518" w:rsidRDefault="00000000">
            <w:r>
              <w:t xml:space="preserve"> </w:t>
            </w:r>
          </w:p>
          <w:p w14:paraId="0BAE71D8" w14:textId="77777777" w:rsidR="00F07518" w:rsidRDefault="00000000">
            <w:r>
              <w:t xml:space="preserve"> </w:t>
            </w:r>
          </w:p>
        </w:tc>
      </w:tr>
    </w:tbl>
    <w:p w14:paraId="5C118BA3" w14:textId="77777777" w:rsidR="00F07518" w:rsidRDefault="00000000">
      <w:pPr>
        <w:pStyle w:val="Heading1"/>
      </w:pPr>
      <w:r>
        <w:lastRenderedPageBreak/>
        <w:t>Workshop questions</w:t>
      </w:r>
    </w:p>
    <w:p w14:paraId="2826C36F" w14:textId="77777777" w:rsidR="00F07518" w:rsidRDefault="00000000">
      <w:pPr>
        <w:spacing w:after="140"/>
      </w:pPr>
      <w:r>
        <w:rPr>
          <w:i/>
          <w:iCs/>
        </w:rPr>
        <w:t>The Workflow Review skeleton notes that this plugin doesn't need fresh workshop input — it was built from a worked example, not from workshop discussion. Open questions below are tagged accordingly.</w:t>
      </w:r>
    </w:p>
    <w:p w14:paraId="72243D48" w14:textId="77777777" w:rsidR="00F07518" w:rsidRDefault="00000000">
      <w:pPr>
        <w:pStyle w:val="Heading3"/>
      </w:pPr>
      <w:r>
        <w:t>W1. Tenant scoping for the running user</w:t>
      </w:r>
    </w:p>
    <w:p w14:paraId="734FE9B1" w14:textId="77777777" w:rsidR="00F07518" w:rsidRDefault="00000000">
      <w:pPr>
        <w:spacing w:before="80" w:after="40"/>
      </w:pPr>
      <w:r>
        <w:rPr>
          <w:i/>
          <w:iCs/>
          <w:color w:val="6B7280"/>
          <w:sz w:val="18"/>
          <w:szCs w:val="18"/>
        </w:rPr>
        <w:t>For: MCP team</w:t>
      </w:r>
    </w:p>
    <w:p w14:paraId="5BC512ED" w14:textId="77777777" w:rsidR="00F07518" w:rsidRDefault="00000000">
      <w:pPr>
        <w:spacing w:after="140"/>
      </w:pPr>
      <w:r>
        <w:t>How does the plugin know which Connect tenant to run against? Is this handled by authenticated MCP tools, or does the user need to specify?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51422816"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273F008" w14:textId="2E01C619" w:rsidR="00F07518" w:rsidRDefault="00000000">
            <w:pPr>
              <w:spacing w:after="60"/>
              <w:rPr>
                <w:i/>
                <w:iCs/>
                <w:color w:val="6B7280"/>
                <w:sz w:val="18"/>
                <w:szCs w:val="18"/>
              </w:rPr>
            </w:pPr>
            <w:r>
              <w:rPr>
                <w:i/>
                <w:iCs/>
                <w:color w:val="6B7280"/>
                <w:sz w:val="18"/>
                <w:szCs w:val="18"/>
              </w:rPr>
              <w:t>Answer:</w:t>
            </w:r>
            <w:r w:rsidR="00F2033E">
              <w:rPr>
                <w:i/>
                <w:iCs/>
                <w:color w:val="6B7280"/>
                <w:sz w:val="18"/>
                <w:szCs w:val="18"/>
              </w:rPr>
              <w:t xml:space="preserve"> a </w:t>
            </w:r>
            <w:proofErr w:type="spellStart"/>
            <w:r w:rsidR="00F2033E">
              <w:rPr>
                <w:i/>
                <w:iCs/>
                <w:color w:val="6B7280"/>
                <w:sz w:val="18"/>
                <w:szCs w:val="18"/>
              </w:rPr>
              <w:t>sql</w:t>
            </w:r>
            <w:proofErr w:type="spellEnd"/>
            <w:r w:rsidR="00F2033E">
              <w:rPr>
                <w:i/>
                <w:iCs/>
                <w:color w:val="6B7280"/>
                <w:sz w:val="18"/>
                <w:szCs w:val="18"/>
              </w:rPr>
              <w:t xml:space="preserve"> </w:t>
            </w:r>
            <w:proofErr w:type="spellStart"/>
            <w:r w:rsidR="00F2033E">
              <w:rPr>
                <w:i/>
                <w:iCs/>
                <w:color w:val="6B7280"/>
                <w:sz w:val="18"/>
                <w:szCs w:val="18"/>
              </w:rPr>
              <w:t>strored</w:t>
            </w:r>
            <w:proofErr w:type="spellEnd"/>
            <w:r w:rsidR="00F2033E">
              <w:rPr>
                <w:i/>
                <w:iCs/>
                <w:color w:val="6B7280"/>
                <w:sz w:val="18"/>
                <w:szCs w:val="18"/>
              </w:rPr>
              <w:t xml:space="preserve"> proc will accept the connect tenant id of the customer using the plugin. This is handled by the authenticated MCP tools. User does not specify.</w:t>
            </w:r>
          </w:p>
          <w:p w14:paraId="2558F809" w14:textId="77777777" w:rsidR="00F41720" w:rsidRDefault="00F41720">
            <w:pPr>
              <w:spacing w:after="60"/>
              <w:rPr>
                <w:i/>
                <w:iCs/>
                <w:color w:val="6B7280"/>
                <w:sz w:val="18"/>
                <w:szCs w:val="18"/>
              </w:rPr>
            </w:pPr>
          </w:p>
          <w:p w14:paraId="0F29A31F" w14:textId="6BC692F2" w:rsidR="00F41720" w:rsidRDefault="00F41720">
            <w:pPr>
              <w:spacing w:after="60"/>
            </w:pPr>
            <w:r w:rsidRPr="00F41720">
              <w:rPr>
                <w:i/>
                <w:iCs/>
                <w:color w:val="6B7280"/>
                <w:sz w:val="18"/>
                <w:szCs w:val="18"/>
              </w:rPr>
              <w:t xml:space="preserve">Hey Steve just some feedback regarding </w:t>
            </w:r>
            <w:proofErr w:type="spellStart"/>
            <w:r w:rsidRPr="00F41720">
              <w:rPr>
                <w:i/>
                <w:iCs/>
                <w:color w:val="6B7280"/>
                <w:sz w:val="18"/>
                <w:szCs w:val="18"/>
              </w:rPr>
              <w:t>multi tenant</w:t>
            </w:r>
            <w:proofErr w:type="spellEnd"/>
            <w:r w:rsidRPr="00F41720">
              <w:rPr>
                <w:i/>
                <w:iCs/>
                <w:color w:val="6B7280"/>
                <w:sz w:val="18"/>
                <w:szCs w:val="18"/>
              </w:rPr>
              <w:t xml:space="preserve"> access we may need to consider a limitation on users within the practise tenant being able to extract data from the practises </w:t>
            </w:r>
            <w:r>
              <w:rPr>
                <w:i/>
                <w:iCs/>
                <w:color w:val="6B7280"/>
                <w:sz w:val="18"/>
                <w:szCs w:val="18"/>
              </w:rPr>
              <w:t>connected accounting</w:t>
            </w:r>
            <w:r w:rsidRPr="00F41720">
              <w:rPr>
                <w:i/>
                <w:iCs/>
                <w:color w:val="6B7280"/>
                <w:sz w:val="18"/>
                <w:szCs w:val="18"/>
              </w:rPr>
              <w:t xml:space="preserve"> file</w:t>
            </w:r>
          </w:p>
          <w:p w14:paraId="24CC25E5" w14:textId="77777777" w:rsidR="00F07518" w:rsidRDefault="00000000">
            <w:r>
              <w:t xml:space="preserve"> </w:t>
            </w:r>
          </w:p>
          <w:p w14:paraId="46D68481" w14:textId="77777777" w:rsidR="00F07518" w:rsidRDefault="00000000">
            <w:r>
              <w:t xml:space="preserve"> </w:t>
            </w:r>
          </w:p>
          <w:p w14:paraId="2EA61930" w14:textId="77777777" w:rsidR="00F07518" w:rsidRDefault="00000000">
            <w:r>
              <w:t xml:space="preserve"> </w:t>
            </w:r>
          </w:p>
          <w:p w14:paraId="3521157D" w14:textId="77777777" w:rsidR="00F07518" w:rsidRDefault="00000000">
            <w:r>
              <w:t xml:space="preserve"> </w:t>
            </w:r>
          </w:p>
        </w:tc>
      </w:tr>
    </w:tbl>
    <w:p w14:paraId="7208BF5D" w14:textId="77777777" w:rsidR="00F07518" w:rsidRDefault="00F07518">
      <w:pPr>
        <w:spacing w:after="100"/>
      </w:pPr>
    </w:p>
    <w:p w14:paraId="54A237CA" w14:textId="77777777" w:rsidR="00F07518" w:rsidRDefault="00000000">
      <w:pPr>
        <w:pStyle w:val="Heading3"/>
      </w:pPr>
      <w:r>
        <w:t>W2. Multi-Connect users</w:t>
      </w:r>
    </w:p>
    <w:p w14:paraId="6E431486" w14:textId="77777777" w:rsidR="00F07518" w:rsidRDefault="00000000">
      <w:pPr>
        <w:spacing w:before="80" w:after="40"/>
      </w:pPr>
      <w:r>
        <w:rPr>
          <w:i/>
          <w:iCs/>
          <w:color w:val="6B7280"/>
          <w:sz w:val="18"/>
          <w:szCs w:val="18"/>
        </w:rPr>
        <w:t>For: MCP team / product</w:t>
      </w:r>
    </w:p>
    <w:p w14:paraId="1E775836" w14:textId="77777777" w:rsidR="00F07518" w:rsidRDefault="00000000">
      <w:pPr>
        <w:spacing w:after="140"/>
      </w:pPr>
      <w:r>
        <w:t>Some users belong to more than one Connect tenant (consultants, multi-firm owners). If a user has access to several tenants, the plugin needs to ask which one to review. Worth confirming whether this case is common enough to design for in v1 or punt to v2.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202E1ABE"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37FC916" w14:textId="6F456D17" w:rsidR="00F07518" w:rsidRDefault="00000000">
            <w:pPr>
              <w:spacing w:after="60"/>
            </w:pPr>
            <w:r>
              <w:rPr>
                <w:i/>
                <w:iCs/>
                <w:color w:val="6B7280"/>
                <w:sz w:val="18"/>
                <w:szCs w:val="18"/>
              </w:rPr>
              <w:t>Answer:</w:t>
            </w:r>
            <w:r w:rsidR="00F2033E">
              <w:rPr>
                <w:i/>
                <w:iCs/>
                <w:color w:val="6B7280"/>
                <w:sz w:val="18"/>
                <w:szCs w:val="18"/>
              </w:rPr>
              <w:t xml:space="preserve"> A user in a connect tenant is scoped to that. The plugin only operates on one connect tenant at a time. </w:t>
            </w:r>
          </w:p>
          <w:p w14:paraId="3852370C" w14:textId="77777777" w:rsidR="00F07518" w:rsidRDefault="00000000">
            <w:r>
              <w:t xml:space="preserve"> </w:t>
            </w:r>
          </w:p>
          <w:p w14:paraId="451689F8" w14:textId="77777777" w:rsidR="00F07518" w:rsidRDefault="00000000">
            <w:r>
              <w:t xml:space="preserve"> </w:t>
            </w:r>
          </w:p>
          <w:p w14:paraId="0CB7DB4B" w14:textId="77777777" w:rsidR="00F07518" w:rsidRDefault="00000000">
            <w:r>
              <w:t xml:space="preserve"> </w:t>
            </w:r>
          </w:p>
          <w:p w14:paraId="04648AD1" w14:textId="77777777" w:rsidR="00F07518" w:rsidRDefault="00000000">
            <w:r>
              <w:t xml:space="preserve"> </w:t>
            </w:r>
          </w:p>
        </w:tc>
      </w:tr>
    </w:tbl>
    <w:p w14:paraId="23C4A1F3" w14:textId="77777777" w:rsidR="00F07518" w:rsidRDefault="00F07518">
      <w:pPr>
        <w:spacing w:after="100"/>
      </w:pPr>
    </w:p>
    <w:p w14:paraId="4985A039" w14:textId="77777777" w:rsidR="00F07518" w:rsidRDefault="00000000">
      <w:pPr>
        <w:pStyle w:val="Heading3"/>
      </w:pPr>
      <w:r>
        <w:t>W3. Data-sparsity signalling in the document</w:t>
      </w:r>
    </w:p>
    <w:p w14:paraId="26608659" w14:textId="77777777" w:rsidR="00F07518" w:rsidRDefault="00000000">
      <w:pPr>
        <w:spacing w:before="80" w:after="40"/>
      </w:pPr>
      <w:r>
        <w:rPr>
          <w:i/>
          <w:iCs/>
          <w:color w:val="6B7280"/>
          <w:sz w:val="18"/>
          <w:szCs w:val="18"/>
        </w:rPr>
        <w:t>For: Sam (design call)</w:t>
      </w:r>
    </w:p>
    <w:p w14:paraId="600EBD6D" w14:textId="77777777" w:rsidR="00F07518" w:rsidRDefault="00000000">
      <w:pPr>
        <w:spacing w:after="140"/>
      </w:pPr>
      <w:r>
        <w:t>Should the document explicitly signal which mode it's running in ("this is an early-stage review, budget accuracy will be limited") or just let the section content speak for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043A770C"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085E82C" w14:textId="11832AFB" w:rsidR="00F07518" w:rsidRDefault="00000000">
            <w:pPr>
              <w:spacing w:after="60"/>
            </w:pPr>
            <w:r>
              <w:rPr>
                <w:i/>
                <w:iCs/>
                <w:color w:val="6B7280"/>
                <w:sz w:val="18"/>
                <w:szCs w:val="18"/>
              </w:rPr>
              <w:t>Decision:</w:t>
            </w:r>
            <w:r w:rsidR="00F2033E">
              <w:rPr>
                <w:i/>
                <w:iCs/>
                <w:color w:val="6B7280"/>
                <w:sz w:val="18"/>
                <w:szCs w:val="18"/>
              </w:rPr>
              <w:t xml:space="preserve"> in a summary near to the start of the output document, specify identified data sparsity. If it is obvious that no or minimal workflow usage has occurred, given the number of clients, then allude to the fact that this analysis could be that of an early stage review – and suggest the customer qualify this with the XBert team if they are in doubt.</w:t>
            </w:r>
          </w:p>
          <w:p w14:paraId="1C28B734" w14:textId="77777777" w:rsidR="00F07518" w:rsidRDefault="00000000">
            <w:r>
              <w:t xml:space="preserve"> </w:t>
            </w:r>
          </w:p>
          <w:p w14:paraId="610909D9" w14:textId="77777777" w:rsidR="00F07518" w:rsidRDefault="00000000">
            <w:r>
              <w:t xml:space="preserve"> </w:t>
            </w:r>
          </w:p>
          <w:p w14:paraId="32CBC05F" w14:textId="77777777" w:rsidR="00F07518" w:rsidRDefault="00000000">
            <w:r>
              <w:t xml:space="preserve"> </w:t>
            </w:r>
          </w:p>
          <w:p w14:paraId="4D9FBDA0" w14:textId="77777777" w:rsidR="00F07518" w:rsidRDefault="00000000">
            <w:r>
              <w:t xml:space="preserve"> </w:t>
            </w:r>
          </w:p>
        </w:tc>
      </w:tr>
    </w:tbl>
    <w:p w14:paraId="51F5CB9E" w14:textId="77777777" w:rsidR="00B1523B" w:rsidRDefault="00B1523B"/>
    <w:sectPr w:rsidR="00B152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76A8"/>
    <w:multiLevelType w:val="hybridMultilevel"/>
    <w:tmpl w:val="9EA6E64E"/>
    <w:lvl w:ilvl="0" w:tplc="F4B8FBAC">
      <w:start w:val="1"/>
      <w:numFmt w:val="decimal"/>
      <w:lvlText w:val="%1."/>
      <w:lvlJc w:val="left"/>
      <w:pPr>
        <w:ind w:left="720" w:hanging="360"/>
      </w:pPr>
    </w:lvl>
    <w:lvl w:ilvl="1" w:tplc="8676D4F8">
      <w:numFmt w:val="decimal"/>
      <w:lvlText w:val=""/>
      <w:lvlJc w:val="left"/>
    </w:lvl>
    <w:lvl w:ilvl="2" w:tplc="CBD2E614">
      <w:numFmt w:val="decimal"/>
      <w:lvlText w:val=""/>
      <w:lvlJc w:val="left"/>
    </w:lvl>
    <w:lvl w:ilvl="3" w:tplc="306267B8">
      <w:numFmt w:val="decimal"/>
      <w:lvlText w:val=""/>
      <w:lvlJc w:val="left"/>
    </w:lvl>
    <w:lvl w:ilvl="4" w:tplc="5DACEE28">
      <w:numFmt w:val="decimal"/>
      <w:lvlText w:val=""/>
      <w:lvlJc w:val="left"/>
    </w:lvl>
    <w:lvl w:ilvl="5" w:tplc="338046E8">
      <w:numFmt w:val="decimal"/>
      <w:lvlText w:val=""/>
      <w:lvlJc w:val="left"/>
    </w:lvl>
    <w:lvl w:ilvl="6" w:tplc="C61E067E">
      <w:numFmt w:val="decimal"/>
      <w:lvlText w:val=""/>
      <w:lvlJc w:val="left"/>
    </w:lvl>
    <w:lvl w:ilvl="7" w:tplc="9330473C">
      <w:numFmt w:val="decimal"/>
      <w:lvlText w:val=""/>
      <w:lvlJc w:val="left"/>
    </w:lvl>
    <w:lvl w:ilvl="8" w:tplc="17B003B6">
      <w:numFmt w:val="decimal"/>
      <w:lvlText w:val=""/>
      <w:lvlJc w:val="left"/>
    </w:lvl>
  </w:abstractNum>
  <w:abstractNum w:abstractNumId="1" w15:restartNumberingAfterBreak="0">
    <w:nsid w:val="0E5E554D"/>
    <w:multiLevelType w:val="hybridMultilevel"/>
    <w:tmpl w:val="5A724AB2"/>
    <w:lvl w:ilvl="0" w:tplc="1C1EF740">
      <w:start w:val="1"/>
      <w:numFmt w:val="bullet"/>
      <w:lvlText w:val="•"/>
      <w:lvlJc w:val="left"/>
      <w:pPr>
        <w:ind w:left="720" w:hanging="360"/>
      </w:pPr>
    </w:lvl>
    <w:lvl w:ilvl="1" w:tplc="DF50AAEA">
      <w:start w:val="1"/>
      <w:numFmt w:val="bullet"/>
      <w:lvlText w:val="◦"/>
      <w:lvlJc w:val="left"/>
      <w:pPr>
        <w:ind w:left="1440" w:hanging="360"/>
      </w:pPr>
    </w:lvl>
    <w:lvl w:ilvl="2" w:tplc="5A4A2656">
      <w:numFmt w:val="decimal"/>
      <w:lvlText w:val=""/>
      <w:lvlJc w:val="left"/>
    </w:lvl>
    <w:lvl w:ilvl="3" w:tplc="06D2EB10">
      <w:numFmt w:val="decimal"/>
      <w:lvlText w:val=""/>
      <w:lvlJc w:val="left"/>
    </w:lvl>
    <w:lvl w:ilvl="4" w:tplc="6DCED312">
      <w:numFmt w:val="decimal"/>
      <w:lvlText w:val=""/>
      <w:lvlJc w:val="left"/>
    </w:lvl>
    <w:lvl w:ilvl="5" w:tplc="F2A65EC0">
      <w:numFmt w:val="decimal"/>
      <w:lvlText w:val=""/>
      <w:lvlJc w:val="left"/>
    </w:lvl>
    <w:lvl w:ilvl="6" w:tplc="74764CE2">
      <w:numFmt w:val="decimal"/>
      <w:lvlText w:val=""/>
      <w:lvlJc w:val="left"/>
    </w:lvl>
    <w:lvl w:ilvl="7" w:tplc="093CBE88">
      <w:numFmt w:val="decimal"/>
      <w:lvlText w:val=""/>
      <w:lvlJc w:val="left"/>
    </w:lvl>
    <w:lvl w:ilvl="8" w:tplc="F22E545A">
      <w:numFmt w:val="decimal"/>
      <w:lvlText w:val=""/>
      <w:lvlJc w:val="left"/>
    </w:lvl>
  </w:abstractNum>
  <w:abstractNum w:abstractNumId="2" w15:restartNumberingAfterBreak="0">
    <w:nsid w:val="428C489E"/>
    <w:multiLevelType w:val="hybridMultilevel"/>
    <w:tmpl w:val="23CEE588"/>
    <w:lvl w:ilvl="0" w:tplc="4DDA00DA">
      <w:start w:val="1"/>
      <w:numFmt w:val="bullet"/>
      <w:lvlText w:val="●"/>
      <w:lvlJc w:val="left"/>
      <w:pPr>
        <w:ind w:left="720" w:hanging="360"/>
      </w:pPr>
    </w:lvl>
    <w:lvl w:ilvl="1" w:tplc="FACCFA46">
      <w:start w:val="1"/>
      <w:numFmt w:val="bullet"/>
      <w:lvlText w:val="○"/>
      <w:lvlJc w:val="left"/>
      <w:pPr>
        <w:ind w:left="1440" w:hanging="360"/>
      </w:pPr>
    </w:lvl>
    <w:lvl w:ilvl="2" w:tplc="F3161DE2">
      <w:start w:val="1"/>
      <w:numFmt w:val="bullet"/>
      <w:lvlText w:val="■"/>
      <w:lvlJc w:val="left"/>
      <w:pPr>
        <w:ind w:left="2160" w:hanging="360"/>
      </w:pPr>
    </w:lvl>
    <w:lvl w:ilvl="3" w:tplc="EF8C5340">
      <w:start w:val="1"/>
      <w:numFmt w:val="bullet"/>
      <w:lvlText w:val="●"/>
      <w:lvlJc w:val="left"/>
      <w:pPr>
        <w:ind w:left="2880" w:hanging="360"/>
      </w:pPr>
    </w:lvl>
    <w:lvl w:ilvl="4" w:tplc="34AE6050">
      <w:start w:val="1"/>
      <w:numFmt w:val="bullet"/>
      <w:lvlText w:val="○"/>
      <w:lvlJc w:val="left"/>
      <w:pPr>
        <w:ind w:left="3600" w:hanging="360"/>
      </w:pPr>
    </w:lvl>
    <w:lvl w:ilvl="5" w:tplc="69181ABE">
      <w:start w:val="1"/>
      <w:numFmt w:val="bullet"/>
      <w:lvlText w:val="■"/>
      <w:lvlJc w:val="left"/>
      <w:pPr>
        <w:ind w:left="4320" w:hanging="360"/>
      </w:pPr>
    </w:lvl>
    <w:lvl w:ilvl="6" w:tplc="5BCAEB1A">
      <w:start w:val="1"/>
      <w:numFmt w:val="bullet"/>
      <w:lvlText w:val="●"/>
      <w:lvlJc w:val="left"/>
      <w:pPr>
        <w:ind w:left="5040" w:hanging="360"/>
      </w:pPr>
    </w:lvl>
    <w:lvl w:ilvl="7" w:tplc="C2B2BB2C">
      <w:start w:val="1"/>
      <w:numFmt w:val="bullet"/>
      <w:lvlText w:val="●"/>
      <w:lvlJc w:val="left"/>
      <w:pPr>
        <w:ind w:left="5760" w:hanging="360"/>
      </w:pPr>
    </w:lvl>
    <w:lvl w:ilvl="8" w:tplc="3D66F89E">
      <w:start w:val="1"/>
      <w:numFmt w:val="bullet"/>
      <w:lvlText w:val="●"/>
      <w:lvlJc w:val="left"/>
      <w:pPr>
        <w:ind w:left="6480" w:hanging="360"/>
      </w:pPr>
    </w:lvl>
  </w:abstractNum>
  <w:num w:numId="1" w16cid:durableId="555138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518"/>
    <w:rsid w:val="001B4E18"/>
    <w:rsid w:val="007E56C7"/>
    <w:rsid w:val="00A80F71"/>
    <w:rsid w:val="00B1523B"/>
    <w:rsid w:val="00CB13EA"/>
    <w:rsid w:val="00F07518"/>
    <w:rsid w:val="00F2033E"/>
    <w:rsid w:val="00F417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6411"/>
  <w15:docId w15:val="{E8A05A1A-1BE3-4656-85B3-B4CF366A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300" w:after="160"/>
      <w:outlineLvl w:val="1"/>
    </w:pPr>
    <w:rPr>
      <w:b/>
      <w:bCs/>
      <w:color w:val="1F2937"/>
      <w:sz w:val="30"/>
      <w:szCs w:val="30"/>
    </w:rPr>
  </w:style>
  <w:style w:type="paragraph" w:styleId="Heading3">
    <w:name w:val="heading 3"/>
    <w:uiPriority w:val="9"/>
    <w:unhideWhenUsed/>
    <w:qFormat/>
    <w:pPr>
      <w:spacing w:before="240" w:after="120"/>
      <w:outlineLvl w:val="2"/>
    </w:pPr>
    <w:rPr>
      <w:b/>
      <w:bCs/>
      <w:color w:val="1F2937"/>
      <w:sz w:val="26"/>
      <w:szCs w:val="26"/>
    </w:rPr>
  </w:style>
  <w:style w:type="paragraph" w:styleId="Heading4">
    <w:name w:val="heading 4"/>
    <w:uiPriority w:val="9"/>
    <w:semiHidden/>
    <w:unhideWhenUsed/>
    <w:qFormat/>
    <w:pPr>
      <w:spacing w:before="200" w:after="100"/>
      <w:outlineLvl w:val="3"/>
    </w:pPr>
    <w:rPr>
      <w:b/>
      <w:bCs/>
      <w:color w:val="1F2937"/>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495</Words>
  <Characters>2560</Characters>
  <Application>Microsoft Office Word</Application>
  <DocSecurity>0</DocSecurity>
  <Lines>82</Lines>
  <Paragraphs>35</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Ayers</cp:lastModifiedBy>
  <cp:revision>5</cp:revision>
  <dcterms:created xsi:type="dcterms:W3CDTF">2026-05-19T03:36:00Z</dcterms:created>
  <dcterms:modified xsi:type="dcterms:W3CDTF">2026-05-20T02:25:00Z</dcterms:modified>
</cp:coreProperties>
</file>