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9360"/>
            <w:shd w:fill="1F3864"/>
            <w:tcBorders>
              <w:top w:val="single" w:sz="16" w:space="0" w:color="2E75B6"/>
              <w:left w:val="single" w:sz="16" w:space="0" w:color="2E75B6"/>
              <w:bottom w:val="single" w:sz="16" w:space="0" w:color="2E75B6"/>
              <w:right w:val="single" w:sz="16" w:space="0" w:color="2E75B6"/>
            </w:tcBorders>
            <w:tcMar>
              <w:top w:w="200" w:type="dxa"/>
              <w:bottom w:w="200" w:type="dxa"/>
              <w:left w:w="200" w:type="dxa"/>
              <w:right w:w="200" w:type="dxa"/>
            </w:tcMar>
          </w:tcPr>
          <w:p/>
          <w:p>
            <w:pPr>
              <w:spacing w:after="120"/>
              <w:jc w:val="center"/>
            </w:pPr>
            <w:r>
              <w:rPr>
                <w:rFonts w:ascii="Arial" w:hAnsi="Arial"/>
                <w:b/>
                <w:i w:val="0"/>
                <w:color w:val="FFFFFF"/>
                <w:sz w:val="22"/>
              </w:rPr>
              <w:t>Airbag ECU Portfolio  —  HS Harz — Functional Safety</w:t>
            </w:r>
          </w:p>
          <w:p>
            <w:pPr>
              <w:spacing w:after="120"/>
              <w:jc w:val="center"/>
            </w:pPr>
            <w:r>
              <w:rPr>
                <w:rFonts w:ascii="Arial" w:hAnsi="Arial"/>
                <w:b/>
                <w:i w:val="0"/>
                <w:color w:val="FFFFFF"/>
                <w:sz w:val="28"/>
              </w:rPr>
              <w:t>AIRBAG ELECTRONIC CONTROL UNIT</w:t>
            </w:r>
          </w:p>
          <w:p>
            <w:pPr>
              <w:spacing w:after="120"/>
              <w:jc w:val="center"/>
            </w:pPr>
            <w:r>
              <w:rPr>
                <w:rFonts w:ascii="Arial" w:hAnsi="Arial"/>
                <w:b w:val="0"/>
                <w:i w:val="0"/>
                <w:color w:val="FFFFFF"/>
                <w:sz w:val="20"/>
              </w:rPr>
              <w:t>Measurement and Processing of Sensor Signals to Control Airbag Operation</w:t>
            </w:r>
          </w:p>
          <w:p>
            <w:pPr>
              <w:spacing w:after="0"/>
              <w:jc w:val="center"/>
            </w:pPr>
            <w:r>
              <w:rPr>
                <w:rFonts w:ascii="Arial" w:hAnsi="Arial"/>
                <w:b/>
                <w:i w:val="0"/>
                <w:color w:val="FFFFFF"/>
                <w:sz w:val="24"/>
              </w:rPr>
              <w:t>LIFE CYCLE PHASE 5 — SAFETY CONCEPT DOCUMENT (SCD)</w:t>
            </w:r>
          </w:p>
        </w:tc>
      </w:tr>
    </w:tbl>
    <w:p>
      <w:pPr>
        <w:spacing w:after="80"/>
      </w:pPr>
    </w:p>
    <w:tbl>
      <w:tblPr>
        <w:tblW w:type="auto" w:w="0"/>
        <w:jc w:val="center"/>
        <w:tblLook w:firstColumn="1" w:firstRow="1" w:lastColumn="0" w:lastRow="0" w:noHBand="0" w:noVBand="1" w:val="04A0"/>
      </w:tblPr>
      <w:tblGrid>
        <w:gridCol w:w="5040"/>
        <w:gridCol w:w="5040"/>
      </w:tblGrid>
      <w:tr>
        <w:tc>
          <w:tcPr>
            <w:tcW w:type="dxa" w:w="2880"/>
            <w:shd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Document Number</w:t>
            </w:r>
          </w:p>
        </w:tc>
        <w:tc>
          <w:tcPr>
            <w:tcW w:type="dxa" w:w="64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LCP05-AIRBAG-ECU-001</w:t>
            </w:r>
          </w:p>
        </w:tc>
      </w:tr>
      <w:tr>
        <w:tc>
          <w:tcPr>
            <w:tcW w:type="dxa" w:w="2880"/>
            <w:shd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Version</w:t>
            </w:r>
          </w:p>
        </w:tc>
        <w:tc>
          <w:tcPr>
            <w:tcW w:type="dxa" w:w="64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1.00</w:t>
            </w:r>
          </w:p>
        </w:tc>
      </w:tr>
      <w:tr>
        <w:tc>
          <w:tcPr>
            <w:tcW w:type="dxa" w:w="2880"/>
            <w:shd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Date</w:t>
            </w:r>
          </w:p>
        </w:tc>
        <w:tc>
          <w:tcPr>
            <w:tcW w:type="dxa" w:w="64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2026-05-12</w:t>
            </w:r>
          </w:p>
        </w:tc>
      </w:tr>
      <w:tr>
        <w:tc>
          <w:tcPr>
            <w:tcW w:type="dxa" w:w="2880"/>
            <w:shd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Status</w:t>
            </w:r>
          </w:p>
        </w:tc>
        <w:tc>
          <w:tcPr>
            <w:tcW w:type="dxa" w:w="64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RELEASED</w:t>
            </w:r>
          </w:p>
        </w:tc>
      </w:tr>
      <w:tr>
        <w:tc>
          <w:tcPr>
            <w:tcW w:type="dxa" w:w="2880"/>
            <w:shd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Editor</w:t>
            </w:r>
          </w:p>
        </w:tc>
        <w:tc>
          <w:tcPr>
            <w:tcW w:type="dxa" w:w="64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Systems Safety Engineering Team, HS Harz FuSa</w:t>
            </w:r>
          </w:p>
        </w:tc>
      </w:tr>
      <w:tr>
        <w:tc>
          <w:tcPr>
            <w:tcW w:type="dxa" w:w="2880"/>
            <w:shd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Applicable Standards</w:t>
            </w:r>
          </w:p>
        </w:tc>
        <w:tc>
          <w:tcPr>
            <w:tcW w:type="dxa" w:w="64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ISO 26262:2018 / IEC 61508:2010</w:t>
            </w:r>
          </w:p>
        </w:tc>
      </w:tr>
      <w:tr>
        <w:tc>
          <w:tcPr>
            <w:tcW w:type="dxa" w:w="2880"/>
            <w:shd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File</w:t>
            </w:r>
          </w:p>
        </w:tc>
        <w:tc>
          <w:tcPr>
            <w:tcW w:type="dxa" w:w="64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LCP05-AIRBAG-ECU-001_SCD_v100.docx</w:t>
            </w:r>
          </w:p>
        </w:tc>
      </w:tr>
      <w:tr>
        <w:tc>
          <w:tcPr>
            <w:tcW w:type="dxa" w:w="2880"/>
            <w:shd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Based On</w:t>
            </w:r>
          </w:p>
        </w:tc>
        <w:tc>
          <w:tcPr>
            <w:tcW w:type="dxa" w:w="64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HARA-AIRBAG-ECU-001 Rev 2.1 / FSRS-AIRBAG-ECU-001 Rev 2.1</w:t>
            </w:r>
          </w:p>
        </w:tc>
      </w:tr>
      <w:tr>
        <w:tc>
          <w:tcPr>
            <w:tcW w:type="dxa" w:w="2880"/>
            <w:shd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Classification</w:t>
            </w:r>
          </w:p>
        </w:tc>
        <w:tc>
          <w:tcPr>
            <w:tcW w:type="dxa" w:w="64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Confidential — For Internal Use Only</w:t>
            </w:r>
          </w:p>
        </w:tc>
      </w:tr>
    </w:tbl>
    <w:p>
      <w:r>
        <w:br w:type="page"/>
      </w:r>
    </w:p>
    <w:p>
      <w:pPr>
        <w:spacing w:before="240" w:after="120"/>
      </w:pPr>
      <w:r>
        <w:rPr>
          <w:rFonts w:ascii="Arial" w:hAnsi="Arial"/>
          <w:b/>
          <w:color w:val="1F3864"/>
          <w:sz w:val="26"/>
        </w:rPr>
        <w:t>1  Meetings within the Project</w:t>
      </w:r>
    </w:p>
    <w:p>
      <w:pPr>
        <w:spacing w:after="120"/>
        <w:jc w:val="left"/>
      </w:pPr>
      <w:r>
        <w:rPr>
          <w:rFonts w:ascii="Arial" w:hAnsi="Arial"/>
          <w:b w:val="0"/>
          <w:i w:val="0"/>
          <w:color w:val="000000"/>
          <w:sz w:val="20"/>
        </w:rPr>
        <w:t>The following project meetings were held during the Safety Concept Phase:</w:t>
      </w:r>
    </w:p>
    <w:p>
      <w:pPr>
        <w:spacing w:after="80"/>
        <w:jc w:val="left"/>
      </w:pPr>
      <w:r>
        <w:rPr>
          <w:rFonts w:ascii="Arial" w:hAnsi="Arial"/>
          <w:b/>
          <w:i w:val="0"/>
          <w:color w:val="1F3864"/>
          <w:sz w:val="20"/>
        </w:rPr>
        <w:t>Table 1: Meetings within the Project</w:t>
      </w:r>
    </w:p>
    <w:tbl>
      <w:tblPr>
        <w:tblW w:type="auto" w:w="0"/>
        <w:jc w:val="center"/>
        <w:tblLook w:firstColumn="1" w:firstRow="1" w:lastColumn="0" w:lastRow="0" w:noHBand="0" w:noVBand="1" w:val="04A0"/>
      </w:tblPr>
      <w:tblGrid>
        <w:gridCol w:w="2520"/>
        <w:gridCol w:w="2520"/>
        <w:gridCol w:w="2520"/>
        <w:gridCol w:w="2520"/>
      </w:tblGrid>
      <w:tr>
        <w:tc>
          <w:tcPr>
            <w:tcW w:type="dxa" w:w="216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Topic</w:t>
            </w:r>
          </w:p>
        </w:tc>
        <w:tc>
          <w:tcPr>
            <w:tcW w:type="dxa" w:w="144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Date / Time</w:t>
            </w:r>
          </w:p>
        </w:tc>
        <w:tc>
          <w:tcPr>
            <w:tcW w:type="dxa" w:w="259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Participants</w:t>
            </w:r>
          </w:p>
        </w:tc>
        <w:tc>
          <w:tcPr>
            <w:tcW w:type="dxa" w:w="3168"/>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Minutes / Decisions</w:t>
            </w:r>
          </w:p>
        </w:tc>
      </w:tr>
      <w:tr>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Safety Concept Phase Kick-off &amp; Scope Review</w:t>
            </w:r>
          </w:p>
        </w:tc>
        <w:tc>
          <w:tcPr>
            <w:tcW w:type="dxa" w:w="14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2026-05-11, 10:00</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40"/>
              <w:jc w:val="left"/>
            </w:pPr>
            <w:r>
              <w:rPr>
                <w:rFonts w:ascii="Arial" w:hAnsi="Arial"/>
                <w:b w:val="0"/>
                <w:i w:val="0"/>
                <w:color w:val="000000"/>
                <w:sz w:val="18"/>
              </w:rPr>
              <w:t>Safety Requirement Engineers,</w:t>
            </w:r>
          </w:p>
          <w:p>
            <w:pPr>
              <w:spacing w:after="40"/>
              <w:jc w:val="left"/>
            </w:pPr>
            <w:r>
              <w:rPr>
                <w:rFonts w:ascii="Arial" w:hAnsi="Arial"/>
                <w:b w:val="0"/>
                <w:i w:val="0"/>
                <w:color w:val="000000"/>
                <w:sz w:val="18"/>
              </w:rPr>
              <w:t>Functional Safety Manager,</w:t>
            </w:r>
          </w:p>
          <w:p>
            <w:pPr>
              <w:spacing w:after="40"/>
              <w:jc w:val="left"/>
            </w:pPr>
            <w:r>
              <w:rPr>
                <w:rFonts w:ascii="Arial" w:hAnsi="Arial"/>
                <w:b w:val="0"/>
                <w:i w:val="0"/>
                <w:color w:val="000000"/>
                <w:sz w:val="18"/>
              </w:rPr>
              <w:t>Software Architect, Quality Manager</w:t>
            </w:r>
          </w:p>
        </w:tc>
        <w:tc>
          <w:tcPr>
            <w:tcW w:type="dxa" w:w="31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Confirmed safety goals SG-01–SG-07 from HARA. Reviewed dual-channel architecture. Assigned safety mechanism derivation tasks.</w:t>
            </w:r>
          </w:p>
        </w:tc>
      </w:tr>
      <w:tr>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Safety Concept Review &amp; Sign-off</w:t>
            </w:r>
          </w:p>
        </w:tc>
        <w:tc>
          <w:tcPr>
            <w:tcW w:type="dxa" w:w="14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2026-05-12, 14:00</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40"/>
              <w:jc w:val="left"/>
            </w:pPr>
            <w:r>
              <w:rPr>
                <w:rFonts w:ascii="Arial" w:hAnsi="Arial"/>
                <w:b w:val="0"/>
                <w:i w:val="0"/>
                <w:color w:val="000000"/>
                <w:sz w:val="18"/>
              </w:rPr>
              <w:t>Safety Engineering Team,</w:t>
            </w:r>
          </w:p>
          <w:p>
            <w:pPr>
              <w:spacing w:after="40"/>
              <w:jc w:val="left"/>
            </w:pPr>
            <w:r>
              <w:rPr>
                <w:rFonts w:ascii="Arial" w:hAnsi="Arial"/>
                <w:b w:val="0"/>
                <w:i w:val="0"/>
                <w:color w:val="000000"/>
                <w:sz w:val="18"/>
              </w:rPr>
              <w:t>Quality Manager, Project Manager</w:t>
            </w:r>
          </w:p>
        </w:tc>
        <w:tc>
          <w:tcPr>
            <w:tcW w:type="dxa" w:w="31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Reviewed full Safety Concept covering all safety mechanisms, safe states, and traceability matrix. Document approved for RELEASED status.</w:t>
            </w:r>
          </w:p>
        </w:tc>
      </w:tr>
    </w:tbl>
    <w:p>
      <w:pPr>
        <w:spacing w:after="80"/>
      </w:pPr>
    </w:p>
    <w:p>
      <w:pPr>
        <w:spacing w:before="240" w:after="120"/>
      </w:pPr>
      <w:r>
        <w:rPr>
          <w:rFonts w:ascii="Arial" w:hAnsi="Arial"/>
          <w:b/>
          <w:color w:val="1F3864"/>
          <w:sz w:val="26"/>
        </w:rPr>
        <w:t>2  Unresolved Topics</w:t>
      </w:r>
    </w:p>
    <w:p>
      <w:pPr>
        <w:spacing w:after="80"/>
        <w:jc w:val="left"/>
      </w:pPr>
      <w:r>
        <w:rPr>
          <w:rFonts w:ascii="Arial" w:hAnsi="Arial"/>
          <w:b/>
          <w:i w:val="0"/>
          <w:color w:val="1F3864"/>
          <w:sz w:val="20"/>
        </w:rPr>
        <w:t>Table 2: Unresolved Topics</w:t>
      </w:r>
    </w:p>
    <w:tbl>
      <w:tblPr>
        <w:tblW w:type="auto" w:w="0"/>
        <w:jc w:val="center"/>
        <w:tblLook w:firstColumn="1" w:firstRow="1" w:lastColumn="0" w:lastRow="0" w:noHBand="0" w:noVBand="1" w:val="04A0"/>
      </w:tblPr>
      <w:tblGrid>
        <w:gridCol w:w="2016"/>
        <w:gridCol w:w="2016"/>
        <w:gridCol w:w="2016"/>
        <w:gridCol w:w="2016"/>
        <w:gridCol w:w="2016"/>
      </w:tblGrid>
      <w:tr>
        <w:tc>
          <w:tcPr>
            <w:tcW w:type="dxa" w:w="72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No.</w:t>
            </w:r>
          </w:p>
        </w:tc>
        <w:tc>
          <w:tcPr>
            <w:tcW w:type="dxa" w:w="288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Topic / Question</w:t>
            </w:r>
          </w:p>
        </w:tc>
        <w:tc>
          <w:tcPr>
            <w:tcW w:type="dxa" w:w="1728"/>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Responsible</w:t>
            </w:r>
          </w:p>
        </w:tc>
        <w:tc>
          <w:tcPr>
            <w:tcW w:type="dxa" w:w="144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Target Date</w:t>
            </w:r>
          </w:p>
        </w:tc>
        <w:tc>
          <w:tcPr>
            <w:tcW w:type="dxa" w:w="259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Status</w:t>
            </w:r>
          </w:p>
        </w:tc>
      </w:tr>
      <w:tr>
        <w:tc>
          <w:tcPr>
            <w:tcW w:type="dxa" w:w="8784"/>
            <w:gridSpan w:val="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fill="D5E8F0"/>
          </w:tcPr>
          <w:p/>
          <w:p>
            <w:pPr>
              <w:spacing w:after="0"/>
              <w:jc w:val="left"/>
            </w:pPr>
            <w:r>
              <w:rPr>
                <w:rFonts w:ascii="Arial" w:hAnsi="Arial"/>
                <w:b/>
                <w:i w:val="0"/>
                <w:color w:val="000000"/>
                <w:sz w:val="18"/>
              </w:rPr>
              <w:t>No unresolved topics at time of issue. Any topics arising during review shall be recorded here before the document status is changed to RELEASED.</w:t>
            </w:r>
          </w:p>
        </w:tc>
      </w:tr>
    </w:tbl>
    <w:p>
      <w:pPr>
        <w:spacing w:after="80"/>
      </w:pPr>
    </w:p>
    <w:p>
      <w:pPr>
        <w:spacing w:before="240" w:after="120"/>
      </w:pPr>
      <w:r>
        <w:rPr>
          <w:rFonts w:ascii="Arial" w:hAnsi="Arial"/>
          <w:b/>
          <w:color w:val="1F3864"/>
          <w:sz w:val="26"/>
        </w:rPr>
        <w:t>3  Glossary</w:t>
      </w:r>
    </w:p>
    <w:p>
      <w:pPr>
        <w:spacing w:after="120"/>
        <w:jc w:val="left"/>
      </w:pPr>
      <w:r>
        <w:rPr>
          <w:rFonts w:ascii="Arial" w:hAnsi="Arial"/>
          <w:b w:val="0"/>
          <w:i w:val="0"/>
          <w:color w:val="000000"/>
          <w:sz w:val="20"/>
        </w:rPr>
        <w:t>Table 3 lists all abbreviations and terms used in this document and the wider Airbag ECU project portfolio.</w:t>
      </w:r>
    </w:p>
    <w:p>
      <w:pPr>
        <w:spacing w:after="80"/>
        <w:jc w:val="left"/>
      </w:pPr>
      <w:r>
        <w:rPr>
          <w:rFonts w:ascii="Arial" w:hAnsi="Arial"/>
          <w:b/>
          <w:i w:val="0"/>
          <w:color w:val="1F3864"/>
          <w:sz w:val="20"/>
        </w:rPr>
        <w:t>Table 3: Glossary</w:t>
      </w:r>
    </w:p>
    <w:tbl>
      <w:tblPr>
        <w:tblW w:type="auto" w:w="0"/>
        <w:jc w:val="center"/>
        <w:tblLook w:firstColumn="1" w:firstRow="1" w:lastColumn="0" w:lastRow="0" w:noHBand="0" w:noVBand="1" w:val="04A0"/>
      </w:tblPr>
      <w:tblGrid>
        <w:gridCol w:w="5040"/>
        <w:gridCol w:w="5040"/>
      </w:tblGrid>
      <w:tr>
        <w:tc>
          <w:tcPr>
            <w:tcW w:type="dxa" w:w="259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Term / Abbreviation</w:t>
            </w:r>
          </w:p>
        </w:tc>
        <w:tc>
          <w:tcPr>
            <w:tcW w:type="dxa" w:w="6768"/>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Definition</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Automotive Safety Integrity Level — risk classification per ISO 26262 (QM, A, B, C, D)</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ACU</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Airbag Control Unit — synonymous with Airbag ECU</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CAN</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Controller Area Network — serial communication bus for vehicle ECUs</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CRC</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Cyclic Redundancy Check — error-detection mechanism for data integrity verification</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DTC</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Diagnostic Trouble Code</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DWI</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Diagnostic Warning Indicator — airbag fault lamp in the instrument cluster</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ECU</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Electronic Control Unit</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EMC</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Electromagnetic Compatibility</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FSRS</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Functional Safety Requirements Specification</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HARA</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Hazard and Risk Analysis</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HW</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Hardware</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IEC 61508</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Functional Safety of E/E/PE Safety-related Systems (2010 edition)</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ISO 26262</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Road Vehicles — Functional Safety standard (2018 edition)</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LCP05</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Life Cycle Phase 05 — Safety Concept Document</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MCU</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Microcontroller Unit</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OCS</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Occupant Classification System</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PFH</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Probability of dangerous Failure per Hour</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PMHF</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Probabilistic Metric for random Hardware Failures</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POST</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Power-On Self-Test</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QM</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Quality Management — no specific ASIL requirement</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SC</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Safety Concept</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SG</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Safety Goal — high-level safety requirement derived from HARA</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SIL</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Safety Integrity Level per IEC 61508 (1–4)</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SPFM</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Single-Point Fault Metric</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SS</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Safe State — defined system condition upon fault detection</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SW</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Software</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2oo2</w:t>
            </w:r>
          </w:p>
        </w:tc>
        <w:tc>
          <w:tcPr>
            <w:tcW w:type="dxa" w:w="67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Two-out-of-Two voting architecture</w:t>
            </w:r>
          </w:p>
        </w:tc>
      </w:tr>
    </w:tbl>
    <w:p>
      <w:pPr>
        <w:spacing w:after="80"/>
      </w:pPr>
    </w:p>
    <w:p>
      <w:r>
        <w:br w:type="page"/>
      </w:r>
    </w:p>
    <w:p>
      <w:pPr>
        <w:spacing w:before="240" w:after="120"/>
      </w:pPr>
      <w:r>
        <w:rPr>
          <w:rFonts w:ascii="Arial" w:hAnsi="Arial"/>
          <w:b/>
          <w:color w:val="1F3864"/>
          <w:sz w:val="26"/>
        </w:rPr>
        <w:t>4  Purpose and Scope of the Safety Concept Phase</w:t>
      </w:r>
    </w:p>
    <w:p>
      <w:pPr>
        <w:spacing w:before="180" w:after="80"/>
      </w:pPr>
      <w:r>
        <w:rPr>
          <w:rFonts w:ascii="Arial" w:hAnsi="Arial"/>
          <w:b/>
          <w:color w:val="2E75B6"/>
          <w:sz w:val="22"/>
        </w:rPr>
        <w:t>4.1  Purpose of Lifecycle Phase 5</w:t>
      </w:r>
    </w:p>
    <w:p>
      <w:pPr>
        <w:spacing w:after="120"/>
        <w:jc w:val="left"/>
      </w:pPr>
      <w:r>
        <w:rPr>
          <w:rFonts w:ascii="Arial" w:hAnsi="Arial"/>
          <w:b w:val="0"/>
          <w:i w:val="0"/>
          <w:color w:val="000000"/>
          <w:sz w:val="20"/>
        </w:rPr>
        <w:t>This document constitutes the deliverable for Life Cycle Phase 5 (LCP05) of the Airbag ECU project. It presents the Safety Concept Document (SCD) developed in accordance with ISO 26262:2018 and IEC 61508:2010.</w:t>
      </w:r>
    </w:p>
    <w:p>
      <w:pPr>
        <w:spacing w:after="120"/>
        <w:jc w:val="left"/>
      </w:pPr>
      <w:r>
        <w:rPr>
          <w:rFonts w:ascii="Arial" w:hAnsi="Arial"/>
          <w:b w:val="0"/>
          <w:i w:val="0"/>
          <w:color w:val="000000"/>
          <w:sz w:val="20"/>
        </w:rPr>
        <w:t>The Safety Concept defines the strategy by which the Airbag Electronic Control Unit (ECU) achieves and maintains functional safety. It translates the safety goals and hazardous events identified in the Hazard and Risk Analysis (LCP03) and the safety requirements specified in the Functional Safety Requirements Specification (LCP04) into a coherent set of safety mechanisms, architectural decisions, fault-handling strategies, and safe-state definitions.</w:t>
      </w:r>
    </w:p>
    <w:p>
      <w:pPr>
        <w:spacing w:after="120"/>
        <w:jc w:val="left"/>
      </w:pPr>
      <w:r>
        <w:rPr>
          <w:rFonts w:ascii="Arial" w:hAnsi="Arial"/>
          <w:b w:val="0"/>
          <w:i w:val="0"/>
          <w:color w:val="000000"/>
          <w:sz w:val="20"/>
        </w:rPr>
        <w:t>The Safety Concept answers three fundamental questions:</w:t>
      </w:r>
    </w:p>
    <w:p>
      <w:pPr>
        <w:pStyle w:val="ListBullet"/>
        <w:spacing w:after="60"/>
      </w:pPr>
      <w:r>
        <w:rPr>
          <w:rFonts w:ascii="Arial" w:hAnsi="Arial"/>
          <w:sz w:val="20"/>
        </w:rPr>
        <w:t>How does the system prevent hazards from occurring?</w:t>
      </w:r>
    </w:p>
    <w:p>
      <w:pPr>
        <w:pStyle w:val="ListBullet"/>
        <w:spacing w:after="60"/>
      </w:pPr>
      <w:r>
        <w:rPr>
          <w:rFonts w:ascii="Arial" w:hAnsi="Arial"/>
          <w:sz w:val="20"/>
        </w:rPr>
        <w:t>How does the system detect failures when they occur?</w:t>
      </w:r>
    </w:p>
    <w:p>
      <w:pPr>
        <w:pStyle w:val="ListBullet"/>
        <w:spacing w:after="60"/>
      </w:pPr>
      <w:r>
        <w:rPr>
          <w:rFonts w:ascii="Arial" w:hAnsi="Arial"/>
          <w:sz w:val="20"/>
        </w:rPr>
        <w:t>What does the system do when a failure is detected (safe state)?</w:t>
      </w:r>
    </w:p>
    <w:p>
      <w:pPr>
        <w:spacing w:before="180" w:after="80"/>
      </w:pPr>
      <w:r>
        <w:rPr>
          <w:rFonts w:ascii="Arial" w:hAnsi="Arial"/>
          <w:b/>
          <w:color w:val="2E75B6"/>
          <w:sz w:val="22"/>
        </w:rPr>
        <w:t>4.2  Relationship to Other Lifecycle Phases</w:t>
      </w:r>
    </w:p>
    <w:p>
      <w:pPr>
        <w:spacing w:after="120"/>
      </w:pPr>
      <w:r>
        <w:rPr>
          <w:rFonts w:ascii="Arial" w:hAnsi="Arial"/>
          <w:b/>
          <w:sz w:val="20"/>
        </w:rPr>
        <w:t xml:space="preserve">Input: </w:t>
      </w:r>
      <w:r>
        <w:rPr>
          <w:rFonts w:ascii="Arial" w:hAnsi="Arial"/>
          <w:sz w:val="20"/>
        </w:rPr>
        <w:t>LCP03 — Hazard and Risk Analysis (HARA) providing hazardous events H1-01 through H4-02, safety goals SG-01–SG-07, safe states SS-01–SS-05, and ASIL/SIL classifications. LCP04 — Functional Safety Requirements Specification providing requirements FSR-01 through FSR-22.</w:t>
      </w:r>
    </w:p>
    <w:p>
      <w:pPr>
        <w:spacing w:after="120"/>
      </w:pPr>
      <w:r>
        <w:rPr>
          <w:rFonts w:ascii="Arial" w:hAnsi="Arial"/>
          <w:b/>
          <w:sz w:val="20"/>
        </w:rPr>
        <w:t xml:space="preserve">Output: </w:t>
      </w:r>
      <w:r>
        <w:rPr>
          <w:rFonts w:ascii="Arial" w:hAnsi="Arial"/>
          <w:sz w:val="20"/>
        </w:rPr>
        <w:t>Safety mechanisms, architectural safety decisions, fault detection strategy, safe state definitions, and safety mechanism traceability matrix. These become the inputs to LCP06 (Hardware Architecture and Design Documentation) and LCP07 (Software Architecture and Source Code).</w:t>
      </w:r>
    </w:p>
    <w:p>
      <w:pPr>
        <w:spacing w:before="180" w:after="80"/>
      </w:pPr>
      <w:r>
        <w:rPr>
          <w:rFonts w:ascii="Arial" w:hAnsi="Arial"/>
          <w:b/>
          <w:color w:val="2E75B6"/>
          <w:sz w:val="22"/>
        </w:rPr>
        <w:t>4.3  Applicable Standards</w:t>
      </w:r>
    </w:p>
    <w:p>
      <w:pPr>
        <w:spacing w:after="120"/>
        <w:jc w:val="left"/>
      </w:pPr>
      <w:r>
        <w:rPr>
          <w:rFonts w:ascii="Arial" w:hAnsi="Arial"/>
          <w:b w:val="0"/>
          <w:i w:val="0"/>
          <w:color w:val="000000"/>
          <w:sz w:val="20"/>
        </w:rPr>
        <w:t>This specification is developed in accordance with:</w:t>
      </w:r>
    </w:p>
    <w:p>
      <w:pPr>
        <w:pStyle w:val="ListBullet"/>
        <w:spacing w:after="60"/>
      </w:pPr>
      <w:r>
        <w:rPr>
          <w:rFonts w:ascii="Arial" w:hAnsi="Arial"/>
          <w:sz w:val="20"/>
        </w:rPr>
        <w:t>ISO 26262:2018 — Road Vehicles — Functional Safety, Parts 1–12</w:t>
      </w:r>
    </w:p>
    <w:p>
      <w:pPr>
        <w:pStyle w:val="ListBullet"/>
        <w:spacing w:after="60"/>
      </w:pPr>
      <w:r>
        <w:rPr>
          <w:rFonts w:ascii="Arial" w:hAnsi="Arial"/>
          <w:sz w:val="20"/>
        </w:rPr>
        <w:t>IEC 61508:2010 — Functional Safety of Electrical/Electronic/Programmable Electronic Safety-related Systems, Parts 1–7</w:t>
      </w:r>
    </w:p>
    <w:p>
      <w:pPr>
        <w:pStyle w:val="ListBullet"/>
        <w:spacing w:after="60"/>
      </w:pPr>
      <w:r>
        <w:rPr>
          <w:rFonts w:ascii="Arial" w:hAnsi="Arial"/>
          <w:sz w:val="20"/>
        </w:rPr>
        <w:t>ISO 21448:2022 — Safety of the Intended Functionality (SOTIF)</w:t>
      </w:r>
    </w:p>
    <w:p>
      <w:pPr>
        <w:spacing w:before="240" w:after="120"/>
      </w:pPr>
      <w:r>
        <w:rPr>
          <w:rFonts w:ascii="Arial" w:hAnsi="Arial"/>
          <w:b/>
          <w:color w:val="1F3864"/>
          <w:sz w:val="26"/>
        </w:rPr>
        <w:t>5  System Overview</w:t>
      </w:r>
    </w:p>
    <w:p>
      <w:pPr>
        <w:spacing w:before="180" w:after="80"/>
      </w:pPr>
      <w:r>
        <w:rPr>
          <w:rFonts w:ascii="Arial" w:hAnsi="Arial"/>
          <w:b/>
          <w:color w:val="2E75B6"/>
          <w:sz w:val="22"/>
        </w:rPr>
        <w:t>5.1  System Description</w:t>
      </w:r>
    </w:p>
    <w:p>
      <w:pPr>
        <w:spacing w:after="120"/>
        <w:jc w:val="left"/>
      </w:pPr>
      <w:r>
        <w:rPr>
          <w:rFonts w:ascii="Arial" w:hAnsi="Arial"/>
          <w:b w:val="0"/>
          <w:i w:val="0"/>
          <w:color w:val="000000"/>
          <w:sz w:val="20"/>
        </w:rPr>
        <w:t>The Airbag Electronic Control Unit (ACU) is a safety-critical automotive component responsible for real-time detection of crash events and controlled deployment of occupant restraint systems.</w:t>
      </w:r>
    </w:p>
    <w:p>
      <w:pPr>
        <w:spacing w:after="120"/>
        <w:jc w:val="left"/>
      </w:pPr>
      <w:r>
        <w:rPr>
          <w:rFonts w:ascii="Arial" w:hAnsi="Arial"/>
          <w:b w:val="0"/>
          <w:i w:val="0"/>
          <w:color w:val="000000"/>
          <w:sz w:val="20"/>
        </w:rPr>
        <w:t>The confirmed laboratory implementation consists of:</w:t>
      </w:r>
    </w:p>
    <w:p>
      <w:pPr>
        <w:pStyle w:val="ListBullet"/>
        <w:spacing w:after="60"/>
      </w:pPr>
      <w:r>
        <w:rPr>
          <w:rFonts w:ascii="Arial" w:hAnsi="Arial"/>
          <w:sz w:val="20"/>
        </w:rPr>
        <w:t>Two Arduino Due boards operating in a dual-channel (2oo2) redundant architecture</w:t>
      </w:r>
    </w:p>
    <w:p>
      <w:pPr>
        <w:pStyle w:val="ListBullet"/>
        <w:spacing w:after="60"/>
      </w:pPr>
      <w:r>
        <w:rPr>
          <w:rFonts w:ascii="Arial" w:hAnsi="Arial"/>
          <w:sz w:val="20"/>
        </w:rPr>
        <w:t>Three potentiometer-simulated analog crash sensors (POTI-1 accelerometer, POTI-2 gyroscope, POTI-3 pressure sensor)</w:t>
      </w:r>
    </w:p>
    <w:p>
      <w:pPr>
        <w:pStyle w:val="ListBullet"/>
        <w:spacing w:after="60"/>
      </w:pPr>
      <w:r>
        <w:rPr>
          <w:rFonts w:ascii="Arial" w:hAnsi="Arial"/>
          <w:sz w:val="20"/>
        </w:rPr>
        <w:t>One digital baby-seat switch input</w:t>
      </w:r>
    </w:p>
    <w:p>
      <w:pPr>
        <w:pStyle w:val="ListBullet"/>
        <w:spacing w:after="60"/>
      </w:pPr>
      <w:r>
        <w:rPr>
          <w:rFonts w:ascii="Arial" w:hAnsi="Arial"/>
          <w:sz w:val="20"/>
        </w:rPr>
        <w:t>CAN bus output to OMS laboratory PC with parallel bitstream readback</w:t>
      </w:r>
    </w:p>
    <w:p>
      <w:pPr>
        <w:spacing w:after="120"/>
        <w:jc w:val="left"/>
      </w:pPr>
      <w:r>
        <w:rPr>
          <w:rFonts w:ascii="Arial" w:hAnsi="Arial"/>
          <w:b w:val="0"/>
          <w:i w:val="0"/>
          <w:color w:val="000000"/>
          <w:sz w:val="20"/>
        </w:rPr>
        <w:t>The mechanical airbag module, inflator, vehicle body structure, and pyrotechnic actuators are treated as adjacent systems outside the ECU item boundary.</w:t>
      </w:r>
    </w:p>
    <w:p>
      <w:pPr>
        <w:spacing w:before="240" w:after="120"/>
      </w:pPr>
      <w:r>
        <w:rPr>
          <w:rFonts w:ascii="Arial" w:hAnsi="Arial"/>
          <w:b/>
          <w:color w:val="1F3864"/>
          <w:sz w:val="26"/>
        </w:rPr>
        <w:t>6  Safety Goals Summary</w:t>
      </w:r>
    </w:p>
    <w:p>
      <w:pPr>
        <w:spacing w:after="120"/>
        <w:jc w:val="left"/>
      </w:pPr>
      <w:r>
        <w:rPr>
          <w:rFonts w:ascii="Arial" w:hAnsi="Arial"/>
          <w:b w:val="0"/>
          <w:i w:val="0"/>
          <w:color w:val="000000"/>
          <w:sz w:val="20"/>
        </w:rPr>
        <w:t>The following safety goals were derived from the HARA (LCP03) and govern all safety mechanisms defined in this document. The highest classification across all goals determines the overall item classification.</w:t>
      </w:r>
    </w:p>
    <w:p>
      <w:pPr>
        <w:spacing w:after="80"/>
        <w:jc w:val="left"/>
      </w:pPr>
      <w:r>
        <w:rPr>
          <w:rFonts w:ascii="Arial" w:hAnsi="Arial"/>
          <w:b/>
          <w:i w:val="0"/>
          <w:color w:val="1F3864"/>
          <w:sz w:val="20"/>
        </w:rPr>
        <w:t>Table 4: Safety Goals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115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SG-ID</w:t>
            </w:r>
          </w:p>
        </w:tc>
        <w:tc>
          <w:tcPr>
            <w:tcW w:type="dxa" w:w="360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Safety Goal</w:t>
            </w:r>
          </w:p>
        </w:tc>
        <w:tc>
          <w:tcPr>
            <w:tcW w:type="dxa" w:w="115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ASIL</w:t>
            </w:r>
          </w:p>
        </w:tc>
        <w:tc>
          <w:tcPr>
            <w:tcW w:type="dxa" w:w="86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SIL</w:t>
            </w:r>
          </w:p>
        </w:tc>
        <w:tc>
          <w:tcPr>
            <w:tcW w:type="dxa" w:w="259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Governing Hazard(s)</w:t>
            </w:r>
          </w:p>
        </w:tc>
      </w:tr>
      <w:tr>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SG-01</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The ECU shall NOT command deployment without a valid crash event</w:t>
            </w:r>
          </w:p>
        </w:tc>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SIL 3</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H1-01, H1-02, H1-04</w:t>
            </w:r>
          </w:p>
        </w:tc>
      </w:tr>
      <w:tr>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SG-02</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The ECU shall deploy airbags within the required timing window during valid crash events</w:t>
            </w:r>
          </w:p>
        </w:tc>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SIL 3</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H2-01, H2-02</w:t>
            </w:r>
          </w:p>
        </w:tc>
      </w:tr>
      <w:tr>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SG-03</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The ECU shall suppress passenger airbag when child seat or empty seat is detected</w:t>
            </w:r>
          </w:p>
        </w:tc>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SIL 3</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H1-04</w:t>
            </w:r>
          </w:p>
        </w:tc>
      </w:tr>
      <w:tr>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SG-04</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The ECU shall activate seatbelt pretensioners within required timing limits</w:t>
            </w:r>
          </w:p>
        </w:tc>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C</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SIL 2</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H2-03, H2-04</w:t>
            </w:r>
          </w:p>
        </w:tc>
      </w:tr>
      <w:tr>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SG-05</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The ECU shall reject EMC disturbances and invalid electrical events</w:t>
            </w:r>
          </w:p>
        </w:tc>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C</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SIL 2</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H1-05</w:t>
            </w:r>
          </w:p>
        </w:tc>
      </w:tr>
      <w:tr>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SG-06</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The ECU shall detect and report safety-critical faults via DWI within 800 ms</w:t>
            </w:r>
          </w:p>
        </w:tc>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A</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SIL 1</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H4-01</w:t>
            </w:r>
          </w:p>
        </w:tc>
      </w:tr>
      <w:tr>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SG-07</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The ECU shall transmit crash notification CAN frames reliably within 15 ms of deployment</w:t>
            </w:r>
          </w:p>
        </w:tc>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B</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SIL 2</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H4-02</w:t>
            </w:r>
          </w:p>
        </w:tc>
      </w:tr>
      <w:tr>
        <w:tc>
          <w:tcPr>
            <w:tcW w:type="dxa" w:w="9216"/>
            <w:gridSpan w:val="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fill="D5E8F0"/>
          </w:tcPr>
          <w:p/>
          <w:p>
            <w:pPr>
              <w:spacing w:after="0"/>
              <w:jc w:val="left"/>
            </w:pPr>
            <w:r>
              <w:rPr>
                <w:rFonts w:ascii="Arial" w:hAnsi="Arial"/>
                <w:b/>
                <w:i w:val="0"/>
                <w:color w:val="000000"/>
                <w:sz w:val="18"/>
              </w:rPr>
              <w:t>Overall Item Classification: ASIL D (ISO 26262) | SIL 3 (IEC 61508)</w:t>
            </w:r>
          </w:p>
        </w:tc>
      </w:tr>
    </w:tbl>
    <w:p>
      <w:pPr>
        <w:spacing w:after="80"/>
      </w:pPr>
    </w:p>
    <w:p>
      <w:r>
        <w:br w:type="page"/>
      </w:r>
    </w:p>
    <w:p>
      <w:pPr>
        <w:spacing w:before="240" w:after="120"/>
      </w:pPr>
      <w:r>
        <w:rPr>
          <w:rFonts w:ascii="Arial" w:hAnsi="Arial"/>
          <w:b/>
          <w:color w:val="1F3864"/>
          <w:sz w:val="26"/>
        </w:rPr>
        <w:t>7  Functional Safety Concept</w:t>
      </w:r>
    </w:p>
    <w:p>
      <w:pPr>
        <w:spacing w:after="120"/>
        <w:jc w:val="left"/>
      </w:pPr>
      <w:r>
        <w:rPr>
          <w:rFonts w:ascii="Arial" w:hAnsi="Arial"/>
          <w:b w:val="0"/>
          <w:i w:val="0"/>
          <w:color w:val="000000"/>
          <w:sz w:val="20"/>
        </w:rPr>
        <w:t>The Functional Safety Concept describes the architectural and logical safety mechanisms that collectively ensure the system achieves all safety goals. The concept is structured around three pillars: prevention of unintended deployment, guaranteed deployment when required, and continuous fault detection.</w:t>
      </w:r>
    </w:p>
    <w:p>
      <w:pPr>
        <w:spacing w:before="180" w:after="80"/>
      </w:pPr>
      <w:r>
        <w:rPr>
          <w:rFonts w:ascii="Arial" w:hAnsi="Arial"/>
          <w:b/>
          <w:color w:val="2E75B6"/>
          <w:sz w:val="22"/>
        </w:rPr>
        <w:t>7.1  Dual-Channel Redundant Architecture (2oo2)</w:t>
      </w:r>
    </w:p>
    <w:p>
      <w:pPr>
        <w:spacing w:after="120"/>
        <w:jc w:val="left"/>
      </w:pPr>
      <w:r>
        <w:rPr>
          <w:rFonts w:ascii="Arial" w:hAnsi="Arial"/>
          <w:b w:val="0"/>
          <w:i w:val="0"/>
          <w:color w:val="000000"/>
          <w:sz w:val="20"/>
        </w:rPr>
        <w:t>The most critical architectural measure is the deployment of two independent Arduino Due microcontroller boards operating in a Two-out-of-Two (2oo2) voting logic configuration. This architecture is required to meet the ASIL D single-point fault metric (SPFM ≥ 99%) specified in ISO 26262.</w:t>
      </w:r>
    </w:p>
    <w:p>
      <w:pPr>
        <w:spacing w:after="120"/>
        <w:jc w:val="left"/>
      </w:pPr>
      <w:r>
        <w:rPr>
          <w:rFonts w:ascii="Arial" w:hAnsi="Arial"/>
          <w:b w:val="0"/>
          <w:i w:val="0"/>
          <w:color w:val="000000"/>
          <w:sz w:val="20"/>
        </w:rPr>
        <w:t>Architecture principles:</w:t>
      </w:r>
    </w:p>
    <w:p>
      <w:pPr>
        <w:pStyle w:val="ListBullet"/>
        <w:spacing w:after="60"/>
      </w:pPr>
      <w:r>
        <w:rPr>
          <w:rFonts w:ascii="Arial" w:hAnsi="Arial"/>
          <w:sz w:val="20"/>
        </w:rPr>
        <w:t>Channel A (Arduino Due #1) and Channel B (Arduino Due #2) independently read all sensor inputs, execute the crash detection algorithm, and calculate a deployment decision.</w:t>
      </w:r>
    </w:p>
    <w:p>
      <w:pPr>
        <w:pStyle w:val="ListBullet"/>
        <w:spacing w:after="60"/>
      </w:pPr>
      <w:r>
        <w:rPr>
          <w:rFonts w:ascii="Arial" w:hAnsi="Arial"/>
          <w:sz w:val="20"/>
        </w:rPr>
        <w:t>A deployment output is issued if and only if both Channel A and Channel B independently and simultaneously arrive at the same deployment decision. This is the AND-gate deployment authorization logic.</w:t>
      </w:r>
    </w:p>
    <w:p>
      <w:pPr>
        <w:pStyle w:val="ListBullet"/>
        <w:spacing w:after="60"/>
      </w:pPr>
      <w:r>
        <w:rPr>
          <w:rFonts w:ascii="Arial" w:hAnsi="Arial"/>
          <w:sz w:val="20"/>
        </w:rPr>
        <w:t>Both channels calculate an independent CRC over the CAN frame payload to verify data integrity across the communication interface.</w:t>
      </w:r>
    </w:p>
    <w:p>
      <w:pPr>
        <w:pStyle w:val="ListBullet"/>
        <w:spacing w:after="60"/>
      </w:pPr>
      <w:r>
        <w:rPr>
          <w:rFonts w:ascii="Arial" w:hAnsi="Arial"/>
          <w:sz w:val="20"/>
        </w:rPr>
        <w:t>A cross-comparison interface allows the two channels to synchronize and verify each other's decision before any output is activated.</w:t>
      </w:r>
    </w:p>
    <w:p>
      <w:pPr>
        <w:pStyle w:val="ListBullet"/>
        <w:spacing w:after="60"/>
      </w:pPr>
      <w:r>
        <w:rPr>
          <w:rFonts w:ascii="Arial" w:hAnsi="Arial"/>
          <w:sz w:val="20"/>
        </w:rPr>
        <w:t>Failure of either channel results in suppression of deployment for the affected channel, activation of the DWI, and logging of a DTC. The remaining channel continues monitoring.</w:t>
      </w:r>
    </w:p>
    <w:p>
      <w:pPr>
        <w:spacing w:after="120"/>
        <w:jc w:val="left"/>
      </w:pPr>
      <w:r>
        <w:rPr>
          <w:rFonts w:ascii="Arial" w:hAnsi="Arial"/>
          <w:b w:val="0"/>
          <w:i w:val="0"/>
          <w:color w:val="000000"/>
          <w:sz w:val="20"/>
        </w:rPr>
        <w:t>This architecture ensures that no single hardware or software fault in either processing channel can independently cause an unintended airbag deployment (Safety Goal SG-01).</w:t>
      </w:r>
    </w:p>
    <w:p>
      <w:pPr>
        <w:spacing w:before="180" w:after="80"/>
      </w:pPr>
      <w:r>
        <w:rPr>
          <w:rFonts w:ascii="Arial" w:hAnsi="Arial"/>
          <w:b/>
          <w:color w:val="2E75B6"/>
          <w:sz w:val="22"/>
        </w:rPr>
        <w:t>7.2  Deployment Authorization Logic</w:t>
      </w:r>
    </w:p>
    <w:p>
      <w:pPr>
        <w:spacing w:after="120"/>
        <w:jc w:val="left"/>
      </w:pPr>
      <w:r>
        <w:rPr>
          <w:rFonts w:ascii="Arial" w:hAnsi="Arial"/>
          <w:b w:val="0"/>
          <w:i w:val="0"/>
          <w:color w:val="000000"/>
          <w:sz w:val="20"/>
        </w:rPr>
        <w:t>A deployment command shall only be issued when all of the following six conditions are simultaneously satisfied (FSR-03):</w:t>
      </w:r>
    </w:p>
    <w:p>
      <w:pPr>
        <w:spacing w:after="80"/>
        <w:jc w:val="left"/>
      </w:pPr>
      <w:r>
        <w:rPr>
          <w:rFonts w:ascii="Arial" w:hAnsi="Arial"/>
          <w:b/>
          <w:i w:val="0"/>
          <w:color w:val="1F3864"/>
          <w:sz w:val="20"/>
        </w:rPr>
        <w:t>Table 5: Deployment Authorization Conditions</w:t>
      </w:r>
    </w:p>
    <w:tbl>
      <w:tblPr>
        <w:tblW w:type="auto" w:w="0"/>
        <w:jc w:val="center"/>
        <w:tblLook w:firstColumn="1" w:firstRow="1" w:lastColumn="0" w:lastRow="0" w:noHBand="0" w:noVBand="1" w:val="04A0"/>
      </w:tblPr>
      <w:tblGrid>
        <w:gridCol w:w="3360"/>
        <w:gridCol w:w="3360"/>
        <w:gridCol w:w="3360"/>
      </w:tblGrid>
      <w:tr>
        <w:tc>
          <w:tcPr>
            <w:tcW w:type="dxa" w:w="576"/>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w:t>
            </w:r>
          </w:p>
        </w:tc>
        <w:tc>
          <w:tcPr>
            <w:tcW w:type="dxa" w:w="374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Condition</w:t>
            </w:r>
          </w:p>
        </w:tc>
        <w:tc>
          <w:tcPr>
            <w:tcW w:type="dxa" w:w="504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Safety Rationale</w:t>
            </w:r>
          </w:p>
        </w:tc>
      </w:tr>
      <w:tr>
        <w:tc>
          <w:tcPr>
            <w:tcW w:type="dxa" w:w="57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1</w:t>
            </w:r>
          </w:p>
        </w:tc>
        <w:tc>
          <w:tcPr>
            <w:tcW w:type="dxa" w:w="374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Crash sensor thresholds exceeded (at least one axis: accel, gyro, or pressure)</w:t>
            </w:r>
          </w:p>
        </w:tc>
        <w:tc>
          <w:tcPr>
            <w:tcW w:type="dxa" w:w="5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Prevents deployment in non-crash scenarios (road shock, minor impacts)</w:t>
            </w:r>
          </w:p>
        </w:tc>
      </w:tr>
      <w:tr>
        <w:tc>
          <w:tcPr>
            <w:tcW w:type="dxa" w:w="57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2</w:t>
            </w:r>
          </w:p>
        </w:tc>
        <w:tc>
          <w:tcPr>
            <w:tcW w:type="dxa" w:w="374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Channel A independently confirms crash detection</w:t>
            </w:r>
          </w:p>
        </w:tc>
        <w:tc>
          <w:tcPr>
            <w:tcW w:type="dxa" w:w="5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Eliminates single-point hardware fault in Channel A from causing deployment</w:t>
            </w:r>
          </w:p>
        </w:tc>
      </w:tr>
      <w:tr>
        <w:tc>
          <w:tcPr>
            <w:tcW w:type="dxa" w:w="57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3</w:t>
            </w:r>
          </w:p>
        </w:tc>
        <w:tc>
          <w:tcPr>
            <w:tcW w:type="dxa" w:w="374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Channel B independently confirms crash detection</w:t>
            </w:r>
          </w:p>
        </w:tc>
        <w:tc>
          <w:tcPr>
            <w:tcW w:type="dxa" w:w="5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Eliminates single-point hardware fault in Channel B from causing deployment</w:t>
            </w:r>
          </w:p>
        </w:tc>
      </w:tr>
      <w:tr>
        <w:tc>
          <w:tcPr>
            <w:tcW w:type="dxa" w:w="57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4</w:t>
            </w:r>
          </w:p>
        </w:tc>
        <w:tc>
          <w:tcPr>
            <w:tcW w:type="dxa" w:w="374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Both channels reach identical deployment decision (AND-gate agreement)</w:t>
            </w:r>
          </w:p>
        </w:tc>
        <w:tc>
          <w:tcPr>
            <w:tcW w:type="dxa" w:w="5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Prevents deployment from divergent channel states or communication faults</w:t>
            </w:r>
          </w:p>
        </w:tc>
      </w:tr>
      <w:tr>
        <w:tc>
          <w:tcPr>
            <w:tcW w:type="dxa" w:w="57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5</w:t>
            </w:r>
          </w:p>
        </w:tc>
        <w:tc>
          <w:tcPr>
            <w:tcW w:type="dxa" w:w="374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No critical fault condition exists in either channel</w:t>
            </w:r>
          </w:p>
        </w:tc>
        <w:tc>
          <w:tcPr>
            <w:tcW w:type="dxa" w:w="5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Prevents deployment during unsafe system states</w:t>
            </w:r>
          </w:p>
        </w:tc>
      </w:tr>
      <w:tr>
        <w:tc>
          <w:tcPr>
            <w:tcW w:type="dxa" w:w="57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6</w:t>
            </w:r>
          </w:p>
        </w:tc>
        <w:tc>
          <w:tcPr>
            <w:tcW w:type="dxa" w:w="374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Passenger suppression conditions are not active (baby-seat signal HIGH)</w:t>
            </w:r>
          </w:p>
        </w:tc>
        <w:tc>
          <w:tcPr>
            <w:tcW w:type="dxa" w:w="5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Prevents passenger airbag deployment with child seat or empty seat (SG-03)</w:t>
            </w:r>
          </w:p>
        </w:tc>
      </w:tr>
    </w:tbl>
    <w:p>
      <w:pPr>
        <w:spacing w:after="80"/>
      </w:pPr>
    </w:p>
    <w:p>
      <w:pPr>
        <w:spacing w:before="180" w:after="80"/>
      </w:pPr>
      <w:r>
        <w:rPr>
          <w:rFonts w:ascii="Arial" w:hAnsi="Arial"/>
          <w:b/>
          <w:color w:val="2E75B6"/>
          <w:sz w:val="22"/>
        </w:rPr>
        <w:t>7.3  Sensor Fusion Strategy</w:t>
      </w:r>
    </w:p>
    <w:p>
      <w:pPr>
        <w:spacing w:after="120"/>
        <w:jc w:val="left"/>
      </w:pPr>
      <w:r>
        <w:rPr>
          <w:rFonts w:ascii="Arial" w:hAnsi="Arial"/>
          <w:b w:val="0"/>
          <w:i w:val="0"/>
          <w:color w:val="000000"/>
          <w:sz w:val="20"/>
        </w:rPr>
        <w:t>The crash detection algorithm fuses three analog sensor channels to form a deployment decision. In the laboratory implementation, these are represented by potentiometers on a breadboard:</w:t>
      </w:r>
    </w:p>
    <w:p>
      <w:pPr>
        <w:spacing w:after="80"/>
        <w:jc w:val="left"/>
      </w:pPr>
      <w:r>
        <w:rPr>
          <w:rFonts w:ascii="Arial" w:hAnsi="Arial"/>
          <w:b/>
          <w:i w:val="0"/>
          <w:color w:val="1F3864"/>
          <w:sz w:val="20"/>
        </w:rPr>
        <w:t>Table 6: Sensor Fusion Configuration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115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Input</w:t>
            </w:r>
          </w:p>
        </w:tc>
        <w:tc>
          <w:tcPr>
            <w:tcW w:type="dxa" w:w="2016"/>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Real Sensor</w:t>
            </w:r>
          </w:p>
        </w:tc>
        <w:tc>
          <w:tcPr>
            <w:tcW w:type="dxa" w:w="2016"/>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Lab Substitute</w:t>
            </w:r>
          </w:p>
        </w:tc>
        <w:tc>
          <w:tcPr>
            <w:tcW w:type="dxa" w:w="158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Range</w:t>
            </w:r>
          </w:p>
        </w:tc>
        <w:tc>
          <w:tcPr>
            <w:tcW w:type="dxa" w:w="259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Threshold (deploy)</w:t>
            </w:r>
          </w:p>
        </w:tc>
      </w:tr>
      <w:tr>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POTI-1</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Accelerometer</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Potentiometer 1</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0–100 g</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&gt; 30 g (frontal)</w:t>
            </w:r>
          </w:p>
        </w:tc>
      </w:tr>
      <w:tr>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POTI-2</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Gyroscope / Angular Rate</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Potentiometer 2</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0–360 °/s</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&gt; 120 °/s (rollover)</w:t>
            </w:r>
          </w:p>
        </w:tc>
      </w:tr>
      <w:tr>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POTI-3</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Pressure Sensor</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Potentiometer 3</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0–500 kPa</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&gt; 200 kPa (impact)</w:t>
            </w:r>
          </w:p>
        </w:tc>
      </w:tr>
      <w:tr>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Digital In</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OCS / Baby-Seat Sensor</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Digital Switch (active-LOW)</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LOW / HIGH</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LOW = suppress passenger airbag</w:t>
            </w:r>
          </w:p>
        </w:tc>
      </w:tr>
    </w:tbl>
    <w:p>
      <w:pPr>
        <w:spacing w:after="80"/>
      </w:pPr>
    </w:p>
    <w:p>
      <w:pPr>
        <w:spacing w:before="180" w:after="80"/>
      </w:pPr>
      <w:r>
        <w:rPr>
          <w:rFonts w:ascii="Arial" w:hAnsi="Arial"/>
          <w:b/>
          <w:color w:val="2E75B6"/>
          <w:sz w:val="22"/>
        </w:rPr>
        <w:t>7.4  Occupant Classification and Passenger Airbag Suppression</w:t>
      </w:r>
    </w:p>
    <w:p>
      <w:pPr>
        <w:spacing w:after="120"/>
        <w:jc w:val="left"/>
      </w:pPr>
      <w:r>
        <w:rPr>
          <w:rFonts w:ascii="Arial" w:hAnsi="Arial"/>
          <w:b w:val="0"/>
          <w:i w:val="0"/>
          <w:color w:val="000000"/>
          <w:sz w:val="20"/>
        </w:rPr>
        <w:t>The passenger airbag suppression logic is a dedicated ASIL D safety function addressing Safety Goal SG-03. It manages the baby-seat digital input as follows:</w:t>
      </w:r>
    </w:p>
    <w:p>
      <w:pPr>
        <w:pStyle w:val="ListBullet"/>
        <w:spacing w:after="60"/>
      </w:pPr>
      <w:r>
        <w:rPr>
          <w:rFonts w:ascii="Arial" w:hAnsi="Arial"/>
          <w:sz w:val="20"/>
        </w:rPr>
        <w:t>Baby-seat input LOW (0 V): baby seat or child seat detected — passenger airbag is unconditionally suppressed.</w:t>
      </w:r>
    </w:p>
    <w:p>
      <w:pPr>
        <w:pStyle w:val="ListBullet"/>
        <w:spacing w:after="60"/>
      </w:pPr>
      <w:r>
        <w:rPr>
          <w:rFonts w:ascii="Arial" w:hAnsi="Arial"/>
          <w:sz w:val="20"/>
        </w:rPr>
        <w:t>Baby-seat input HIGH (3.3 V): adult occupant or empty seat — passenger airbag remains armed.</w:t>
      </w:r>
    </w:p>
    <w:p>
      <w:pPr>
        <w:pStyle w:val="ListBullet"/>
        <w:spacing w:after="60"/>
      </w:pPr>
      <w:r>
        <w:rPr>
          <w:rFonts w:ascii="Arial" w:hAnsi="Arial"/>
          <w:sz w:val="20"/>
        </w:rPr>
        <w:t>Suppress-on-fault strategy: If the baby-seat signal is unavailable, intermittent, or invalid, the ECU defaults to passenger airbag suppression. This is the fail-safe direction — suppression is safer than unintended deployment into a child seat.</w:t>
      </w:r>
    </w:p>
    <w:p>
      <w:pPr>
        <w:pStyle w:val="ListBullet"/>
        <w:spacing w:after="60"/>
      </w:pPr>
      <w:r>
        <w:rPr>
          <w:rFonts w:ascii="Arial" w:hAnsi="Arial"/>
          <w:sz w:val="20"/>
        </w:rPr>
        <w:t>Signal debounce: The baby-seat digital input must remain stable for at least 10 ms before any state transition is accepted as valid (FSR-11).</w:t>
      </w:r>
    </w:p>
    <w:p>
      <w:pPr>
        <w:pStyle w:val="ListBullet"/>
        <w:spacing w:after="60"/>
      </w:pPr>
      <w:r>
        <w:rPr>
          <w:rFonts w:ascii="Arial" w:hAnsi="Arial"/>
          <w:sz w:val="20"/>
        </w:rPr>
        <w:t>Hardware pull-up: A 10 kΩ pull-up resistor to 3.3 V ensures that an open-circuit wire condition defaults the input to HIGH. When combined with the suppress-on-fault software strategy, this ensures that any open-circuit fault always results in suppression.</w:t>
      </w:r>
    </w:p>
    <w:p>
      <w:pPr>
        <w:pStyle w:val="ListBullet"/>
        <w:spacing w:after="60"/>
      </w:pPr>
      <w:r>
        <w:rPr>
          <w:rFonts w:ascii="Arial" w:hAnsi="Arial"/>
          <w:sz w:val="20"/>
        </w:rPr>
        <w:t>Periodic line continuity check: The ECU drives the line LOW and verifies the response to detect stuck-HIGH (open-circuit) faults before a crash event occurs.</w:t>
      </w:r>
    </w:p>
    <w:p>
      <w:pPr>
        <w:spacing w:before="180" w:after="80"/>
      </w:pPr>
      <w:r>
        <w:rPr>
          <w:rFonts w:ascii="Arial" w:hAnsi="Arial"/>
          <w:b/>
          <w:color w:val="2E75B6"/>
          <w:sz w:val="22"/>
        </w:rPr>
        <w:t>7.5  Hardware-Enforced Deployment Inhibit</w:t>
      </w:r>
    </w:p>
    <w:p>
      <w:pPr>
        <w:spacing w:after="120"/>
        <w:jc w:val="left"/>
      </w:pPr>
      <w:r>
        <w:rPr>
          <w:rFonts w:ascii="Arial" w:hAnsi="Arial"/>
          <w:b w:val="0"/>
          <w:i w:val="0"/>
          <w:color w:val="000000"/>
          <w:sz w:val="20"/>
        </w:rPr>
        <w:t>Independent of software execution, a hardware safety switch (firing inhibit path) directly controls all firing transistors. This hardware path is not controlled by software and ensures that:</w:t>
      </w:r>
    </w:p>
    <w:p>
      <w:pPr>
        <w:pStyle w:val="ListBullet"/>
        <w:spacing w:after="60"/>
      </w:pPr>
      <w:r>
        <w:rPr>
          <w:rFonts w:ascii="Arial" w:hAnsi="Arial"/>
          <w:sz w:val="20"/>
        </w:rPr>
        <w:t>No software runaway, memory corruption, or runaway thread can independently cause airbag deployment.</w:t>
      </w:r>
    </w:p>
    <w:p>
      <w:pPr>
        <w:pStyle w:val="ListBullet"/>
        <w:spacing w:after="60"/>
      </w:pPr>
      <w:r>
        <w:rPr>
          <w:rFonts w:ascii="Arial" w:hAnsi="Arial"/>
          <w:sz w:val="20"/>
        </w:rPr>
        <w:t>The hardware inhibit remains active unless both processing channels have explicitly authorized deployment AND the hardware safety switch has received a verified enable signal.</w:t>
      </w:r>
    </w:p>
    <w:p>
      <w:pPr>
        <w:pStyle w:val="ListBullet"/>
        <w:spacing w:after="60"/>
      </w:pPr>
      <w:r>
        <w:rPr>
          <w:rFonts w:ascii="Arial" w:hAnsi="Arial"/>
          <w:sz w:val="20"/>
        </w:rPr>
        <w:t>In case of system shutdown (SS-05), the hardware safety switch forces all output transistors off, independent of MCU state.</w:t>
      </w:r>
    </w:p>
    <w:p>
      <w:pPr>
        <w:spacing w:after="120"/>
        <w:jc w:val="left"/>
      </w:pPr>
      <w:r>
        <w:rPr>
          <w:rFonts w:ascii="Arial" w:hAnsi="Arial"/>
          <w:b w:val="0"/>
          <w:i w:val="0"/>
          <w:color w:val="000000"/>
          <w:sz w:val="20"/>
        </w:rPr>
        <w:t>This satisfies Safety Constraint SC-09: Deployment inhibit functionality shall remain enforceable by hardware independent of software execution.</w:t>
      </w:r>
    </w:p>
    <w:p>
      <w:r>
        <w:br w:type="page"/>
      </w:r>
    </w:p>
    <w:p>
      <w:pPr>
        <w:spacing w:before="240" w:after="120"/>
      </w:pPr>
      <w:r>
        <w:rPr>
          <w:rFonts w:ascii="Arial" w:hAnsi="Arial"/>
          <w:b/>
          <w:color w:val="1F3864"/>
          <w:sz w:val="26"/>
        </w:rPr>
        <w:t>8  Fault Detection Mechanisms</w:t>
      </w:r>
    </w:p>
    <w:p>
      <w:pPr>
        <w:spacing w:after="120"/>
        <w:jc w:val="left"/>
      </w:pPr>
      <w:r>
        <w:rPr>
          <w:rFonts w:ascii="Arial" w:hAnsi="Arial"/>
          <w:b w:val="0"/>
          <w:i w:val="0"/>
          <w:color w:val="000000"/>
          <w:sz w:val="20"/>
        </w:rPr>
        <w:t>Fault detection is implemented through two complementary strategies: (1) Power-On Self-Test (POST) at startup, and (2) Continuous Background Diagnostics during operation.</w:t>
      </w:r>
    </w:p>
    <w:p>
      <w:pPr>
        <w:spacing w:before="180" w:after="80"/>
      </w:pPr>
      <w:r>
        <w:rPr>
          <w:rFonts w:ascii="Arial" w:hAnsi="Arial"/>
          <w:b/>
          <w:color w:val="2E75B6"/>
          <w:sz w:val="22"/>
        </w:rPr>
        <w:t>8.1  Power-On Self-Test (POST)</w:t>
      </w:r>
    </w:p>
    <w:p>
      <w:pPr>
        <w:spacing w:after="120"/>
        <w:jc w:val="left"/>
      </w:pPr>
      <w:r>
        <w:rPr>
          <w:rFonts w:ascii="Arial" w:hAnsi="Arial"/>
          <w:b w:val="0"/>
          <w:i w:val="0"/>
          <w:color w:val="000000"/>
          <w:sz w:val="20"/>
        </w:rPr>
        <w:t>At every ignition cycle, the ECU completes a full POST sequence within 800 ms before arming the system (FSR-17). The POST verifies:</w:t>
      </w:r>
    </w:p>
    <w:p>
      <w:pPr>
        <w:spacing w:after="80"/>
        <w:jc w:val="left"/>
      </w:pPr>
      <w:r>
        <w:rPr>
          <w:rFonts w:ascii="Arial" w:hAnsi="Arial"/>
          <w:b/>
          <w:i w:val="0"/>
          <w:color w:val="1F3864"/>
          <w:sz w:val="20"/>
        </w:rPr>
        <w:t>Table 7: Power-On Self-Test Items</w:t>
      </w:r>
    </w:p>
    <w:tbl>
      <w:tblPr>
        <w:tblW w:type="auto" w:w="0"/>
        <w:jc w:val="center"/>
        <w:tblLook w:firstColumn="1" w:firstRow="1" w:lastColumn="0" w:lastRow="0" w:noHBand="0" w:noVBand="1" w:val="04A0"/>
      </w:tblPr>
      <w:tblGrid>
        <w:gridCol w:w="3360"/>
        <w:gridCol w:w="3360"/>
        <w:gridCol w:w="3360"/>
      </w:tblGrid>
      <w:tr>
        <w:tc>
          <w:tcPr>
            <w:tcW w:type="dxa" w:w="216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POST Item</w:t>
            </w:r>
          </w:p>
        </w:tc>
        <w:tc>
          <w:tcPr>
            <w:tcW w:type="dxa" w:w="360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Method</w:t>
            </w:r>
          </w:p>
        </w:tc>
        <w:tc>
          <w:tcPr>
            <w:tcW w:type="dxa" w:w="360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Action on Failure</w:t>
            </w:r>
          </w:p>
        </w:tc>
      </w:tr>
      <w:tr>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MCU CPU core integrity</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Lockstep core checkerboard test</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System shutdown; DWI ON; DTC logged</w:t>
            </w:r>
          </w:p>
        </w:tc>
      </w:tr>
      <w:tr>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Flash memory integrity</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CRC32 check of code and calibration regions</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Deployment inhibited; DWI ON; DTC logged</w:t>
            </w:r>
          </w:p>
        </w:tc>
      </w:tr>
      <w:tr>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RAM integrity</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Write/read pattern; stack boundary check</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System reset; if recurring — shutdown</w:t>
            </w:r>
          </w:p>
        </w:tc>
      </w:tr>
      <w:tr>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ADC / sensor plausibility</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All three POTIs read within valid 0–3.3 V ADC range</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Affected sensor channel flagged; DWI ON</w:t>
            </w:r>
          </w:p>
        </w:tc>
      </w:tr>
      <w:tr>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Clock monitor / watchdog</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Watchdog self-test; PLL lock verification</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Watchdog-triggered reset; DWI ON</w:t>
            </w:r>
          </w:p>
        </w:tc>
      </w:tr>
      <w:tr>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CAN bus communication</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Test frame sent to OMS lab PC; receipt confirmed; CRC verified</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CAN fault DTC logged; DWI ON; limp-home mode</w:t>
            </w:r>
          </w:p>
        </w:tc>
      </w:tr>
      <w:tr>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Baby-seat input continuity</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Line driven LOW; response verified</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Suppress-on-fault applied; DWI ON; DTC logged</w:t>
            </w:r>
          </w:p>
        </w:tc>
      </w:tr>
      <w:tr>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Power supply voltage</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Analog supervisor: 9 V – 16 V window check</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Low: hold + deploy from capacitor; High: firing inhibit</w:t>
            </w:r>
          </w:p>
        </w:tc>
      </w:tr>
      <w:tr>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DWI lamp circuit</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Drive current monitoring at power-on</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DWI fault DTC; BCM notified via CAN</w:t>
            </w:r>
          </w:p>
        </w:tc>
      </w:tr>
    </w:tbl>
    <w:p>
      <w:pPr>
        <w:spacing w:after="80"/>
      </w:pPr>
    </w:p>
    <w:p>
      <w:pPr>
        <w:spacing w:after="120"/>
        <w:jc w:val="left"/>
      </w:pPr>
      <w:r>
        <w:rPr>
          <w:rFonts w:ascii="Arial" w:hAnsi="Arial"/>
          <w:b w:val="0"/>
          <w:i w:val="0"/>
          <w:color w:val="000000"/>
          <w:sz w:val="20"/>
        </w:rPr>
        <w:t>If any POST item fails, the DWI lamp is illuminated, a DTC is stored, and the system enters a safe degraded state as appropriate to the failure. Deployment is not armed until the POST passes.</w:t>
      </w:r>
    </w:p>
    <w:p>
      <w:pPr>
        <w:spacing w:before="180" w:after="80"/>
      </w:pPr>
      <w:r>
        <w:rPr>
          <w:rFonts w:ascii="Arial" w:hAnsi="Arial"/>
          <w:b/>
          <w:color w:val="2E75B6"/>
          <w:sz w:val="22"/>
        </w:rPr>
        <w:t>8.2  Continuous Background Diagnostics</w:t>
      </w:r>
    </w:p>
    <w:p>
      <w:pPr>
        <w:spacing w:after="120"/>
        <w:jc w:val="left"/>
      </w:pPr>
      <w:r>
        <w:rPr>
          <w:rFonts w:ascii="Arial" w:hAnsi="Arial"/>
          <w:b w:val="0"/>
          <w:i w:val="0"/>
          <w:color w:val="000000"/>
          <w:sz w:val="20"/>
        </w:rPr>
        <w:t>During normal operation, the ECU executes background diagnostics at intervals not exceeding 100 ms (FSR-18). These include:</w:t>
      </w:r>
    </w:p>
    <w:p>
      <w:pPr>
        <w:pStyle w:val="ListBullet"/>
        <w:spacing w:after="60"/>
      </w:pPr>
      <w:r>
        <w:rPr>
          <w:rFonts w:ascii="Arial" w:hAnsi="Arial"/>
          <w:sz w:val="20"/>
        </w:rPr>
        <w:t>Sensor plausibility monitoring: All three analog potentiometer channels are monitored for values outside the valid ADC range (open-circuit, short, stuck-at-rail). Fault triggers DWI and DTC.</w:t>
      </w:r>
    </w:p>
    <w:p>
      <w:pPr>
        <w:pStyle w:val="ListBullet"/>
        <w:spacing w:after="60"/>
      </w:pPr>
      <w:r>
        <w:rPr>
          <w:rFonts w:ascii="Arial" w:hAnsi="Arial"/>
          <w:sz w:val="20"/>
        </w:rPr>
        <w:t>Lockstep MCU core comparison: Channel A and Channel B compare their intermediate computation results every cycle (≤ 1 ms). Any mismatch triggers an immediate watchdog reset. If the mismatch persists after three consecutive resets, the system enters SS-05 (system shutdown).</w:t>
      </w:r>
    </w:p>
    <w:p>
      <w:pPr>
        <w:pStyle w:val="ListBullet"/>
        <w:spacing w:after="60"/>
      </w:pPr>
      <w:r>
        <w:rPr>
          <w:rFonts w:ascii="Arial" w:hAnsi="Arial"/>
          <w:sz w:val="20"/>
        </w:rPr>
        <w:t>CAN frame timeout supervision: If no valid CAN frame is received from the opposing channel for more than 50 ms, a timeout fault is declared (FSR-15). The deployment algorithm continues using the last valid occupant classification, and pretensioners are not suppressed.</w:t>
      </w:r>
    </w:p>
    <w:p>
      <w:pPr>
        <w:pStyle w:val="ListBullet"/>
        <w:spacing w:after="60"/>
      </w:pPr>
      <w:r>
        <w:rPr>
          <w:rFonts w:ascii="Arial" w:hAnsi="Arial"/>
          <w:sz w:val="20"/>
        </w:rPr>
        <w:t>Watchdog timer supervision: An independent hardware watchdog (timeout &lt; 10 ms) monitors software execution. Failure to kick the watchdog within the timeout interval triggers an MCU reset. This detects software lockup, infinite loops, and runaway threads.</w:t>
      </w:r>
    </w:p>
    <w:p>
      <w:pPr>
        <w:pStyle w:val="ListBullet"/>
        <w:spacing w:after="60"/>
      </w:pPr>
      <w:r>
        <w:rPr>
          <w:rFonts w:ascii="Arial" w:hAnsi="Arial"/>
          <w:sz w:val="20"/>
        </w:rPr>
        <w:t>Memory integrity monitoring: RAM CRC and stack boundary monitoring execute continuously. Detection of corruption triggers safe-state transition (FSR-22).</w:t>
      </w:r>
    </w:p>
    <w:p>
      <w:pPr>
        <w:pStyle w:val="ListBullet"/>
        <w:spacing w:after="60"/>
      </w:pPr>
      <w:r>
        <w:rPr>
          <w:rFonts w:ascii="Arial" w:hAnsi="Arial"/>
          <w:sz w:val="20"/>
        </w:rPr>
        <w:t>Temperature monitoring: An NTC sensor on the ECU PCB is read continuously. If temperature exceeds 90 °C, a warning DTC is logged. If temperature exceeds 105 °C, deployment is inhibited to prevent inflator malfunctions.</w:t>
      </w:r>
    </w:p>
    <w:p>
      <w:pPr>
        <w:pStyle w:val="ListBullet"/>
        <w:spacing w:after="60"/>
      </w:pPr>
      <w:r>
        <w:rPr>
          <w:rFonts w:ascii="Arial" w:hAnsi="Arial"/>
          <w:sz w:val="20"/>
        </w:rPr>
        <w:t>Squib loop integrity: All squib circuit resistances are monitored continuously within the valid window (1.5 Ω – 4.0 Ω). Open-circuit, short-to-battery, or short-to-ground on any channel triggers DWI and disables the affected channel while leaving the rest armed.</w:t>
      </w:r>
    </w:p>
    <w:p>
      <w:pPr>
        <w:spacing w:before="180" w:after="80"/>
      </w:pPr>
      <w:r>
        <w:rPr>
          <w:rFonts w:ascii="Arial" w:hAnsi="Arial"/>
          <w:b/>
          <w:color w:val="2E75B6"/>
          <w:sz w:val="22"/>
        </w:rPr>
        <w:t>8.3  Fault Detection Summary</w:t>
      </w:r>
    </w:p>
    <w:p>
      <w:pPr>
        <w:spacing w:after="80"/>
        <w:jc w:val="left"/>
      </w:pPr>
      <w:r>
        <w:rPr>
          <w:rFonts w:ascii="Arial" w:hAnsi="Arial"/>
          <w:b/>
          <w:i w:val="0"/>
          <w:color w:val="1F3864"/>
          <w:sz w:val="20"/>
        </w:rPr>
        <w:t>Table 8: Fault Detection Summary</w:t>
      </w:r>
    </w:p>
    <w:tbl>
      <w:tblPr>
        <w:tblW w:type="auto" w:w="0"/>
        <w:jc w:val="center"/>
        <w:tblLook w:firstColumn="1" w:firstRow="1" w:lastColumn="0" w:lastRow="0" w:noHBand="0" w:noVBand="1" w:val="04A0"/>
      </w:tblPr>
      <w:tblGrid>
        <w:gridCol w:w="2520"/>
        <w:gridCol w:w="2520"/>
        <w:gridCol w:w="2520"/>
        <w:gridCol w:w="2520"/>
      </w:tblGrid>
      <w:tr>
        <w:tc>
          <w:tcPr>
            <w:tcW w:type="dxa" w:w="259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Failure Mode</w:t>
            </w:r>
          </w:p>
        </w:tc>
        <w:tc>
          <w:tcPr>
            <w:tcW w:type="dxa" w:w="259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Detection Method</w:t>
            </w:r>
          </w:p>
        </w:tc>
        <w:tc>
          <w:tcPr>
            <w:tcW w:type="dxa" w:w="259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Safe State</w:t>
            </w:r>
          </w:p>
        </w:tc>
        <w:tc>
          <w:tcPr>
            <w:tcW w:type="dxa" w:w="158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ASIL</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MCU internal fault</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Lockstep core comparison</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SS-05 (system shutdown)</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Sensor out-of-range</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ADC range check, POST and background</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SS-04 (channel isolated)</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Baby-seat line fault (stuck-HIGH)</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Continuity check, debounce</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SS-03 (pax airbag suppressed)</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Baby-seat line fault (stuck-LOW)</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Signal monitoring, DWI</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SS-03 + DWI ON, DTC</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C</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Flash memory CRC error</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CRC32 at POST and periodically</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SS-05 (deployment inhibited)</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Software watchdog timeout</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Hardware watchdog (&lt; 10 ms)</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MCU reset; SS-05 if recurring</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CAN bus communication loss</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Frame timeout (&gt; 50 ms)</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Limp-home, no OCS suppression</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B</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Power supply undervoltage</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Analog voltage supervisor (&lt; 9 V)</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Backup capacitor; deploy still possible</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C</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Power supply overvoltage</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Analog clamp + interrupt (&gt; 16 V)</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SS-01 (firing transistors inhibited)</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C</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Overtemperature</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NTC on PCB (&gt; 90 °C warn; &gt; 105 °C inhibit)</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SS-01 at &gt; 105 °C</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C</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Squib loop open/short</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Resistance window monitor (1.5–4.0 Ω)</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SS-04 (affected channel only)</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w:t>
            </w:r>
          </w:p>
        </w:tc>
      </w:tr>
      <w:tr>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DWI lamp circuit fault</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Drive current monitoring at POST</w:t>
            </w:r>
          </w:p>
        </w:tc>
        <w:tc>
          <w:tcPr>
            <w:tcW w:type="dxa" w:w="259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BCM CAN notification; DTC logged</w:t>
            </w:r>
          </w:p>
        </w:tc>
        <w:tc>
          <w:tcPr>
            <w:tcW w:type="dxa" w:w="158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A</w:t>
            </w:r>
          </w:p>
        </w:tc>
      </w:tr>
    </w:tbl>
    <w:p>
      <w:pPr>
        <w:spacing w:after="80"/>
      </w:pPr>
    </w:p>
    <w:p>
      <w:r>
        <w:br w:type="page"/>
      </w:r>
    </w:p>
    <w:p>
      <w:pPr>
        <w:spacing w:before="240" w:after="120"/>
      </w:pPr>
      <w:r>
        <w:rPr>
          <w:rFonts w:ascii="Arial" w:hAnsi="Arial"/>
          <w:b/>
          <w:color w:val="1F3864"/>
          <w:sz w:val="26"/>
        </w:rPr>
        <w:t>9  Safe State Definitions</w:t>
      </w:r>
    </w:p>
    <w:p>
      <w:pPr>
        <w:spacing w:after="120"/>
        <w:jc w:val="left"/>
      </w:pPr>
      <w:r>
        <w:rPr>
          <w:rFonts w:ascii="Arial" w:hAnsi="Arial"/>
          <w:b w:val="0"/>
          <w:i w:val="0"/>
          <w:color w:val="000000"/>
          <w:sz w:val="20"/>
        </w:rPr>
        <w:t>ISO 26262 requires that each safety goal has an associated safe state — the system condition that must be achieved or maintained when a fault is detected. The Airbag ECU defines five safe states:</w:t>
      </w:r>
    </w:p>
    <w:p>
      <w:pPr>
        <w:spacing w:after="80"/>
        <w:jc w:val="left"/>
      </w:pPr>
      <w:r>
        <w:rPr>
          <w:rFonts w:ascii="Arial" w:hAnsi="Arial"/>
          <w:b/>
          <w:i w:val="0"/>
          <w:color w:val="1F3864"/>
          <w:sz w:val="20"/>
        </w:rPr>
        <w:t>Table 9: Safe States Definition</w:t>
      </w:r>
    </w:p>
    <w:tbl>
      <w:tblPr>
        <w:tblW w:type="auto" w:w="0"/>
        <w:jc w:val="center"/>
        <w:tblLook w:firstColumn="1" w:firstRow="1" w:lastColumn="0" w:lastRow="0" w:noHBand="0" w:noVBand="1" w:val="04A0"/>
      </w:tblPr>
      <w:tblGrid>
        <w:gridCol w:w="2520"/>
        <w:gridCol w:w="2520"/>
        <w:gridCol w:w="2520"/>
        <w:gridCol w:w="2520"/>
      </w:tblGrid>
      <w:tr>
        <w:tc>
          <w:tcPr>
            <w:tcW w:type="dxa" w:w="86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SS-ID</w:t>
            </w:r>
          </w:p>
        </w:tc>
        <w:tc>
          <w:tcPr>
            <w:tcW w:type="dxa" w:w="216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Name</w:t>
            </w:r>
          </w:p>
        </w:tc>
        <w:tc>
          <w:tcPr>
            <w:tcW w:type="dxa" w:w="432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System Condition</w:t>
            </w:r>
          </w:p>
        </w:tc>
        <w:tc>
          <w:tcPr>
            <w:tcW w:type="dxa" w:w="2016"/>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Applicable Hazard(s)</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SS-01</w:t>
            </w:r>
          </w:p>
        </w:tc>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Deployment Inhibit State</w:t>
            </w:r>
          </w:p>
        </w:tc>
        <w:tc>
          <w:tcPr>
            <w:tcW w:type="dxa" w:w="43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All firing transistors remain open (OFF). Reservoir capacitor maintained but no firing command issued. DWI lamp ON if fault detected.</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H1-01, H1-02, H1-03, H1-05</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SS-02</w:t>
            </w:r>
          </w:p>
        </w:tc>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Deployment Armed State</w:t>
            </w:r>
          </w:p>
        </w:tc>
        <w:tc>
          <w:tcPr>
            <w:tcW w:type="dxa" w:w="43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Normal monitoring standby. All squib channels armed. Crash detection algorithm running continuously. Any fault disables only the affected channel — not the full system.</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H2-01, H2-02, H2-03</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SS-03</w:t>
            </w:r>
          </w:p>
        </w:tc>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Passenger Airbag Suppressed</w:t>
            </w:r>
          </w:p>
        </w:tc>
        <w:tc>
          <w:tcPr>
            <w:tcW w:type="dxa" w:w="43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Passenger airbag firing transistor inhibited. Driver and side airbags remain armed. OCS fault or baby-seat signal loss triggers this state. DWI ON.</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H1-04</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SS-04</w:t>
            </w:r>
          </w:p>
        </w:tc>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Partial Degradation State</w:t>
            </w:r>
          </w:p>
        </w:tc>
        <w:tc>
          <w:tcPr>
            <w:tcW w:type="dxa" w:w="43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Faulted squib channel or sensor channel isolated and disabled. Remaining channels continue normal operation. DWI lamp ON. DTC logged.</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H3-01, H3-02, H4-01</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SS-05</w:t>
            </w:r>
          </w:p>
        </w:tc>
        <w:tc>
          <w:tcPr>
            <w:tcW w:type="dxa" w:w="21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System Shutdown State</w:t>
            </w:r>
          </w:p>
        </w:tc>
        <w:tc>
          <w:tcPr>
            <w:tcW w:type="dxa" w:w="43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All output transistors forced OFF by hardware safety switch, independent of MCU state. Watchdog asserts reset. If fault persists after 3 resets — permanent shutdown with DWI lamp on. Cannot be reset without authorised OBD workshop procedure.</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H1-01, H2-01 (related)</w:t>
            </w:r>
          </w:p>
        </w:tc>
      </w:tr>
    </w:tbl>
    <w:p>
      <w:pPr>
        <w:spacing w:after="80"/>
      </w:pPr>
    </w:p>
    <w:p>
      <w:pPr>
        <w:spacing w:after="120"/>
      </w:pPr>
      <w:r>
        <w:rPr>
          <w:rFonts w:ascii="Arial" w:hAnsi="Arial"/>
          <w:b/>
          <w:sz w:val="20"/>
        </w:rPr>
        <w:t>State Transition Principles:</w:t>
      </w:r>
      <w:r>
        <w:rPr>
          <w:rFonts w:ascii="Arial" w:hAnsi="Arial"/>
          <w:sz w:val="20"/>
        </w:rPr>
      </w:r>
    </w:p>
    <w:p>
      <w:pPr>
        <w:pStyle w:val="ListBullet"/>
        <w:spacing w:after="60"/>
      </w:pPr>
      <w:r>
        <w:rPr>
          <w:rFonts w:ascii="Arial" w:hAnsi="Arial"/>
          <w:sz w:val="20"/>
        </w:rPr>
        <w:t>All transitions into SS-05 are irreversible without an authorised reset (OBD-II workshop procedure).</w:t>
      </w:r>
    </w:p>
    <w:p>
      <w:pPr>
        <w:pStyle w:val="ListBullet"/>
        <w:spacing w:after="60"/>
      </w:pPr>
      <w:r>
        <w:rPr>
          <w:rFonts w:ascii="Arial" w:hAnsi="Arial"/>
          <w:sz w:val="20"/>
        </w:rPr>
        <w:t>Transitions from SS-02 (armed) to SS-01 or SS-03 occur automatically upon fault detection within one diagnostic cycle (≤ 100 ms).</w:t>
      </w:r>
    </w:p>
    <w:p>
      <w:pPr>
        <w:pStyle w:val="ListBullet"/>
        <w:spacing w:after="60"/>
      </w:pPr>
      <w:r>
        <w:rPr>
          <w:rFonts w:ascii="Arial" w:hAnsi="Arial"/>
          <w:sz w:val="20"/>
        </w:rPr>
        <w:t>The DWI lamp is activated within 800 ms of any fault that reduces the system below full protection capability (FSR-19).</w:t>
      </w:r>
    </w:p>
    <w:p>
      <w:pPr>
        <w:spacing w:before="240" w:after="120"/>
      </w:pPr>
      <w:r>
        <w:rPr>
          <w:rFonts w:ascii="Arial" w:hAnsi="Arial"/>
          <w:b/>
          <w:color w:val="1F3864"/>
          <w:sz w:val="26"/>
        </w:rPr>
        <w:t>10  Safety Mechanisms</w:t>
      </w:r>
    </w:p>
    <w:p>
      <w:pPr>
        <w:spacing w:before="180" w:after="80"/>
      </w:pPr>
      <w:r>
        <w:rPr>
          <w:rFonts w:ascii="Arial" w:hAnsi="Arial"/>
          <w:b/>
          <w:color w:val="2E75B6"/>
          <w:sz w:val="22"/>
        </w:rPr>
        <w:t>10.1  Watchdog Timers</w:t>
      </w:r>
    </w:p>
    <w:p>
      <w:pPr>
        <w:spacing w:after="120"/>
        <w:jc w:val="left"/>
      </w:pPr>
      <w:r>
        <w:rPr>
          <w:rFonts w:ascii="Arial" w:hAnsi="Arial"/>
          <w:b w:val="0"/>
          <w:i w:val="0"/>
          <w:color w:val="000000"/>
          <w:sz w:val="20"/>
        </w:rPr>
        <w:t>Two independent watchdog supervisors are implemented:</w:t>
      </w:r>
    </w:p>
    <w:p>
      <w:pPr>
        <w:pStyle w:val="ListBullet"/>
        <w:spacing w:after="60"/>
      </w:pPr>
      <w:r>
        <w:rPr>
          <w:rFonts w:ascii="Arial" w:hAnsi="Arial"/>
          <w:sz w:val="20"/>
        </w:rPr>
        <w:t>Hardware watchdog (independent of MCU): The primary watchdog is implemented in hardware, outside the MCU, and cannot be disabled by software. It must be regularly kicked by the running software within a 10 ms timeout window. A watchdog timeout indicates software deadlock, runaway, or crash — triggering an MCU reset and transitioning to the safe state.</w:t>
      </w:r>
    </w:p>
    <w:p>
      <w:pPr>
        <w:pStyle w:val="ListBullet"/>
        <w:spacing w:after="60"/>
      </w:pPr>
      <w:r>
        <w:rPr>
          <w:rFonts w:ascii="Arial" w:hAnsi="Arial"/>
          <w:sz w:val="20"/>
        </w:rPr>
        <w:t>Software watchdog (secondary): A software-implemented task monitor verifies that safety-critical tasks complete within their allowed time windows. Non-completion triggers a controlled safe-state transition before the hardware watchdog fires, enabling a more graceful response with DTC logging.</w:t>
      </w:r>
    </w:p>
    <w:p>
      <w:pPr>
        <w:spacing w:before="180" w:after="80"/>
      </w:pPr>
      <w:r>
        <w:rPr>
          <w:rFonts w:ascii="Arial" w:hAnsi="Arial"/>
          <w:b/>
          <w:color w:val="2E75B6"/>
          <w:sz w:val="22"/>
        </w:rPr>
        <w:t>10.2  Cross-Channel Comparison</w:t>
      </w:r>
    </w:p>
    <w:p>
      <w:pPr>
        <w:spacing w:after="120"/>
        <w:jc w:val="left"/>
      </w:pPr>
      <w:r>
        <w:rPr>
          <w:rFonts w:ascii="Arial" w:hAnsi="Arial"/>
          <w:b w:val="0"/>
          <w:i w:val="0"/>
          <w:color w:val="000000"/>
          <w:sz w:val="20"/>
        </w:rPr>
        <w:t>Channel A and Channel B compare their deployment decisions and intermediate computational results before issuing any output. This cross-channel comparison mechanism:</w:t>
      </w:r>
    </w:p>
    <w:p>
      <w:pPr>
        <w:pStyle w:val="ListBullet"/>
        <w:spacing w:after="60"/>
      </w:pPr>
      <w:r>
        <w:rPr>
          <w:rFonts w:ascii="Arial" w:hAnsi="Arial"/>
          <w:sz w:val="20"/>
        </w:rPr>
        <w:t>Detects hardware faults that cause one channel to produce incorrect sensor readings or deployment decisions</w:t>
      </w:r>
    </w:p>
    <w:p>
      <w:pPr>
        <w:pStyle w:val="ListBullet"/>
        <w:spacing w:after="60"/>
      </w:pPr>
      <w:r>
        <w:rPr>
          <w:rFonts w:ascii="Arial" w:hAnsi="Arial"/>
          <w:sz w:val="20"/>
        </w:rPr>
        <w:t>Detects software faults that cause divergent algorithm execution between the two channels</w:t>
      </w:r>
    </w:p>
    <w:p>
      <w:pPr>
        <w:pStyle w:val="ListBullet"/>
        <w:spacing w:after="60"/>
      </w:pPr>
      <w:r>
        <w:rPr>
          <w:rFonts w:ascii="Arial" w:hAnsi="Arial"/>
          <w:sz w:val="20"/>
        </w:rPr>
        <w:t>Detects communication faults that corrupt the cross-channel decision synchronization interface</w:t>
      </w:r>
    </w:p>
    <w:p>
      <w:pPr>
        <w:pStyle w:val="ListBullet"/>
        <w:spacing w:after="60"/>
      </w:pPr>
      <w:r>
        <w:rPr>
          <w:rFonts w:ascii="Arial" w:hAnsi="Arial"/>
          <w:sz w:val="20"/>
        </w:rPr>
        <w:t>Any detected discrepancy between channels results in deployment being held and a fault being logged</w:t>
      </w:r>
    </w:p>
    <w:p>
      <w:pPr>
        <w:spacing w:after="120"/>
        <w:jc w:val="left"/>
      </w:pPr>
      <w:r>
        <w:rPr>
          <w:rFonts w:ascii="Arial" w:hAnsi="Arial"/>
          <w:b w:val="0"/>
          <w:i w:val="0"/>
          <w:color w:val="000000"/>
          <w:sz w:val="20"/>
        </w:rPr>
        <w:t>The cross-comparison executes at every 1 ms algorithm cycle, satisfying the FSR-02 deterministic cycle time requirement.</w:t>
      </w:r>
    </w:p>
    <w:p>
      <w:pPr>
        <w:spacing w:before="180" w:after="80"/>
      </w:pPr>
      <w:r>
        <w:rPr>
          <w:rFonts w:ascii="Arial" w:hAnsi="Arial"/>
          <w:b/>
          <w:color w:val="2E75B6"/>
          <w:sz w:val="22"/>
        </w:rPr>
        <w:t>10.3  CRC Protection</w:t>
      </w:r>
    </w:p>
    <w:p>
      <w:pPr>
        <w:spacing w:after="120"/>
        <w:jc w:val="left"/>
      </w:pPr>
      <w:r>
        <w:rPr>
          <w:rFonts w:ascii="Arial" w:hAnsi="Arial"/>
          <w:b w:val="0"/>
          <w:i w:val="0"/>
          <w:color w:val="000000"/>
          <w:sz w:val="20"/>
        </w:rPr>
        <w:t>CRC protection is applied at three levels:</w:t>
      </w:r>
    </w:p>
    <w:p>
      <w:pPr>
        <w:pStyle w:val="ListBullet"/>
        <w:spacing w:after="60"/>
      </w:pPr>
      <w:r>
        <w:rPr>
          <w:rFonts w:ascii="Arial" w:hAnsi="Arial"/>
          <w:sz w:val="20"/>
        </w:rPr>
        <w:t>Flash memory integrity: A CRC32 is calculated over the entire program code and calibration data at POST and periodically during operation (FSR-22). Corruption inhibits deployment.</w:t>
      </w:r>
    </w:p>
    <w:p>
      <w:pPr>
        <w:pStyle w:val="ListBullet"/>
        <w:spacing w:after="60"/>
      </w:pPr>
      <w:r>
        <w:rPr>
          <w:rFonts w:ascii="Arial" w:hAnsi="Arial"/>
          <w:sz w:val="20"/>
        </w:rPr>
        <w:t>CAN frame integrity: Every CAN frame transmitted to the OMS lab PC includes a 16-bit CRC field calculated by both channels using the Arduino CRC library (FSR-13). Frames with invalid CRC are discarded.</w:t>
      </w:r>
    </w:p>
    <w:p>
      <w:pPr>
        <w:pStyle w:val="ListBullet"/>
        <w:spacing w:after="60"/>
      </w:pPr>
      <w:r>
        <w:rPr>
          <w:rFonts w:ascii="Arial" w:hAnsi="Arial"/>
          <w:sz w:val="20"/>
        </w:rPr>
        <w:t>RAM integrity: Runtime RAM regions are protected by CRC verification. Stack boundary monitoring prevents overflow conditions from corrupting safety-critical variables (FSR-22).</w:t>
      </w:r>
    </w:p>
    <w:p>
      <w:pPr>
        <w:spacing w:before="180" w:after="80"/>
      </w:pPr>
      <w:r>
        <w:rPr>
          <w:rFonts w:ascii="Arial" w:hAnsi="Arial"/>
          <w:b/>
          <w:color w:val="2E75B6"/>
          <w:sz w:val="22"/>
        </w:rPr>
        <w:t>10.4  Parallel CAN Bitstream Readback</w:t>
      </w:r>
    </w:p>
    <w:p>
      <w:pPr>
        <w:spacing w:after="120"/>
        <w:jc w:val="left"/>
      </w:pPr>
      <w:r>
        <w:rPr>
          <w:rFonts w:ascii="Arial" w:hAnsi="Arial"/>
          <w:b w:val="0"/>
          <w:i w:val="0"/>
          <w:color w:val="000000"/>
          <w:sz w:val="20"/>
        </w:rPr>
        <w:t>A secondary parallel readback channel monitors the transmitted CAN bitstream directly after transmission (FSR-14). This detects:</w:t>
      </w:r>
    </w:p>
    <w:p>
      <w:pPr>
        <w:pStyle w:val="ListBullet"/>
        <w:spacing w:after="60"/>
      </w:pPr>
      <w:r>
        <w:rPr>
          <w:rFonts w:ascii="Arial" w:hAnsi="Arial"/>
          <w:sz w:val="20"/>
        </w:rPr>
        <w:t>CAN transceiver hardware faults causing bit errors during transmission</w:t>
      </w:r>
    </w:p>
    <w:p>
      <w:pPr>
        <w:pStyle w:val="ListBullet"/>
        <w:spacing w:after="60"/>
      </w:pPr>
      <w:r>
        <w:rPr>
          <w:rFonts w:ascii="Arial" w:hAnsi="Arial"/>
          <w:sz w:val="20"/>
        </w:rPr>
        <w:t>Corrupted CAN frames not detected by the standard CAN ACK mechanism</w:t>
      </w:r>
    </w:p>
    <w:p>
      <w:pPr>
        <w:pStyle w:val="ListBullet"/>
        <w:spacing w:after="60"/>
      </w:pPr>
      <w:r>
        <w:rPr>
          <w:rFonts w:ascii="Arial" w:hAnsi="Arial"/>
          <w:sz w:val="20"/>
        </w:rPr>
        <w:t>Differences between the intended and transmitted bitstream</w:t>
      </w:r>
    </w:p>
    <w:p>
      <w:pPr>
        <w:spacing w:after="120"/>
        <w:jc w:val="left"/>
      </w:pPr>
      <w:r>
        <w:rPr>
          <w:rFonts w:ascii="Arial" w:hAnsi="Arial"/>
          <w:b w:val="0"/>
          <w:i w:val="0"/>
          <w:color w:val="000000"/>
          <w:sz w:val="20"/>
        </w:rPr>
        <w:t>Any detected discrepancy between the transmitted frame and the readback channel result triggers a CAN fault DTC and activates the DWI.</w:t>
      </w:r>
    </w:p>
    <w:p>
      <w:pPr>
        <w:spacing w:before="180" w:after="80"/>
      </w:pPr>
      <w:r>
        <w:rPr>
          <w:rFonts w:ascii="Arial" w:hAnsi="Arial"/>
          <w:b/>
          <w:color w:val="2E75B6"/>
          <w:sz w:val="22"/>
        </w:rPr>
        <w:t>10.5  EMC Protection</w:t>
      </w:r>
    </w:p>
    <w:p>
      <w:pPr>
        <w:spacing w:after="120"/>
        <w:jc w:val="left"/>
      </w:pPr>
      <w:r>
        <w:rPr>
          <w:rFonts w:ascii="Arial" w:hAnsi="Arial"/>
          <w:b w:val="0"/>
          <w:i w:val="0"/>
          <w:color w:val="000000"/>
          <w:sz w:val="20"/>
        </w:rPr>
        <w:t>To satisfy Safety Goal SG-05 (EMC disturbance rejection, ASIL C), the following hardware and software measures are implemented:</w:t>
      </w:r>
    </w:p>
    <w:p>
      <w:pPr>
        <w:pStyle w:val="ListBullet"/>
        <w:spacing w:after="60"/>
      </w:pPr>
      <w:r>
        <w:rPr>
          <w:rFonts w:ascii="Arial" w:hAnsi="Arial"/>
          <w:sz w:val="20"/>
        </w:rPr>
        <w:t>Galvanic isolation on squib firing lines — prevents radiated disturbances from directly activating the firing circuit.</w:t>
      </w:r>
    </w:p>
    <w:p>
      <w:pPr>
        <w:pStyle w:val="ListBullet"/>
        <w:spacing w:after="60"/>
      </w:pPr>
      <w:r>
        <w:rPr>
          <w:rFonts w:ascii="Arial" w:hAnsi="Arial"/>
          <w:sz w:val="20"/>
        </w:rPr>
        <w:t>Differential signal lines and shielded squib wiring — reduces susceptibility to conducted and radiated EMC events.</w:t>
      </w:r>
    </w:p>
    <w:p>
      <w:pPr>
        <w:pStyle w:val="ListBullet"/>
        <w:spacing w:after="60"/>
      </w:pPr>
      <w:r>
        <w:rPr>
          <w:rFonts w:ascii="Arial" w:hAnsi="Arial"/>
          <w:sz w:val="20"/>
        </w:rPr>
        <w:t>Hardware firing key — a separate hardware enable signal must be asserted by the MCU in addition to the firing transistor gate control. An EMC-induced gate voltage cannot deploy the airbag without the hardware key.</w:t>
      </w:r>
    </w:p>
    <w:p>
      <w:pPr>
        <w:pStyle w:val="ListBullet"/>
        <w:spacing w:after="60"/>
      </w:pPr>
      <w:r>
        <w:rPr>
          <w:rFonts w:ascii="Arial" w:hAnsi="Arial"/>
          <w:sz w:val="20"/>
        </w:rPr>
        <w:t>Software plausibility check — all three sensor channels must exceed threshold simultaneously before deployment is authorized. An EMC-induced spike on a single sensor channel cannot alone cause deployment.</w:t>
      </w:r>
    </w:p>
    <w:p>
      <w:pPr>
        <w:pStyle w:val="ListBullet"/>
        <w:spacing w:after="60"/>
      </w:pPr>
      <w:r>
        <w:rPr>
          <w:rFonts w:ascii="Arial" w:hAnsi="Arial"/>
          <w:sz w:val="20"/>
        </w:rPr>
        <w:t>EMC testing per CISPR 25 and ISO 11452 series is required during design validation.</w:t>
      </w:r>
    </w:p>
    <w:p>
      <w:pPr>
        <w:spacing w:before="180" w:after="80"/>
      </w:pPr>
      <w:r>
        <w:rPr>
          <w:rFonts w:ascii="Arial" w:hAnsi="Arial"/>
          <w:b/>
          <w:color w:val="2E75B6"/>
          <w:sz w:val="22"/>
        </w:rPr>
        <w:t>10.6  Memory Safety</w:t>
      </w:r>
    </w:p>
    <w:p>
      <w:pPr>
        <w:spacing w:after="120"/>
        <w:jc w:val="left"/>
      </w:pPr>
      <w:r>
        <w:rPr>
          <w:rFonts w:ascii="Arial" w:hAnsi="Arial"/>
          <w:b w:val="0"/>
          <w:i w:val="0"/>
          <w:color w:val="000000"/>
          <w:sz w:val="20"/>
        </w:rPr>
        <w:t>Memory safety mechanisms implement FSR-22 and protect against software runaway, stack overflow, and memory corruption:</w:t>
      </w:r>
    </w:p>
    <w:p>
      <w:pPr>
        <w:pStyle w:val="ListBullet"/>
        <w:spacing w:after="60"/>
      </w:pPr>
      <w:r>
        <w:rPr>
          <w:rFonts w:ascii="Arial" w:hAnsi="Arial"/>
          <w:sz w:val="20"/>
        </w:rPr>
        <w:t>RAM integrity: CRC or equivalent technique applied to safety-critical RAM regions at each diagnostic cycle.</w:t>
      </w:r>
    </w:p>
    <w:p>
      <w:pPr>
        <w:pStyle w:val="ListBullet"/>
        <w:spacing w:after="60"/>
      </w:pPr>
      <w:r>
        <w:rPr>
          <w:rFonts w:ascii="Arial" w:hAnsi="Arial"/>
          <w:sz w:val="20"/>
        </w:rPr>
        <w:t>Stack boundary monitoring: A guard region at the stack boundary is monitored. Access to the guard region triggers an immediate safe-state transition.</w:t>
      </w:r>
    </w:p>
    <w:p>
      <w:pPr>
        <w:pStyle w:val="ListBullet"/>
        <w:spacing w:after="60"/>
      </w:pPr>
      <w:r>
        <w:rPr>
          <w:rFonts w:ascii="Arial" w:hAnsi="Arial"/>
          <w:sz w:val="20"/>
        </w:rPr>
        <w:t>Invalid memory access detection: The MCU memory protection unit (MPU) flags unauthorized memory accesses and triggers a fault handler.</w:t>
      </w:r>
    </w:p>
    <w:p>
      <w:pPr>
        <w:pStyle w:val="ListBullet"/>
        <w:spacing w:after="60"/>
      </w:pPr>
      <w:r>
        <w:rPr>
          <w:rFonts w:ascii="Arial" w:hAnsi="Arial"/>
          <w:sz w:val="20"/>
        </w:rPr>
        <w:t>Watchdog supervision: The hardware watchdog prevents runaway software execution from persisting beyond 10 ms.</w:t>
      </w:r>
    </w:p>
    <w:p>
      <w:pPr>
        <w:pStyle w:val="ListBullet"/>
        <w:spacing w:after="60"/>
      </w:pPr>
      <w:r>
        <w:rPr>
          <w:rFonts w:ascii="Arial" w:hAnsi="Arial"/>
          <w:sz w:val="20"/>
        </w:rPr>
        <w:t>Safe-state transition: Upon detection of any unrecoverable memory fault, all firing outputs are disabled and the system enters SS-05.</w:t>
      </w:r>
    </w:p>
    <w:p>
      <w:pPr>
        <w:spacing w:before="180" w:after="80"/>
      </w:pPr>
      <w:r>
        <w:rPr>
          <w:rFonts w:ascii="Arial" w:hAnsi="Arial"/>
          <w:b/>
          <w:color w:val="2E75B6"/>
          <w:sz w:val="22"/>
        </w:rPr>
        <w:t>10.7  Timing Supervision</w:t>
      </w:r>
    </w:p>
    <w:p>
      <w:pPr>
        <w:spacing w:after="120"/>
        <w:jc w:val="left"/>
      </w:pPr>
      <w:r>
        <w:rPr>
          <w:rFonts w:ascii="Arial" w:hAnsi="Arial"/>
          <w:b w:val="0"/>
          <w:i w:val="0"/>
          <w:color w:val="000000"/>
          <w:sz w:val="20"/>
        </w:rPr>
        <w:t>Deployment timing is a safety-critical parameter. The following timing constraints are monitored:</w:t>
      </w:r>
    </w:p>
    <w:p>
      <w:pPr>
        <w:spacing w:after="80"/>
        <w:jc w:val="left"/>
      </w:pPr>
      <w:r>
        <w:rPr>
          <w:rFonts w:ascii="Arial" w:hAnsi="Arial"/>
          <w:b/>
          <w:i w:val="0"/>
          <w:color w:val="1F3864"/>
          <w:sz w:val="20"/>
        </w:rPr>
        <w:t>Table 10: Timing Supervision</w:t>
      </w:r>
    </w:p>
    <w:tbl>
      <w:tblPr>
        <w:tblW w:type="auto" w:w="0"/>
        <w:jc w:val="center"/>
        <w:tblLook w:firstColumn="1" w:firstRow="1" w:lastColumn="0" w:lastRow="0" w:noHBand="0" w:noVBand="1" w:val="04A0"/>
      </w:tblPr>
      <w:tblGrid>
        <w:gridCol w:w="3360"/>
        <w:gridCol w:w="3360"/>
        <w:gridCol w:w="3360"/>
      </w:tblGrid>
      <w:tr>
        <w:tc>
          <w:tcPr>
            <w:tcW w:type="dxa" w:w="360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Function</w:t>
            </w:r>
          </w:p>
        </w:tc>
        <w:tc>
          <w:tcPr>
            <w:tcW w:type="dxa" w:w="1728"/>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Maximum Time</w:t>
            </w:r>
          </w:p>
        </w:tc>
        <w:tc>
          <w:tcPr>
            <w:tcW w:type="dxa" w:w="403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Supervision Method</w:t>
            </w:r>
          </w:p>
        </w:tc>
      </w:tr>
      <w:tr>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Crash detection algorithm cycle</w:t>
            </w:r>
          </w:p>
        </w:tc>
        <w:tc>
          <w:tcPr>
            <w:tcW w:type="dxa" w:w="172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1 ms</w:t>
            </w:r>
          </w:p>
        </w:tc>
        <w:tc>
          <w:tcPr>
            <w:tcW w:type="dxa" w:w="403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Software task monitor; hardware watchdog</w:t>
            </w:r>
          </w:p>
        </w:tc>
      </w:tr>
      <w:tr>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Crash detection response (threshold to decision)</w:t>
            </w:r>
          </w:p>
        </w:tc>
        <w:tc>
          <w:tcPr>
            <w:tcW w:type="dxa" w:w="172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20 ms</w:t>
            </w:r>
          </w:p>
        </w:tc>
        <w:tc>
          <w:tcPr>
            <w:tcW w:type="dxa" w:w="403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Algorithm deadline monitoring</w:t>
            </w:r>
          </w:p>
        </w:tc>
      </w:tr>
      <w:tr>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Deployment command transmission</w:t>
            </w:r>
          </w:p>
        </w:tc>
        <w:tc>
          <w:tcPr>
            <w:tcW w:type="dxa" w:w="172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40 ms</w:t>
            </w:r>
          </w:p>
        </w:tc>
        <w:tc>
          <w:tcPr>
            <w:tcW w:type="dxa" w:w="403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Timestamp comparison post-event</w:t>
            </w:r>
          </w:p>
        </w:tc>
      </w:tr>
      <w:tr>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Side-impact deployment logic</w:t>
            </w:r>
          </w:p>
        </w:tc>
        <w:tc>
          <w:tcPr>
            <w:tcW w:type="dxa" w:w="172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&lt; 8 ms</w:t>
            </w:r>
          </w:p>
        </w:tc>
        <w:tc>
          <w:tcPr>
            <w:tcW w:type="dxa" w:w="403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Dedicated high-priority interrupt path</w:t>
            </w:r>
          </w:p>
        </w:tc>
      </w:tr>
      <w:tr>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Pretensioner activation</w:t>
            </w:r>
          </w:p>
        </w:tc>
        <w:tc>
          <w:tcPr>
            <w:tcW w:type="dxa" w:w="172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&lt; 5 ms</w:t>
            </w:r>
          </w:p>
        </w:tc>
        <w:tc>
          <w:tcPr>
            <w:tcW w:type="dxa" w:w="403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Sequenced simultaneously with deployment command</w:t>
            </w:r>
          </w:p>
        </w:tc>
      </w:tr>
      <w:tr>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CAN timeout detection</w:t>
            </w:r>
          </w:p>
        </w:tc>
        <w:tc>
          <w:tcPr>
            <w:tcW w:type="dxa" w:w="172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50 ms</w:t>
            </w:r>
          </w:p>
        </w:tc>
        <w:tc>
          <w:tcPr>
            <w:tcW w:type="dxa" w:w="403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CAN frame timestamp; timeout interrupt</w:t>
            </w:r>
          </w:p>
        </w:tc>
      </w:tr>
      <w:tr>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POST execution (complete before arming)</w:t>
            </w:r>
          </w:p>
        </w:tc>
        <w:tc>
          <w:tcPr>
            <w:tcW w:type="dxa" w:w="172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800 ms</w:t>
            </w:r>
          </w:p>
        </w:tc>
        <w:tc>
          <w:tcPr>
            <w:tcW w:type="dxa" w:w="403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Startup sequence controller</w:t>
            </w:r>
          </w:p>
        </w:tc>
      </w:tr>
      <w:tr>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DWI activation after fault detection</w:t>
            </w:r>
          </w:p>
        </w:tc>
        <w:tc>
          <w:tcPr>
            <w:tcW w:type="dxa" w:w="172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800 ms</w:t>
            </w:r>
          </w:p>
        </w:tc>
        <w:tc>
          <w:tcPr>
            <w:tcW w:type="dxa" w:w="403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Fault handler invocation time</w:t>
            </w:r>
          </w:p>
        </w:tc>
      </w:tr>
      <w:tr>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Baby-seat debounce</w:t>
            </w:r>
          </w:p>
        </w:tc>
        <w:tc>
          <w:tcPr>
            <w:tcW w:type="dxa" w:w="172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10 ms minimum stable</w:t>
            </w:r>
          </w:p>
        </w:tc>
        <w:tc>
          <w:tcPr>
            <w:tcW w:type="dxa" w:w="403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Digital input filter counter</w:t>
            </w:r>
          </w:p>
        </w:tc>
      </w:tr>
    </w:tbl>
    <w:p>
      <w:pPr>
        <w:spacing w:after="80"/>
      </w:pPr>
    </w:p>
    <w:p>
      <w:r>
        <w:br w:type="page"/>
      </w:r>
    </w:p>
    <w:p>
      <w:pPr>
        <w:spacing w:before="240" w:after="120"/>
      </w:pPr>
      <w:r>
        <w:rPr>
          <w:rFonts w:ascii="Arial" w:hAnsi="Arial"/>
          <w:b/>
          <w:color w:val="1F3864"/>
          <w:sz w:val="26"/>
        </w:rPr>
        <w:t>11  Safety Mechanism Traceability</w:t>
      </w:r>
    </w:p>
    <w:p>
      <w:pPr>
        <w:spacing w:after="120"/>
        <w:jc w:val="left"/>
      </w:pPr>
      <w:r>
        <w:rPr>
          <w:rFonts w:ascii="Arial" w:hAnsi="Arial"/>
          <w:b w:val="0"/>
          <w:i w:val="0"/>
          <w:color w:val="000000"/>
          <w:sz w:val="20"/>
        </w:rPr>
        <w:t>The following matrix maps each safety mechanism to the safety goals it contributes to, ensuring complete coverage of all ASIL D / SIL 3 requirements.</w:t>
      </w:r>
    </w:p>
    <w:p>
      <w:pPr>
        <w:spacing w:after="80"/>
        <w:jc w:val="left"/>
      </w:pPr>
      <w:r>
        <w:rPr>
          <w:rFonts w:ascii="Arial" w:hAnsi="Arial"/>
          <w:b/>
          <w:i w:val="0"/>
          <w:color w:val="1F3864"/>
          <w:sz w:val="20"/>
        </w:rPr>
        <w:t>Table 11: Safety Mechanism Traceability Matrix</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331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Safety Mechanism</w:t>
            </w:r>
          </w:p>
        </w:tc>
        <w:tc>
          <w:tcPr>
            <w:tcW w:type="dxa" w:w="86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SG-01</w:t>
            </w:r>
          </w:p>
        </w:tc>
        <w:tc>
          <w:tcPr>
            <w:tcW w:type="dxa" w:w="86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SG-02</w:t>
            </w:r>
          </w:p>
        </w:tc>
        <w:tc>
          <w:tcPr>
            <w:tcW w:type="dxa" w:w="86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SG-03</w:t>
            </w:r>
          </w:p>
        </w:tc>
        <w:tc>
          <w:tcPr>
            <w:tcW w:type="dxa" w:w="86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SG-04</w:t>
            </w:r>
          </w:p>
        </w:tc>
        <w:tc>
          <w:tcPr>
            <w:tcW w:type="dxa" w:w="86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SG-05</w:t>
            </w:r>
          </w:p>
        </w:tc>
        <w:tc>
          <w:tcPr>
            <w:tcW w:type="dxa" w:w="86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SG-06</w:t>
            </w:r>
          </w:p>
        </w:tc>
        <w:tc>
          <w:tcPr>
            <w:tcW w:type="dxa" w:w="86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SG-07</w:t>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Dual-channel 2oo2 architecture</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AND-gate deployment authorization (6-condition)</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Hardware-enforced firing inhibit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Baby-seat suppress-on-fault (default suppress)</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Hardware pull-up + debounce filter</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Lockstep MCU cross-channel comparison</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Hardware watchdog timer (&lt; 10 ms)</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CRC protection (Flash, RAM, CAN frames)</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Parallel CAN bitstream readback</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Power-On Self-Test (POST)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Continuous background diagnostics (≤ 100 ms)</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DWI lamp activation (≤ 800 ms)</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EMC hardware measures (isolation, shielding, key)</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Memory protection (MPU, stack guard, RAM CRC)</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r>
          </w:p>
        </w:tc>
      </w:tr>
      <w:tr>
        <w:tc>
          <w:tcPr>
            <w:tcW w:type="dxa" w:w="331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Safe-state transitions (SS-01 through SS-05)</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w:t>
            </w:r>
          </w:p>
        </w:tc>
      </w:tr>
    </w:tbl>
    <w:p>
      <w:pPr>
        <w:spacing w:after="80"/>
      </w:pPr>
    </w:p>
    <w:p>
      <w:pPr>
        <w:spacing w:before="240" w:after="120"/>
      </w:pPr>
      <w:r>
        <w:rPr>
          <w:rFonts w:ascii="Arial" w:hAnsi="Arial"/>
          <w:b/>
          <w:color w:val="1F3864"/>
          <w:sz w:val="26"/>
        </w:rPr>
        <w:t>12  Safety Constraints</w:t>
      </w:r>
    </w:p>
    <w:p>
      <w:pPr>
        <w:spacing w:after="120"/>
        <w:jc w:val="left"/>
      </w:pPr>
      <w:r>
        <w:rPr>
          <w:rFonts w:ascii="Arial" w:hAnsi="Arial"/>
          <w:b w:val="0"/>
          <w:i w:val="0"/>
          <w:color w:val="000000"/>
          <w:sz w:val="20"/>
        </w:rPr>
        <w:t>The following safety constraints are derived from the safety concept and must be satisfied by all hardware and software implementations. They are non-negotiable and cannot be relaxed without a full re-assessment of the HARA and ASIL classification.</w:t>
      </w:r>
    </w:p>
    <w:p>
      <w:pPr>
        <w:spacing w:after="80"/>
        <w:jc w:val="left"/>
      </w:pPr>
      <w:r>
        <w:rPr>
          <w:rFonts w:ascii="Arial" w:hAnsi="Arial"/>
          <w:b/>
          <w:i w:val="0"/>
          <w:color w:val="1F3864"/>
          <w:sz w:val="20"/>
        </w:rPr>
        <w:t>Table 12: Safety Constraints</w:t>
      </w:r>
    </w:p>
    <w:tbl>
      <w:tblPr>
        <w:tblW w:type="auto" w:w="0"/>
        <w:jc w:val="center"/>
        <w:tblLook w:firstColumn="1" w:firstRow="1" w:lastColumn="0" w:lastRow="0" w:noHBand="0" w:noVBand="1" w:val="04A0"/>
      </w:tblPr>
      <w:tblGrid>
        <w:gridCol w:w="2520"/>
        <w:gridCol w:w="2520"/>
        <w:gridCol w:w="2520"/>
        <w:gridCol w:w="2520"/>
      </w:tblGrid>
      <w:tr>
        <w:tc>
          <w:tcPr>
            <w:tcW w:type="dxa" w:w="86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SC-ID</w:t>
            </w:r>
          </w:p>
        </w:tc>
        <w:tc>
          <w:tcPr>
            <w:tcW w:type="dxa" w:w="4608"/>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Safety Constraint</w:t>
            </w:r>
          </w:p>
        </w:tc>
        <w:tc>
          <w:tcPr>
            <w:tcW w:type="dxa" w:w="187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ASIL / SIL</w:t>
            </w:r>
          </w:p>
        </w:tc>
        <w:tc>
          <w:tcPr>
            <w:tcW w:type="dxa" w:w="2016"/>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Source</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SC-01</w:t>
            </w:r>
          </w:p>
        </w:tc>
        <w:tc>
          <w:tcPr>
            <w:tcW w:type="dxa" w:w="460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Overall system classification shall remain ASIL D / SIL 3</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 / SIL 3</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HARA</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SC-02</w:t>
            </w:r>
          </w:p>
        </w:tc>
        <w:tc>
          <w:tcPr>
            <w:tcW w:type="dxa" w:w="460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PMHF shall remain below 10⁻⁸ failures/hour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 / SIL 3</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ISO 26262</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SC-03</w:t>
            </w:r>
          </w:p>
        </w:tc>
        <w:tc>
          <w:tcPr>
            <w:tcW w:type="dxa" w:w="460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No single-point fault shall cause unintended airbag deployment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 / SIL 3</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SG-01</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SC-04</w:t>
            </w:r>
          </w:p>
        </w:tc>
        <w:tc>
          <w:tcPr>
            <w:tcW w:type="dxa" w:w="460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Deployment requires agreement of both redundant channels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 / SIL 3</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FSR-08</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SC-05</w:t>
            </w:r>
          </w:p>
        </w:tc>
        <w:tc>
          <w:tcPr>
            <w:tcW w:type="dxa" w:w="460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All CAN communication shall include CRC verification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B / SIL 2</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FSR-13</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SC-06</w:t>
            </w:r>
          </w:p>
        </w:tc>
        <w:tc>
          <w:tcPr>
            <w:tcW w:type="dxa" w:w="460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Detection of any critical fault shall force transition to a defined safe state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 / SIL 3</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FSR-20</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SC-07</w:t>
            </w:r>
          </w:p>
        </w:tc>
        <w:tc>
          <w:tcPr>
            <w:tcW w:type="dxa" w:w="460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Safety-related software shall execute deterministically within defined time limits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 / SIL 3</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FSR-02</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SC-08</w:t>
            </w:r>
          </w:p>
        </w:tc>
        <w:tc>
          <w:tcPr>
            <w:tcW w:type="dxa" w:w="460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Diagnostic monitoring shall execute continuously during all operational states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C / SIL 2</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FSR-18</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SC-09</w:t>
            </w:r>
          </w:p>
        </w:tc>
        <w:tc>
          <w:tcPr>
            <w:tcW w:type="dxa" w:w="460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Deployment inhibit functionality shall remain enforceable by hardware independent of software execution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 / SIL 3</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FSRS SC-09</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SC-10</w:t>
            </w:r>
          </w:p>
        </w:tc>
        <w:tc>
          <w:tcPr>
            <w:tcW w:type="dxa" w:w="460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Baby-seat signal loss or instability shall default to passenger airbag suppression (suppress-on-fault)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 / SIL 3</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FSR-10</w:t>
            </w:r>
          </w:p>
        </w:tc>
      </w:tr>
      <w:tr>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SC-11</w:t>
            </w:r>
          </w:p>
        </w:tc>
        <w:tc>
          <w:tcPr>
            <w:tcW w:type="dxa" w:w="460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SPFM for ASIL D functions shall be ≥99% as required by ISO 26262 Part 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ASIL D / SIL 3</w:t>
            </w:r>
          </w:p>
        </w:tc>
        <w:tc>
          <w:tcPr>
            <w:tcW w:type="dxa" w:w="201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ISO 26262-5</w:t>
            </w:r>
          </w:p>
        </w:tc>
      </w:tr>
    </w:tbl>
    <w:p>
      <w:pPr>
        <w:spacing w:after="80"/>
      </w:pPr>
    </w:p>
    <w:p>
      <w:pPr>
        <w:spacing w:before="240" w:after="120"/>
      </w:pPr>
      <w:r>
        <w:rPr>
          <w:rFonts w:ascii="Arial" w:hAnsi="Arial"/>
          <w:b/>
          <w:color w:val="1F3864"/>
          <w:sz w:val="26"/>
        </w:rPr>
        <w:t>13  Figure and Table Listing</w:t>
      </w:r>
    </w:p>
    <w:p>
      <w:pPr>
        <w:spacing w:after="80"/>
        <w:jc w:val="left"/>
      </w:pPr>
      <w:r>
        <w:rPr>
          <w:rFonts w:ascii="Arial" w:hAnsi="Arial"/>
          <w:b w:val="0"/>
          <w:i w:val="0"/>
          <w:color w:val="000000"/>
          <w:sz w:val="20"/>
        </w:rPr>
        <w:t>Table 1: Meetings within the Project</w:t>
      </w:r>
    </w:p>
    <w:p>
      <w:pPr>
        <w:spacing w:after="80"/>
        <w:jc w:val="left"/>
      </w:pPr>
      <w:r>
        <w:rPr>
          <w:rFonts w:ascii="Arial" w:hAnsi="Arial"/>
          <w:b w:val="0"/>
          <w:i w:val="0"/>
          <w:color w:val="000000"/>
          <w:sz w:val="20"/>
        </w:rPr>
        <w:t>Table 2: Unresolved Topics</w:t>
      </w:r>
    </w:p>
    <w:p>
      <w:pPr>
        <w:spacing w:after="80"/>
        <w:jc w:val="left"/>
      </w:pPr>
      <w:r>
        <w:rPr>
          <w:rFonts w:ascii="Arial" w:hAnsi="Arial"/>
          <w:b w:val="0"/>
          <w:i w:val="0"/>
          <w:color w:val="000000"/>
          <w:sz w:val="20"/>
        </w:rPr>
        <w:t>Table 3: Glossary</w:t>
      </w:r>
    </w:p>
    <w:p>
      <w:pPr>
        <w:spacing w:after="80"/>
        <w:jc w:val="left"/>
      </w:pPr>
      <w:r>
        <w:rPr>
          <w:rFonts w:ascii="Arial" w:hAnsi="Arial"/>
          <w:b w:val="0"/>
          <w:i w:val="0"/>
          <w:color w:val="000000"/>
          <w:sz w:val="20"/>
        </w:rPr>
        <w:t>Table 4: Safety Goals Summary</w:t>
      </w:r>
    </w:p>
    <w:p>
      <w:pPr>
        <w:spacing w:after="80"/>
        <w:jc w:val="left"/>
      </w:pPr>
      <w:r>
        <w:rPr>
          <w:rFonts w:ascii="Arial" w:hAnsi="Arial"/>
          <w:b w:val="0"/>
          <w:i w:val="0"/>
          <w:color w:val="000000"/>
          <w:sz w:val="20"/>
        </w:rPr>
        <w:t>Table 5: Deployment Authorization Conditions</w:t>
      </w:r>
    </w:p>
    <w:p>
      <w:pPr>
        <w:spacing w:after="80"/>
        <w:jc w:val="left"/>
      </w:pPr>
      <w:r>
        <w:rPr>
          <w:rFonts w:ascii="Arial" w:hAnsi="Arial"/>
          <w:b w:val="0"/>
          <w:i w:val="0"/>
          <w:color w:val="000000"/>
          <w:sz w:val="20"/>
        </w:rPr>
        <w:t>Table 6: Sensor Fusion Configuration</w:t>
      </w:r>
    </w:p>
    <w:p>
      <w:pPr>
        <w:spacing w:after="80"/>
        <w:jc w:val="left"/>
      </w:pPr>
      <w:r>
        <w:rPr>
          <w:rFonts w:ascii="Arial" w:hAnsi="Arial"/>
          <w:b w:val="0"/>
          <w:i w:val="0"/>
          <w:color w:val="000000"/>
          <w:sz w:val="20"/>
        </w:rPr>
        <w:t>Table 7: Power-On Self-Test Items</w:t>
      </w:r>
    </w:p>
    <w:p>
      <w:pPr>
        <w:spacing w:after="80"/>
        <w:jc w:val="left"/>
      </w:pPr>
      <w:r>
        <w:rPr>
          <w:rFonts w:ascii="Arial" w:hAnsi="Arial"/>
          <w:b w:val="0"/>
          <w:i w:val="0"/>
          <w:color w:val="000000"/>
          <w:sz w:val="20"/>
        </w:rPr>
        <w:t>Table 8: Fault Detection Summary</w:t>
      </w:r>
    </w:p>
    <w:p>
      <w:pPr>
        <w:spacing w:after="80"/>
        <w:jc w:val="left"/>
      </w:pPr>
      <w:r>
        <w:rPr>
          <w:rFonts w:ascii="Arial" w:hAnsi="Arial"/>
          <w:b w:val="0"/>
          <w:i w:val="0"/>
          <w:color w:val="000000"/>
          <w:sz w:val="20"/>
        </w:rPr>
        <w:t>Table 9: Safe States Definition</w:t>
      </w:r>
    </w:p>
    <w:p>
      <w:pPr>
        <w:spacing w:after="80"/>
        <w:jc w:val="left"/>
      </w:pPr>
      <w:r>
        <w:rPr>
          <w:rFonts w:ascii="Arial" w:hAnsi="Arial"/>
          <w:b w:val="0"/>
          <w:i w:val="0"/>
          <w:color w:val="000000"/>
          <w:sz w:val="20"/>
        </w:rPr>
        <w:t>Table 10: Timing Supervision</w:t>
      </w:r>
    </w:p>
    <w:p>
      <w:pPr>
        <w:spacing w:after="80"/>
        <w:jc w:val="left"/>
      </w:pPr>
      <w:r>
        <w:rPr>
          <w:rFonts w:ascii="Arial" w:hAnsi="Arial"/>
          <w:b w:val="0"/>
          <w:i w:val="0"/>
          <w:color w:val="000000"/>
          <w:sz w:val="20"/>
        </w:rPr>
        <w:t>Table 11: Safety Mechanism Traceability Matrix</w:t>
      </w:r>
    </w:p>
    <w:p>
      <w:pPr>
        <w:spacing w:after="80"/>
        <w:jc w:val="left"/>
      </w:pPr>
      <w:r>
        <w:rPr>
          <w:rFonts w:ascii="Arial" w:hAnsi="Arial"/>
          <w:b w:val="0"/>
          <w:i w:val="0"/>
          <w:color w:val="000000"/>
          <w:sz w:val="20"/>
        </w:rPr>
        <w:t>Table 12: Safety Constraints</w:t>
      </w:r>
    </w:p>
    <w:p>
      <w:pPr>
        <w:spacing w:after="80"/>
        <w:jc w:val="left"/>
      </w:pPr>
      <w:r>
        <w:rPr>
          <w:rFonts w:ascii="Arial" w:hAnsi="Arial"/>
          <w:b w:val="0"/>
          <w:i w:val="0"/>
          <w:color w:val="000000"/>
          <w:sz w:val="20"/>
        </w:rPr>
        <w:t>Table 13: Dependent Documents</w:t>
      </w:r>
    </w:p>
    <w:p>
      <w:pPr>
        <w:spacing w:after="80"/>
        <w:jc w:val="left"/>
      </w:pPr>
      <w:r>
        <w:rPr>
          <w:rFonts w:ascii="Arial" w:hAnsi="Arial"/>
          <w:b w:val="0"/>
          <w:i w:val="0"/>
          <w:color w:val="000000"/>
          <w:sz w:val="20"/>
        </w:rPr>
        <w:t>Table 14: Version History</w:t>
      </w:r>
    </w:p>
    <w:p>
      <w:pPr>
        <w:spacing w:before="240" w:after="120"/>
      </w:pPr>
      <w:r>
        <w:rPr>
          <w:rFonts w:ascii="Arial" w:hAnsi="Arial"/>
          <w:b/>
          <w:color w:val="1F3864"/>
          <w:sz w:val="26"/>
        </w:rPr>
        <w:t>14  List of Dependent Documents</w:t>
      </w:r>
    </w:p>
    <w:p>
      <w:pPr>
        <w:spacing w:after="80"/>
        <w:jc w:val="left"/>
      </w:pPr>
      <w:r>
        <w:rPr>
          <w:rFonts w:ascii="Arial" w:hAnsi="Arial"/>
          <w:b/>
          <w:i w:val="0"/>
          <w:color w:val="1F3864"/>
          <w:sz w:val="20"/>
        </w:rPr>
        <w:t>Table 13: Dependent Documents</w:t>
      </w:r>
    </w:p>
    <w:tbl>
      <w:tblPr>
        <w:tblW w:type="auto" w:w="0"/>
        <w:jc w:val="center"/>
        <w:tblLook w:firstColumn="1" w:firstRow="1" w:lastColumn="0" w:lastRow="0" w:noHBand="0" w:noVBand="1" w:val="04A0"/>
      </w:tblPr>
      <w:tblGrid>
        <w:gridCol w:w="2016"/>
        <w:gridCol w:w="2016"/>
        <w:gridCol w:w="2016"/>
        <w:gridCol w:w="2016"/>
        <w:gridCol w:w="2016"/>
      </w:tblGrid>
      <w:tr>
        <w:tc>
          <w:tcPr>
            <w:tcW w:type="dxa" w:w="576"/>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No.</w:t>
            </w:r>
          </w:p>
        </w:tc>
        <w:tc>
          <w:tcPr>
            <w:tcW w:type="dxa" w:w="3168"/>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Document Name</w:t>
            </w:r>
          </w:p>
        </w:tc>
        <w:tc>
          <w:tcPr>
            <w:tcW w:type="dxa" w:w="864"/>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Version</w:t>
            </w:r>
          </w:p>
        </w:tc>
        <w:tc>
          <w:tcPr>
            <w:tcW w:type="dxa" w:w="115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Date</w:t>
            </w:r>
          </w:p>
        </w:tc>
        <w:tc>
          <w:tcPr>
            <w:tcW w:type="dxa" w:w="360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File Name</w:t>
            </w:r>
          </w:p>
        </w:tc>
      </w:tr>
      <w:tr>
        <w:tc>
          <w:tcPr>
            <w:tcW w:type="dxa" w:w="57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1</w:t>
            </w:r>
          </w:p>
        </w:tc>
        <w:tc>
          <w:tcPr>
            <w:tcW w:type="dxa" w:w="31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Life Cycle Phase 1 — Concept Document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1.00</w:t>
            </w:r>
          </w:p>
        </w:tc>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2026-05-01</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LCP01-AIRBAG-ECU-001_Concept_v110.docx</w:t>
            </w:r>
          </w:p>
        </w:tc>
      </w:tr>
      <w:tr>
        <w:tc>
          <w:tcPr>
            <w:tcW w:type="dxa" w:w="57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2</w:t>
            </w:r>
          </w:p>
        </w:tc>
        <w:tc>
          <w:tcPr>
            <w:tcW w:type="dxa" w:w="31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Life Cycle Phase 2 — Task of the Process or Product</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1.10</w:t>
            </w:r>
          </w:p>
        </w:tc>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2026-05-03</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LCP02-AIRBAG-ECU-001_Concept_v_110.docx</w:t>
            </w:r>
          </w:p>
        </w:tc>
      </w:tr>
      <w:tr>
        <w:tc>
          <w:tcPr>
            <w:tcW w:type="dxa" w:w="57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3</w:t>
            </w:r>
          </w:p>
        </w:tc>
        <w:tc>
          <w:tcPr>
            <w:tcW w:type="dxa" w:w="31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Life Cycle Phase 3 — Hazard and Risk Analysis (HARA)</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2.00</w:t>
            </w:r>
          </w:p>
        </w:tc>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2026-05-05</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LCP03-AIRBAG-ECU-001_HARA_v110.docx</w:t>
            </w:r>
          </w:p>
        </w:tc>
      </w:tr>
      <w:tr>
        <w:tc>
          <w:tcPr>
            <w:tcW w:type="dxa" w:w="57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4</w:t>
            </w:r>
          </w:p>
        </w:tc>
        <w:tc>
          <w:tcPr>
            <w:tcW w:type="dxa" w:w="31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Life Cycle Phase 4 — Functional Safety Requirements Specification</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1.00</w:t>
            </w:r>
          </w:p>
        </w:tc>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2026-05-11</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LCP04-AIRBAG-ECU-001_FSRS_v100.docx</w:t>
            </w:r>
          </w:p>
        </w:tc>
      </w:tr>
      <w:tr>
        <w:tc>
          <w:tcPr>
            <w:tcW w:type="dxa" w:w="57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5</w:t>
            </w:r>
          </w:p>
        </w:tc>
        <w:tc>
          <w:tcPr>
            <w:tcW w:type="dxa" w:w="31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ISO 26262:2018 — Road Vehicles — Functional Safety</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2018</w:t>
            </w:r>
          </w:p>
        </w:tc>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External standard</w:t>
            </w:r>
          </w:p>
        </w:tc>
      </w:tr>
      <w:tr>
        <w:tc>
          <w:tcPr>
            <w:tcW w:type="dxa" w:w="57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6</w:t>
            </w:r>
          </w:p>
        </w:tc>
        <w:tc>
          <w:tcPr>
            <w:tcW w:type="dxa" w:w="31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IEC 61508:2010 — Functional Safety of E/E/PE Systems</w:t>
            </w:r>
          </w:p>
        </w:tc>
        <w:tc>
          <w:tcPr>
            <w:tcW w:type="dxa" w:w="864"/>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2010</w:t>
            </w:r>
          </w:p>
        </w:tc>
        <w:tc>
          <w:tcPr>
            <w:tcW w:type="dxa" w:w="11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w:t>
            </w:r>
          </w:p>
        </w:tc>
        <w:tc>
          <w:tcPr>
            <w:tcW w:type="dxa" w:w="360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External standard</w:t>
            </w:r>
          </w:p>
        </w:tc>
      </w:tr>
    </w:tbl>
    <w:p>
      <w:pPr>
        <w:spacing w:after="80"/>
      </w:pPr>
    </w:p>
    <w:p>
      <w:pPr>
        <w:spacing w:before="240" w:after="120"/>
      </w:pPr>
      <w:r>
        <w:rPr>
          <w:rFonts w:ascii="Arial" w:hAnsi="Arial"/>
          <w:b/>
          <w:color w:val="1F3864"/>
          <w:sz w:val="26"/>
        </w:rPr>
        <w:t>15  Literature</w:t>
      </w:r>
    </w:p>
    <w:p>
      <w:pPr>
        <w:spacing w:after="120"/>
        <w:jc w:val="left"/>
      </w:pPr>
      <w:r>
        <w:rPr>
          <w:rFonts w:ascii="Arial" w:hAnsi="Arial"/>
          <w:b w:val="0"/>
          <w:i w:val="0"/>
          <w:color w:val="000000"/>
          <w:sz w:val="20"/>
        </w:rPr>
        <w:t>[1] ISO 26262:2018 — Road Vehicles — Functional Safety, Parts 1–12. International Organization for Standardization.</w:t>
      </w:r>
    </w:p>
    <w:p>
      <w:pPr>
        <w:spacing w:after="120"/>
        <w:jc w:val="left"/>
      </w:pPr>
      <w:r>
        <w:rPr>
          <w:rFonts w:ascii="Arial" w:hAnsi="Arial"/>
          <w:b w:val="0"/>
          <w:i w:val="0"/>
          <w:color w:val="000000"/>
          <w:sz w:val="20"/>
        </w:rPr>
        <w:t>[2] IEC 61508:2010 — Functional Safety of Electrical/Electronic/Programmable Electronic Safety-related Systems, Parts 1–7. International Electrotechnical Commission.</w:t>
      </w:r>
    </w:p>
    <w:p>
      <w:pPr>
        <w:spacing w:after="120"/>
        <w:jc w:val="left"/>
      </w:pPr>
      <w:r>
        <w:rPr>
          <w:rFonts w:ascii="Arial" w:hAnsi="Arial"/>
          <w:b w:val="0"/>
          <w:i w:val="0"/>
          <w:color w:val="000000"/>
          <w:sz w:val="20"/>
        </w:rPr>
        <w:t>[3] ISO 21448:2022 — Safety of the Intended Functionality (SOTIF). ISO.</w:t>
      </w:r>
    </w:p>
    <w:p>
      <w:pPr>
        <w:spacing w:after="120"/>
        <w:jc w:val="left"/>
      </w:pPr>
      <w:r>
        <w:rPr>
          <w:rFonts w:ascii="Arial" w:hAnsi="Arial"/>
          <w:b w:val="0"/>
          <w:i w:val="0"/>
          <w:color w:val="000000"/>
          <w:sz w:val="20"/>
        </w:rPr>
        <w:t>[4] ISO 16750-3:2007 — Road Vehicles — Environmental Conditions and Testing — Mechanical Loads. ISO.</w:t>
      </w:r>
    </w:p>
    <w:p>
      <w:pPr>
        <w:spacing w:after="120"/>
        <w:jc w:val="left"/>
      </w:pPr>
      <w:r>
        <w:rPr>
          <w:rFonts w:ascii="Arial" w:hAnsi="Arial"/>
          <w:b w:val="0"/>
          <w:i w:val="0"/>
          <w:color w:val="000000"/>
          <w:sz w:val="20"/>
        </w:rPr>
        <w:t>[5] CISPR 25:2016 — Vehicles, Boats and Internal Combustion Engines — Radio Disturbance Characteristics. IEC.</w:t>
      </w:r>
    </w:p>
    <w:p>
      <w:pPr>
        <w:spacing w:after="120"/>
        <w:jc w:val="left"/>
      </w:pPr>
      <w:r>
        <w:rPr>
          <w:rFonts w:ascii="Arial" w:hAnsi="Arial"/>
          <w:b w:val="0"/>
          <w:i w:val="0"/>
          <w:color w:val="000000"/>
          <w:sz w:val="20"/>
        </w:rPr>
        <w:t>[6] ISO 11452 — Road Vehicles — Component Test Methods for Electrical Disturbances from Narrowband Radiated Electromagnetic Energy. ISO.</w:t>
      </w:r>
    </w:p>
    <w:p>
      <w:pPr>
        <w:spacing w:after="120"/>
        <w:jc w:val="left"/>
      </w:pPr>
      <w:r>
        <w:rPr>
          <w:rFonts w:ascii="Arial" w:hAnsi="Arial"/>
          <w:b w:val="0"/>
          <w:i w:val="0"/>
          <w:color w:val="000000"/>
          <w:sz w:val="20"/>
        </w:rPr>
        <w:t>[7] ISO 14229-1:2020 — Unified Diagnostic Services (UDS). ISO.</w:t>
      </w:r>
    </w:p>
    <w:p>
      <w:pPr>
        <w:spacing w:after="120"/>
        <w:jc w:val="left"/>
      </w:pPr>
      <w:r>
        <w:rPr>
          <w:rFonts w:ascii="Arial" w:hAnsi="Arial"/>
          <w:b w:val="0"/>
          <w:i w:val="0"/>
          <w:color w:val="000000"/>
          <w:sz w:val="20"/>
        </w:rPr>
        <w:t>[8] ISO 11898 — Road Vehicles — Controller Area Network (CAN). ISO.</w:t>
      </w:r>
    </w:p>
    <w:p>
      <w:pPr>
        <w:spacing w:after="120"/>
        <w:jc w:val="left"/>
      </w:pPr>
      <w:r>
        <w:rPr>
          <w:rFonts w:ascii="Arial" w:hAnsi="Arial"/>
          <w:b w:val="0"/>
          <w:i w:val="0"/>
          <w:color w:val="000000"/>
          <w:sz w:val="20"/>
        </w:rPr>
        <w:t>[9] FMVSS No. 208 — Occupant Crash Protection. U.S. Department of Transportation, NHTSA.</w:t>
      </w:r>
    </w:p>
    <w:p>
      <w:pPr>
        <w:spacing w:before="240" w:after="120"/>
      </w:pPr>
      <w:r>
        <w:rPr>
          <w:rFonts w:ascii="Arial" w:hAnsi="Arial"/>
          <w:b/>
          <w:color w:val="1F3864"/>
          <w:sz w:val="26"/>
        </w:rPr>
        <w:t>16  Version History</w:t>
      </w:r>
    </w:p>
    <w:p>
      <w:pPr>
        <w:spacing w:after="80"/>
        <w:jc w:val="left"/>
      </w:pPr>
      <w:r>
        <w:rPr>
          <w:rFonts w:ascii="Arial" w:hAnsi="Arial"/>
          <w:b/>
          <w:i w:val="0"/>
          <w:color w:val="1F3864"/>
          <w:sz w:val="20"/>
        </w:rPr>
        <w:t>Table 14: Version History</w:t>
      </w:r>
    </w:p>
    <w:tbl>
      <w:tblPr>
        <w:tblW w:type="auto" w:w="0"/>
        <w:jc w:val="center"/>
        <w:tblLook w:firstColumn="1" w:firstRow="1" w:lastColumn="0" w:lastRow="0" w:noHBand="0" w:noVBand="1" w:val="04A0"/>
      </w:tblPr>
      <w:tblGrid>
        <w:gridCol w:w="3360"/>
        <w:gridCol w:w="3360"/>
        <w:gridCol w:w="3360"/>
      </w:tblGrid>
      <w:tr>
        <w:tc>
          <w:tcPr>
            <w:tcW w:type="dxa" w:w="3168"/>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Document Name / File</w:t>
            </w:r>
          </w:p>
        </w:tc>
        <w:tc>
          <w:tcPr>
            <w:tcW w:type="dxa" w:w="1440"/>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Date</w:t>
            </w:r>
          </w:p>
        </w:tc>
        <w:tc>
          <w:tcPr>
            <w:tcW w:type="dxa" w:w="4752"/>
            <w:shd w:fill="1F3864"/>
            <w:tcBorders>
              <w:top w:val="single" w:sz="8" w:space="0" w:color="2E75B6"/>
              <w:left w:val="single" w:sz="8" w:space="0" w:color="2E75B6"/>
              <w:bottom w:val="single" w:sz="8" w:space="0" w:color="2E75B6"/>
              <w:right w:val="single" w:sz="8" w:space="0" w:color="2E75B6"/>
            </w:tcBorders>
            <w:tcMar>
              <w:top w:w="80" w:type="dxa"/>
              <w:bottom w:w="80" w:type="dxa"/>
              <w:left w:w="120" w:type="dxa"/>
              <w:right w:w="120" w:type="dxa"/>
            </w:tcMar>
          </w:tcPr>
          <w:p/>
          <w:p>
            <w:pPr>
              <w:spacing w:after="0"/>
              <w:jc w:val="left"/>
            </w:pPr>
            <w:r>
              <w:rPr>
                <w:rFonts w:ascii="Arial" w:hAnsi="Arial"/>
                <w:b/>
                <w:i w:val="0"/>
                <w:color w:val="FFFFFF"/>
                <w:sz w:val="18"/>
              </w:rPr>
              <w:t>Change Log</w:t>
            </w:r>
          </w:p>
        </w:tc>
      </w:tr>
      <w:tr>
        <w:tc>
          <w:tcPr>
            <w:tcW w:type="dxa" w:w="316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i w:val="0"/>
                <w:color w:val="000000"/>
                <w:sz w:val="18"/>
              </w:rPr>
              <w:t>LCP05-AIRBAG-ECU-001_SCD_v100.docx</w:t>
            </w:r>
          </w:p>
        </w:tc>
        <w:tc>
          <w:tcPr>
            <w:tcW w:type="dxa" w:w="14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2026-05-12</w:t>
            </w:r>
          </w:p>
        </w:tc>
        <w:tc>
          <w:tcPr>
            <w:tcW w:type="dxa" w:w="475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
            <w:pPr>
              <w:spacing w:after="0"/>
              <w:jc w:val="left"/>
            </w:pPr>
            <w:r>
              <w:rPr>
                <w:rFonts w:ascii="Arial" w:hAnsi="Arial"/>
                <w:b w:val="0"/>
                <w:i w:val="0"/>
                <w:color w:val="000000"/>
                <w:sz w:val="18"/>
              </w:rPr>
              <w:t>Version 1.00 — Initial release of the Safety Concept Document (SCD / LCP05) for the Airbag ECU project. Covers functional safety concept, fault detection strategy (POST and background diagnostics), safe state definitions (SS-01–SS-05), safety mechanisms (watchdog, CRC, cross-channel, EMC, memory safety), and complete safety mechanism traceability matrix. Classified ASIL D / SIL 3. Based on HARA Rev 2.1 and FSRS Rev 2.1.</w:t>
            </w:r>
          </w:p>
        </w:tc>
      </w:tr>
    </w:tbl>
    <w:p>
      <w:pPr>
        <w:spacing w:after="8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66666"/>
        <w:sz w:val="16"/>
      </w:rPr>
      <w:t>LCP05-AIRBAG-ECU-001 — Safety Concept Document  v1.00  |  2026-05-12</w:t>
      <w:tab/>
      <w:t>Page 1 of 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F3864"/>
        <w:sz w:val="18"/>
      </w:rPr>
      <w:t>Airbag ECU Portfolio</w:t>
      <w:tab/>
      <w:tab/>
      <w:t>HS Harz — Functional Safety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