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Times New Roman" w:hAnsi="Times New Roman"/>
          <w:b/>
          <w:sz w:val="44"/>
        </w:rPr>
        <w:t>GuardAI: A Hybrid Three-Layer Graph-Boosting</w:t>
        <w:br/>
        <w:t>Framework for Financial Fraud Detection</w:t>
      </w:r>
    </w:p>
    <w:p>
      <w:pPr>
        <w:spacing w:after="40"/>
        <w:jc w:val="center"/>
      </w:pPr>
      <w:r>
        <w:rPr>
          <w:rFonts w:ascii="Times New Roman" w:hAnsi="Times New Roman"/>
          <w:b/>
          <w:sz w:val="24"/>
        </w:rPr>
        <w:t>Thiruchenthill S P</w:t>
      </w:r>
    </w:p>
    <w:p>
      <w:pPr>
        <w:spacing w:after="280"/>
        <w:jc w:val="center"/>
      </w:pPr>
      <w:r>
        <w:rPr>
          <w:rFonts w:ascii="Times New Roman" w:hAnsi="Times New Roman"/>
          <w:i/>
          <w:sz w:val="20"/>
        </w:rPr>
        <w:t>Department of Information Technology</w:t>
        <w:br/>
        <w:t>Coimbatore Institute of Technology, Coimbatore - 641014</w:t>
      </w:r>
    </w:p>
    <w:p>
      <w:pPr>
        <w:spacing w:after="40"/>
        <w:pBdr>
          <w:bottom w:val="single" w:sz="6" w:space="1" w:color="000000"/>
        </w:pBdr>
      </w:pPr>
    </w:p>
    <w:p>
      <w:pPr>
        <w:spacing w:after="80"/>
        <w:jc w:val="center"/>
      </w:pPr>
      <w:r>
        <w:rPr>
          <w:rFonts w:ascii="Times New Roman" w:hAnsi="Times New Roman"/>
          <w:b/>
          <w:sz w:val="24"/>
        </w:rPr>
        <w:t>Abstract</w:t>
      </w:r>
    </w:p>
    <w:p>
      <w:pPr>
        <w:spacing w:after="120" w:before="20" w:line="240" w:lineRule="auto"/>
        <w:jc w:val="both"/>
      </w:pPr>
      <w:r>
        <w:rPr>
          <w:rFonts w:ascii="Times New Roman" w:hAnsi="Times New Roman"/>
          <w:b w:val="0"/>
          <w:i w:val="0"/>
          <w:sz w:val="20"/>
        </w:rPr>
        <w:t>Financial fraud detection remains a critical challenge in modern banking systems, where fraudulent transactions constitute a statistically rare but economically devastating class. Conventional machine learning approaches that operate exclusively on tabular transaction features fail to capture the relational structure inherent in fraud rings, where multiple accounts share hidden network infrastructure. This paper presents GuardAI, a hybrid three-layer fraud detection framework that synergistically combines (1) unsupervised graph community detection via the Louvain algorithm, (2) calibrated gradient boosting with synthetic minority oversampling, and (3) deep graph neural network architectures including Graph Convolutional Networks (GCN), Graph Attention Networks (GAT), and GraphSAGE. The system is evaluated on two datasets: a 150,000-row PaySim-style synthetic dataset (0.34% fraud ratio) and the IEEE-CIS Fraud Detection dataset (150,000 rows, 2.65% fraud ratio) as cross-dataset validation on real-world data. Our best graph neural network model, GAT, achieves an AUC-ROC of 0.9983 and Average Precision of 0.5012 on the synthetic dataset. On the real-world IEEE-CIS dataset, our Random Forest achieves Average Precision of 0.5585 with F1-score of 0.5680, and XGBoost achieves Average Precision of 0.5546 — both surpassing all published baselines in the comparison table. A five-step ablation study quantitatively demonstrates that each pipeline layer contributes measurably to detection performance. The framework additionally provides SHAP-based explainability for tabular models and GNNExplainer-based subgraph explanations for the GNN layer. Real-time inference capability is confirmed at a mean latency of 3.2 ms for the XGBoost model. GuardAI is deployed as a full-stack system with a React-based 3D WebGL dashboard for operational use.</w:t>
      </w:r>
    </w:p>
    <w:p>
      <w:pPr>
        <w:spacing w:after="120"/>
        <w:jc w:val="both"/>
      </w:pPr>
      <w:r>
        <w:rPr>
          <w:rFonts w:ascii="Times New Roman" w:hAnsi="Times New Roman"/>
          <w:b/>
          <w:sz w:val="18"/>
        </w:rPr>
        <w:t xml:space="preserve">Index Terms — </w:t>
      </w:r>
      <w:r>
        <w:rPr>
          <w:rFonts w:ascii="Times New Roman" w:hAnsi="Times New Roman"/>
          <w:i/>
          <w:sz w:val="18"/>
        </w:rPr>
        <w:t>Financial fraud detection, graph neural networks, gradient boosting, Louvain community detection, SMOTE, SHAP explainability, imbalanced classification, IEEE-CIS dataset, real-time inference.</w:t>
      </w:r>
    </w:p>
    <w:p>
      <w:pPr>
        <w:spacing w:after="80"/>
        <w:pBdr>
          <w:bottom w:val="single" w:sz="6" w:space="1" w:color="000000"/>
        </w:pBdr>
      </w:pPr>
    </w:p>
    <w:p>
      <w:pPr>
        <w:sectPr>
          <w:pgSz w:w="12240" w:h="15840"/>
          <w:pgMar w:top="1440" w:right="1009" w:bottom="1440" w:left="1009" w:header="720" w:footer="720" w:gutter="0"/>
          <w:cols w:space="720"/>
          <w:docGrid w:linePitch="360"/>
        </w:sectPr>
      </w:pPr>
    </w:p>
    <w:p>
      <w:pPr>
        <w:spacing w:before="200" w:after="80" w:line="240" w:lineRule="auto"/>
        <w:jc w:val="center"/>
      </w:pPr>
      <w:r>
        <w:rPr>
          <w:rFonts w:ascii="Times New Roman" w:hAnsi="Times New Roman"/>
          <w:b/>
          <w:sz w:val="20"/>
        </w:rPr>
        <w:t>I. INTRODUCTION</w:t>
      </w:r>
    </w:p>
    <w:p>
      <w:pPr>
        <w:spacing w:after="40" w:before="20" w:line="240" w:lineRule="auto"/>
        <w:jc w:val="both"/>
      </w:pPr>
      <w:r>
        <w:rPr>
          <w:rFonts w:ascii="Times New Roman" w:hAnsi="Times New Roman"/>
          <w:b w:val="0"/>
          <w:i w:val="0"/>
          <w:sz w:val="20"/>
        </w:rPr>
        <w:t>The global financial system loses an estimated $403.88 billion to fraudulent transactions over the next decade according to the Nilson Report [1]. Despite advances in machine learning-based fraud detection, two fundamental challenges persist: extreme class imbalance, where fraudulent transactions constitute less than 1% of all transactions in most production environments, and the relational nature of organised fraud, where criminal networks share infrastructure across seemingly independent accounts.</w:t>
      </w:r>
    </w:p>
    <w:p>
      <w:pPr>
        <w:spacing w:after="40" w:before="20" w:line="240" w:lineRule="auto"/>
        <w:jc w:val="both"/>
      </w:pPr>
      <w:r>
        <w:rPr>
          <w:rFonts w:ascii="Times New Roman" w:hAnsi="Times New Roman"/>
          <w:b w:val="0"/>
          <w:i w:val="0"/>
          <w:sz w:val="20"/>
        </w:rPr>
        <w:t>Traditional tabular machine learning approaches — logistic regression, random forests, gradient boosting — treat each transaction as an independent observation. This assumption fails when fraudsters operate rings: multiple accounts registered from the same IP address, device, or geographic cluster. Graph-based approaches expose these hidden connections but typically lack the calibrated probabilistic outputs required for regulatory compliance and operational thresholding.</w:t>
      </w:r>
    </w:p>
    <w:p>
      <w:pPr>
        <w:spacing w:after="40" w:before="20" w:line="240" w:lineRule="auto"/>
        <w:jc w:val="both"/>
      </w:pPr>
      <w:r>
        <w:rPr>
          <w:rFonts w:ascii="Times New Roman" w:hAnsi="Times New Roman"/>
          <w:b w:val="0"/>
          <w:i w:val="0"/>
          <w:sz w:val="20"/>
        </w:rPr>
        <w:t>This paper introduces GuardAI, a unified hybrid framework that resolves these limitations through three complementary layers. The first layer applies unsupervised Louvain community detection to construct a weighted transaction graph, producing structural features that expose fraud ring membership. The second layer trains calibrated ensemble classifiers on graph-enriched tabular features with SMOTE-based synthetic oversampling at a 10:1 ratio. The third layer trains and compares three graph neural network architectures — GCN, GAT, and GraphSAGE — on the full transaction graph. Explainability is provided at both the tabular level (SHAP TreeExplainer) and the graph level (GNNExplainer subgraph attribution).</w:t>
      </w:r>
    </w:p>
    <w:p>
      <w:pPr>
        <w:spacing w:after="20" w:before="20" w:line="240" w:lineRule="auto"/>
        <w:jc w:val="both"/>
      </w:pPr>
      <w:r>
        <w:rPr>
          <w:rFonts w:ascii="Times New Roman" w:hAnsi="Times New Roman"/>
          <w:b w:val="0"/>
          <w:i w:val="0"/>
          <w:sz w:val="20"/>
        </w:rPr>
        <w:t>The primary contributions of this work are:</w:t>
      </w:r>
    </w:p>
    <w:p>
      <w:pPr>
        <w:spacing w:after="20" w:before="20" w:line="240" w:lineRule="auto"/>
        <w:jc w:val="both"/>
      </w:pPr>
      <w:r>
        <w:rPr>
          <w:rFonts w:ascii="Times New Roman" w:hAnsi="Times New Roman"/>
          <w:b w:val="0"/>
          <w:i w:val="0"/>
          <w:sz w:val="20"/>
        </w:rPr>
        <w:t>1) A novel three-layer hybrid pipeline combining Louvain graph community detection, calibrated gradient boosting, and multiple GNN architectures in a unified end-to-end system.</w:t>
      </w:r>
    </w:p>
    <w:p>
      <w:pPr>
        <w:spacing w:after="20" w:before="20" w:line="240" w:lineRule="auto"/>
        <w:jc w:val="both"/>
      </w:pPr>
      <w:r>
        <w:rPr>
          <w:rFonts w:ascii="Times New Roman" w:hAnsi="Times New Roman"/>
          <w:b w:val="0"/>
          <w:i w:val="0"/>
          <w:sz w:val="20"/>
        </w:rPr>
        <w:t>2) A five-step ablation study quantifying the marginal contribution of each pipeline component to Average Precision.</w:t>
      </w:r>
    </w:p>
    <w:p>
      <w:pPr>
        <w:spacing w:after="20" w:before="20" w:line="240" w:lineRule="auto"/>
        <w:jc w:val="both"/>
      </w:pPr>
      <w:r>
        <w:rPr>
          <w:rFonts w:ascii="Times New Roman" w:hAnsi="Times New Roman"/>
          <w:b w:val="0"/>
          <w:i w:val="0"/>
          <w:sz w:val="20"/>
        </w:rPr>
        <w:t>3) Cross-dataset validation on the real-world IEEE-CIS Fraud Detection dataset, achieving Average Precision of 0.5585 with Random Forest and 0.5546 with XGBoost — surpassing all published baselines.</w:t>
      </w:r>
    </w:p>
    <w:p>
      <w:pPr>
        <w:spacing w:after="20" w:before="20" w:line="240" w:lineRule="auto"/>
        <w:jc w:val="both"/>
      </w:pPr>
      <w:r>
        <w:rPr>
          <w:rFonts w:ascii="Times New Roman" w:hAnsi="Times New Roman"/>
          <w:b w:val="0"/>
          <w:i w:val="0"/>
          <w:sz w:val="20"/>
        </w:rPr>
        <w:t>4) Dual-layer explainability combining SHAP feature attribution for tabular models and GNNExplainer subgraph attribution for graph models.</w:t>
      </w:r>
    </w:p>
    <w:p>
      <w:pPr>
        <w:spacing w:after="40" w:before="20" w:line="240" w:lineRule="auto"/>
        <w:jc w:val="both"/>
      </w:pPr>
      <w:r>
        <w:rPr>
          <w:rFonts w:ascii="Times New Roman" w:hAnsi="Times New Roman"/>
          <w:b w:val="0"/>
          <w:i w:val="0"/>
          <w:sz w:val="20"/>
        </w:rPr>
        <w:t>5) A full-stack operational deployment with real-time inference at 3.2 ms mean latency and a 3D WebGL network visualisation dashboard.</w:t>
      </w:r>
    </w:p>
    <w:p>
      <w:pPr>
        <w:spacing w:before="200" w:after="80" w:line="240" w:lineRule="auto"/>
        <w:jc w:val="center"/>
      </w:pPr>
      <w:r>
        <w:rPr>
          <w:rFonts w:ascii="Times New Roman" w:hAnsi="Times New Roman"/>
          <w:b/>
          <w:sz w:val="20"/>
        </w:rPr>
        <w:t>II. RELATED WORK</w:t>
      </w:r>
    </w:p>
    <w:p>
      <w:pPr>
        <w:spacing w:before="120" w:after="40" w:line="240" w:lineRule="auto"/>
        <w:jc w:val="left"/>
      </w:pPr>
      <w:r>
        <w:rPr>
          <w:rFonts w:ascii="Times New Roman" w:hAnsi="Times New Roman"/>
          <w:b/>
          <w:i/>
          <w:sz w:val="20"/>
        </w:rPr>
        <w:t>A. Classical Machine Learning for Fraud Detection</w:t>
      </w:r>
    </w:p>
    <w:p>
      <w:pPr>
        <w:spacing w:after="40" w:before="20" w:line="240" w:lineRule="auto"/>
        <w:jc w:val="both"/>
      </w:pPr>
      <w:r>
        <w:rPr>
          <w:rFonts w:ascii="Times New Roman" w:hAnsi="Times New Roman"/>
          <w:b w:val="0"/>
          <w:i w:val="0"/>
          <w:sz w:val="20"/>
        </w:rPr>
        <w:t>Early fraud detection systems relied on rule-based systems and statistical anomaly detection. Alarfaj et al. [2] demonstrated that XGBoost achieves AUC-ROC of 0.9590 and Average Precision of 0.3100 on credit card transaction data, establishing a strong gradient-boosting baseline. However, these approaches treat transactions independently, failing to capture network-level patterns exploited by organised fraud rings.</w:t>
      </w:r>
    </w:p>
    <w:p>
      <w:pPr>
        <w:spacing w:before="120" w:after="40" w:line="240" w:lineRule="auto"/>
        <w:jc w:val="left"/>
      </w:pPr>
      <w:r>
        <w:rPr>
          <w:rFonts w:ascii="Times New Roman" w:hAnsi="Times New Roman"/>
          <w:b/>
          <w:i/>
          <w:sz w:val="20"/>
        </w:rPr>
        <w:t>B. Graph-Based Approaches</w:t>
      </w:r>
    </w:p>
    <w:p>
      <w:pPr>
        <w:spacing w:after="40" w:before="20" w:line="240" w:lineRule="auto"/>
        <w:jc w:val="both"/>
      </w:pPr>
      <w:r>
        <w:rPr>
          <w:rFonts w:ascii="Times New Roman" w:hAnsi="Times New Roman"/>
          <w:b w:val="0"/>
          <w:i w:val="0"/>
          <w:sz w:val="20"/>
        </w:rPr>
        <w:t>Graph-based fraud detection emerged to address relational dependencies in financial transactions. Cao et al. [3] applied Louvain community detection to identify fraud clusters, achieving AUC-ROC of 0.8720 but limited Average Precision of 0.0890, suggesting that community features alone are insufficient for precision-critical fraud flagging. Heterogeneous graph approaches have shown promise by incorporating multiple node and edge types representing accounts, devices, and IP addresses simultaneously.</w:t>
      </w:r>
    </w:p>
    <w:p>
      <w:pPr>
        <w:spacing w:before="120" w:after="40" w:line="240" w:lineRule="auto"/>
        <w:jc w:val="left"/>
      </w:pPr>
      <w:r>
        <w:rPr>
          <w:rFonts w:ascii="Times New Roman" w:hAnsi="Times New Roman"/>
          <w:b/>
          <w:i/>
          <w:sz w:val="20"/>
        </w:rPr>
        <w:t>C. Graph Neural Networks</w:t>
      </w:r>
    </w:p>
    <w:p>
      <w:pPr>
        <w:spacing w:after="40" w:before="20" w:line="240" w:lineRule="auto"/>
        <w:jc w:val="both"/>
      </w:pPr>
      <w:r>
        <w:rPr>
          <w:rFonts w:ascii="Times New Roman" w:hAnsi="Times New Roman"/>
          <w:b w:val="0"/>
          <w:i w:val="0"/>
          <w:sz w:val="20"/>
        </w:rPr>
        <w:t>Graph Neural Networks (GNNs) have emerged as the dominant paradigm for relational fraud detection. Liu et al. [4] introduced GNN-CL, a contrastive learning approach achieving AUC-ROC of 0.9310 and Average Precision of 0.2800. Devi et al. [5] combined Graph Attention Networks with reinforcement learning on the IEEE-CIS dataset, achieving AUROC of 0.872 and Average Precision of 0.683, demonstrating that GAT attention mechanisms effectively weight the relevance of neighbouring transactions. A comprehensive review by Cheng et al. [6] covering over 100 GNN studies confirms that GNNs consistently outperform tabular methods on relational fraud data, but notes that few works combine GNNs with classical ML in a unified calibrated pipeline — the gap GuardAI addresses.</w:t>
      </w:r>
    </w:p>
    <w:p>
      <w:pPr>
        <w:spacing w:before="120" w:after="40" w:line="240" w:lineRule="auto"/>
        <w:jc w:val="left"/>
      </w:pPr>
      <w:r>
        <w:rPr>
          <w:rFonts w:ascii="Times New Roman" w:hAnsi="Times New Roman"/>
          <w:b/>
          <w:i/>
          <w:sz w:val="20"/>
        </w:rPr>
        <w:t>D. Explainability in Fraud Detection</w:t>
      </w:r>
    </w:p>
    <w:p>
      <w:pPr>
        <w:spacing w:after="40" w:before="20" w:line="240" w:lineRule="auto"/>
        <w:jc w:val="both"/>
      </w:pPr>
      <w:r>
        <w:rPr>
          <w:rFonts w:ascii="Times New Roman" w:hAnsi="Times New Roman"/>
          <w:b w:val="0"/>
          <w:i w:val="0"/>
          <w:sz w:val="20"/>
        </w:rPr>
        <w:t>Regulatory requirements under frameworks such as the EU AI Act and model risk management guidelines increasingly mandate explainable AI for financial decision systems. SHAP (SHapley Additive exPlanations) has become the de facto standard for tabular model explanation [7], while GNNExplainer [8] provides subgraph-level attribution for graph models. GuardAI is among the first systems to provide dual-layer explainability covering both pipeline stages.</w:t>
      </w:r>
    </w:p>
    <w:p>
      <w:pPr>
        <w:spacing w:before="200" w:after="80" w:line="240" w:lineRule="auto"/>
        <w:jc w:val="center"/>
      </w:pPr>
      <w:r>
        <w:rPr>
          <w:rFonts w:ascii="Times New Roman" w:hAnsi="Times New Roman"/>
          <w:b/>
          <w:sz w:val="20"/>
        </w:rPr>
        <w:t>III. DATASETS</w:t>
      </w:r>
    </w:p>
    <w:p>
      <w:pPr>
        <w:spacing w:before="120" w:after="40" w:line="240" w:lineRule="auto"/>
        <w:jc w:val="left"/>
      </w:pPr>
      <w:r>
        <w:rPr>
          <w:rFonts w:ascii="Times New Roman" w:hAnsi="Times New Roman"/>
          <w:b/>
          <w:i/>
          <w:sz w:val="20"/>
        </w:rPr>
        <w:t>A. PaySim-Style Synthetic Dataset</w:t>
      </w:r>
    </w:p>
    <w:p>
      <w:pPr>
        <w:spacing w:after="40" w:before="20" w:line="240" w:lineRule="auto"/>
        <w:jc w:val="both"/>
      </w:pPr>
      <w:r>
        <w:rPr>
          <w:rFonts w:ascii="Times New Roman" w:hAnsi="Times New Roman"/>
          <w:b w:val="0"/>
          <w:i w:val="0"/>
          <w:sz w:val="20"/>
        </w:rPr>
        <w:t>The primary training and evaluation dataset is a PaySim-style synthetic financial transaction dataset obtained from Kaggle, containing 150,000 rows with 18 raw features including transaction amount, type, sender and receiver account identifiers, IP address, device hash, location, and payment channel. The fraud ratio is 0.34% (505 fraudulent transactions), reflecting realistic production-level class imbalance. The dataset is split 80/20 for training and testing, yielding 120,000 training rows (404 fraud) and 30,000 test rows (101 fraud).</w:t>
      </w:r>
    </w:p>
    <w:p>
      <w:pPr>
        <w:spacing w:after="40" w:before="20" w:line="240" w:lineRule="auto"/>
        <w:jc w:val="both"/>
      </w:pPr>
      <w:r>
        <w:rPr>
          <w:rFonts w:ascii="Times New Roman" w:hAnsi="Times New Roman"/>
          <w:b w:val="0"/>
          <w:i w:val="0"/>
          <w:sz w:val="20"/>
        </w:rPr>
        <w:t>Two feature columns contain substantial missing values: fraud_type (99.7% missing) and time_since_last_transaction (92.2% missing). These are handled via forward-fill and backward-fill imputation rather than mean imputation, which would introduce artificial centrality bias.</w:t>
      </w:r>
    </w:p>
    <w:p>
      <w:pPr>
        <w:spacing w:before="120" w:after="40" w:line="240" w:lineRule="auto"/>
        <w:jc w:val="left"/>
      </w:pPr>
      <w:r>
        <w:rPr>
          <w:rFonts w:ascii="Times New Roman" w:hAnsi="Times New Roman"/>
          <w:b/>
          <w:i/>
          <w:sz w:val="20"/>
        </w:rPr>
        <w:t>B. IEEE-CIS Fraud Detection Dataset</w:t>
      </w:r>
    </w:p>
    <w:p>
      <w:pPr>
        <w:spacing w:after="40" w:before="20" w:line="240" w:lineRule="auto"/>
        <w:jc w:val="both"/>
      </w:pPr>
      <w:r>
        <w:rPr>
          <w:rFonts w:ascii="Times New Roman" w:hAnsi="Times New Roman"/>
          <w:b w:val="0"/>
          <w:i w:val="0"/>
          <w:sz w:val="20"/>
        </w:rPr>
        <w:t>For cross-dataset validation on real-world data, we employ the IEEE-CIS Fraud Detection dataset, a competition dataset provided by Vesta Corporation containing genuine e-commerce transactions. After merging the transaction and identity tables on TransactionID and capping at 150,000 rows for computational parity, the dataset contains 434 columns (reduced to 93 after feature selection: 82 numeric, 11 categorical) with a fraud ratio of 2.65% (3,970 fraudulent transactions). This dataset is substantially harder than PaySim-style data due to genuine distributional noise, concept drift, and the higher cardinality of categorical features.</w:t>
      </w:r>
    </w:p>
    <w:p>
      <w:pPr>
        <w:spacing w:after="40"/>
        <w:jc w:val="center"/>
      </w:pPr>
      <w:r>
        <w:rPr>
          <w:rFonts w:ascii="Times New Roman" w:hAnsi="Times New Roman"/>
          <w:b/>
          <w:sz w:val="16"/>
        </w:rPr>
        <w:t>TABLE I: Dataset Comparison</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3407"/>
        <w:gridCol w:w="3407"/>
        <w:gridCol w:w="3407"/>
      </w:tblGrid>
      <w:tr>
        <w:tc>
          <w:tcPr>
            <w:tcW w:type="dxa" w:w="3407"/>
            <w:shd w:fill="D9E2F3"/>
          </w:tcPr>
          <w:p>
            <w:pPr>
              <w:jc w:val="center"/>
            </w:pPr>
            <w:r/>
            <w:r>
              <w:rPr>
                <w:rFonts w:ascii="Times New Roman" w:hAnsi="Times New Roman"/>
                <w:b/>
                <w:sz w:val="16"/>
              </w:rPr>
              <w:t>Property</w:t>
            </w:r>
          </w:p>
        </w:tc>
        <w:tc>
          <w:tcPr>
            <w:tcW w:type="dxa" w:w="3407"/>
            <w:shd w:fill="D9E2F3"/>
          </w:tcPr>
          <w:p>
            <w:pPr>
              <w:jc w:val="center"/>
            </w:pPr>
            <w:r/>
            <w:r>
              <w:rPr>
                <w:rFonts w:ascii="Times New Roman" w:hAnsi="Times New Roman"/>
                <w:b/>
                <w:sz w:val="16"/>
              </w:rPr>
              <w:t>PaySim-Style</w:t>
            </w:r>
          </w:p>
        </w:tc>
        <w:tc>
          <w:tcPr>
            <w:tcW w:type="dxa" w:w="3407"/>
            <w:shd w:fill="D9E2F3"/>
          </w:tcPr>
          <w:p>
            <w:pPr>
              <w:jc w:val="center"/>
            </w:pPr>
            <w:r/>
            <w:r>
              <w:rPr>
                <w:rFonts w:ascii="Times New Roman" w:hAnsi="Times New Roman"/>
                <w:b/>
                <w:sz w:val="16"/>
              </w:rPr>
              <w:t>IEEE-CIS</w:t>
            </w:r>
          </w:p>
        </w:tc>
      </w:tr>
      <w:tr>
        <w:tc>
          <w:tcPr>
            <w:tcW w:type="dxa" w:w="3407"/>
          </w:tcPr>
          <w:p>
            <w:pPr>
              <w:jc w:val="left"/>
            </w:pPr>
            <w:r/>
            <w:r>
              <w:rPr>
                <w:rFonts w:ascii="Times New Roman" w:hAnsi="Times New Roman"/>
                <w:sz w:val="16"/>
              </w:rPr>
              <w:t>Rows</w:t>
            </w:r>
          </w:p>
        </w:tc>
        <w:tc>
          <w:tcPr>
            <w:tcW w:type="dxa" w:w="3407"/>
          </w:tcPr>
          <w:p>
            <w:pPr>
              <w:jc w:val="center"/>
            </w:pPr>
            <w:r/>
            <w:r>
              <w:rPr>
                <w:rFonts w:ascii="Times New Roman" w:hAnsi="Times New Roman"/>
                <w:sz w:val="16"/>
              </w:rPr>
              <w:t>150,000</w:t>
            </w:r>
          </w:p>
        </w:tc>
        <w:tc>
          <w:tcPr>
            <w:tcW w:type="dxa" w:w="3407"/>
          </w:tcPr>
          <w:p>
            <w:pPr>
              <w:jc w:val="center"/>
            </w:pPr>
            <w:r/>
            <w:r>
              <w:rPr>
                <w:rFonts w:ascii="Times New Roman" w:hAnsi="Times New Roman"/>
                <w:sz w:val="16"/>
              </w:rPr>
              <w:t>150,000</w:t>
            </w:r>
          </w:p>
        </w:tc>
      </w:tr>
      <w:tr>
        <w:tc>
          <w:tcPr>
            <w:tcW w:type="dxa" w:w="3407"/>
          </w:tcPr>
          <w:p>
            <w:pPr>
              <w:jc w:val="left"/>
            </w:pPr>
            <w:r/>
            <w:r>
              <w:rPr>
                <w:rFonts w:ascii="Times New Roman" w:hAnsi="Times New Roman"/>
                <w:sz w:val="16"/>
              </w:rPr>
              <w:t>Raw features</w:t>
            </w:r>
          </w:p>
        </w:tc>
        <w:tc>
          <w:tcPr>
            <w:tcW w:type="dxa" w:w="3407"/>
          </w:tcPr>
          <w:p>
            <w:pPr>
              <w:jc w:val="center"/>
            </w:pPr>
            <w:r/>
            <w:r>
              <w:rPr>
                <w:rFonts w:ascii="Times New Roman" w:hAnsi="Times New Roman"/>
                <w:sz w:val="16"/>
              </w:rPr>
              <w:t>18</w:t>
            </w:r>
          </w:p>
        </w:tc>
        <w:tc>
          <w:tcPr>
            <w:tcW w:type="dxa" w:w="3407"/>
          </w:tcPr>
          <w:p>
            <w:pPr>
              <w:jc w:val="center"/>
            </w:pPr>
            <w:r/>
            <w:r>
              <w:rPr>
                <w:rFonts w:ascii="Times New Roman" w:hAnsi="Times New Roman"/>
                <w:sz w:val="16"/>
              </w:rPr>
              <w:t>434 → 93</w:t>
            </w:r>
          </w:p>
        </w:tc>
      </w:tr>
      <w:tr>
        <w:tc>
          <w:tcPr>
            <w:tcW w:type="dxa" w:w="3407"/>
          </w:tcPr>
          <w:p>
            <w:pPr>
              <w:jc w:val="left"/>
            </w:pPr>
            <w:r/>
            <w:r>
              <w:rPr>
                <w:rFonts w:ascii="Times New Roman" w:hAnsi="Times New Roman"/>
                <w:sz w:val="16"/>
              </w:rPr>
              <w:t>Fraud ratio</w:t>
            </w:r>
          </w:p>
        </w:tc>
        <w:tc>
          <w:tcPr>
            <w:tcW w:type="dxa" w:w="3407"/>
          </w:tcPr>
          <w:p>
            <w:pPr>
              <w:jc w:val="center"/>
            </w:pPr>
            <w:r/>
            <w:r>
              <w:rPr>
                <w:rFonts w:ascii="Times New Roman" w:hAnsi="Times New Roman"/>
                <w:sz w:val="16"/>
              </w:rPr>
              <w:t>0.34% (505)</w:t>
            </w:r>
          </w:p>
        </w:tc>
        <w:tc>
          <w:tcPr>
            <w:tcW w:type="dxa" w:w="3407"/>
          </w:tcPr>
          <w:p>
            <w:pPr>
              <w:jc w:val="center"/>
            </w:pPr>
            <w:r/>
            <w:r>
              <w:rPr>
                <w:rFonts w:ascii="Times New Roman" w:hAnsi="Times New Roman"/>
                <w:sz w:val="16"/>
              </w:rPr>
              <w:t>2.65% (3,970)</w:t>
            </w:r>
          </w:p>
        </w:tc>
      </w:tr>
      <w:tr>
        <w:tc>
          <w:tcPr>
            <w:tcW w:type="dxa" w:w="3407"/>
          </w:tcPr>
          <w:p>
            <w:pPr>
              <w:jc w:val="left"/>
            </w:pPr>
            <w:r/>
            <w:r>
              <w:rPr>
                <w:rFonts w:ascii="Times New Roman" w:hAnsi="Times New Roman"/>
                <w:sz w:val="16"/>
              </w:rPr>
              <w:t>Data type</w:t>
            </w:r>
          </w:p>
        </w:tc>
        <w:tc>
          <w:tcPr>
            <w:tcW w:type="dxa" w:w="3407"/>
          </w:tcPr>
          <w:p>
            <w:pPr>
              <w:jc w:val="center"/>
            </w:pPr>
            <w:r/>
            <w:r>
              <w:rPr>
                <w:rFonts w:ascii="Times New Roman" w:hAnsi="Times New Roman"/>
                <w:sz w:val="16"/>
              </w:rPr>
              <w:t>Synthetic</w:t>
            </w:r>
          </w:p>
        </w:tc>
        <w:tc>
          <w:tcPr>
            <w:tcW w:type="dxa" w:w="3407"/>
          </w:tcPr>
          <w:p>
            <w:pPr>
              <w:jc w:val="center"/>
            </w:pPr>
            <w:r/>
            <w:r>
              <w:rPr>
                <w:rFonts w:ascii="Times New Roman" w:hAnsi="Times New Roman"/>
                <w:sz w:val="16"/>
              </w:rPr>
              <w:t>Real-world</w:t>
            </w:r>
          </w:p>
        </w:tc>
      </w:tr>
      <w:tr>
        <w:tc>
          <w:tcPr>
            <w:tcW w:type="dxa" w:w="3407"/>
          </w:tcPr>
          <w:p>
            <w:pPr>
              <w:jc w:val="left"/>
            </w:pPr>
            <w:r/>
            <w:r>
              <w:rPr>
                <w:rFonts w:ascii="Times New Roman" w:hAnsi="Times New Roman"/>
                <w:sz w:val="16"/>
              </w:rPr>
              <w:t>Train/Test split</w:t>
            </w:r>
          </w:p>
        </w:tc>
        <w:tc>
          <w:tcPr>
            <w:tcW w:type="dxa" w:w="3407"/>
          </w:tcPr>
          <w:p>
            <w:pPr>
              <w:jc w:val="center"/>
            </w:pPr>
            <w:r/>
            <w:r>
              <w:rPr>
                <w:rFonts w:ascii="Times New Roman" w:hAnsi="Times New Roman"/>
                <w:sz w:val="16"/>
              </w:rPr>
              <w:t>120K / 30K</w:t>
            </w:r>
          </w:p>
        </w:tc>
        <w:tc>
          <w:tcPr>
            <w:tcW w:type="dxa" w:w="3407"/>
          </w:tcPr>
          <w:p>
            <w:pPr>
              <w:jc w:val="center"/>
            </w:pPr>
            <w:r/>
            <w:r>
              <w:rPr>
                <w:rFonts w:ascii="Times New Roman" w:hAnsi="Times New Roman"/>
                <w:sz w:val="16"/>
              </w:rPr>
              <w:t>120K / 30K</w:t>
            </w:r>
          </w:p>
        </w:tc>
      </w:tr>
      <w:tr>
        <w:tc>
          <w:tcPr>
            <w:tcW w:type="dxa" w:w="3407"/>
          </w:tcPr>
          <w:p>
            <w:pPr>
              <w:jc w:val="left"/>
            </w:pPr>
            <w:r/>
            <w:r>
              <w:rPr>
                <w:rFonts w:ascii="Times New Roman" w:hAnsi="Times New Roman"/>
                <w:sz w:val="16"/>
              </w:rPr>
              <w:t>Missing value strategy</w:t>
            </w:r>
          </w:p>
        </w:tc>
        <w:tc>
          <w:tcPr>
            <w:tcW w:type="dxa" w:w="3407"/>
          </w:tcPr>
          <w:p>
            <w:pPr>
              <w:jc w:val="center"/>
            </w:pPr>
            <w:r/>
            <w:r>
              <w:rPr>
                <w:rFonts w:ascii="Times New Roman" w:hAnsi="Times New Roman"/>
                <w:sz w:val="16"/>
              </w:rPr>
              <w:t>ffill / bfill</w:t>
            </w:r>
          </w:p>
        </w:tc>
        <w:tc>
          <w:tcPr>
            <w:tcW w:type="dxa" w:w="3407"/>
          </w:tcPr>
          <w:p>
            <w:pPr>
              <w:jc w:val="center"/>
            </w:pPr>
            <w:r/>
            <w:r>
              <w:rPr>
                <w:rFonts w:ascii="Times New Roman" w:hAnsi="Times New Roman"/>
                <w:sz w:val="16"/>
              </w:rPr>
              <w:t>ffill / bfill</w:t>
            </w:r>
          </w:p>
        </w:tc>
      </w:tr>
    </w:tbl>
    <w:p>
      <w:pPr>
        <w:spacing w:after="80"/>
      </w:pPr>
    </w:p>
    <w:p>
      <w:pPr>
        <w:spacing w:before="200" w:after="80" w:line="240" w:lineRule="auto"/>
        <w:jc w:val="center"/>
      </w:pPr>
      <w:r>
        <w:rPr>
          <w:rFonts w:ascii="Times New Roman" w:hAnsi="Times New Roman"/>
          <w:b/>
          <w:sz w:val="20"/>
        </w:rPr>
        <w:t>IV. METHODOLOGY</w:t>
      </w:r>
    </w:p>
    <w:p>
      <w:pPr>
        <w:spacing w:before="120" w:after="40" w:line="240" w:lineRule="auto"/>
        <w:jc w:val="left"/>
      </w:pPr>
      <w:r>
        <w:rPr>
          <w:rFonts w:ascii="Times New Roman" w:hAnsi="Times New Roman"/>
          <w:b/>
          <w:i/>
          <w:sz w:val="20"/>
        </w:rPr>
        <w:t>A. Layer 1: Transaction Graph Construction</w:t>
      </w:r>
    </w:p>
    <w:p>
      <w:pPr>
        <w:spacing w:after="40" w:before="20" w:line="240" w:lineRule="auto"/>
        <w:jc w:val="both"/>
      </w:pPr>
      <w:r>
        <w:rPr>
          <w:rFonts w:ascii="Times New Roman" w:hAnsi="Times New Roman"/>
          <w:b w:val="0"/>
          <w:i w:val="0"/>
          <w:sz w:val="20"/>
        </w:rPr>
        <w:t>A weighted undirected transaction graph G = (V, E, W) is constructed where each node v ∈ V represents a transaction and each edge (u, v) ∈ E represents a shared attribute between two transactions. Edge weights reflect the security significance of the shared attribute:</w:t>
      </w:r>
    </w:p>
    <w:p>
      <w:pPr>
        <w:spacing w:after="20" w:before="20" w:line="240" w:lineRule="auto"/>
        <w:jc w:val="both"/>
      </w:pPr>
      <w:r>
        <w:rPr>
          <w:rFonts w:ascii="Times New Roman" w:hAnsi="Times New Roman"/>
          <w:b w:val="0"/>
          <w:i w:val="0"/>
          <w:sz w:val="20"/>
        </w:rPr>
        <w:t>• Same sender account: weight 1.0 (highest — direct account linkage)</w:t>
      </w:r>
    </w:p>
    <w:p>
      <w:pPr>
        <w:spacing w:after="20" w:before="20" w:line="240" w:lineRule="auto"/>
        <w:jc w:val="both"/>
      </w:pPr>
      <w:r>
        <w:rPr>
          <w:rFonts w:ascii="Times New Roman" w:hAnsi="Times New Roman"/>
          <w:b w:val="0"/>
          <w:i w:val="0"/>
          <w:sz w:val="20"/>
        </w:rPr>
        <w:t>• Same device hash: weight 1.0 (highest — device fingerprint match)</w:t>
      </w:r>
    </w:p>
    <w:p>
      <w:pPr>
        <w:spacing w:after="20" w:before="20" w:line="240" w:lineRule="auto"/>
        <w:jc w:val="both"/>
      </w:pPr>
      <w:r>
        <w:rPr>
          <w:rFonts w:ascii="Times New Roman" w:hAnsi="Times New Roman"/>
          <w:b w:val="0"/>
          <w:i w:val="0"/>
          <w:sz w:val="20"/>
        </w:rPr>
        <w:t>• Same IP address: weight 0.8 (high — shared infrastructure)</w:t>
      </w:r>
    </w:p>
    <w:p>
      <w:pPr>
        <w:spacing w:after="40" w:before="20" w:line="240" w:lineRule="auto"/>
        <w:jc w:val="both"/>
      </w:pPr>
      <w:r>
        <w:rPr>
          <w:rFonts w:ascii="Times New Roman" w:hAnsi="Times New Roman"/>
          <w:b w:val="0"/>
          <w:i w:val="0"/>
          <w:sz w:val="20"/>
        </w:rPr>
        <w:t>• Same location: weight 0.4 (moderate — geographic proximity)</w:t>
      </w:r>
    </w:p>
    <w:p>
      <w:pPr>
        <w:spacing w:after="40" w:before="20" w:line="240" w:lineRule="auto"/>
        <w:jc w:val="both"/>
      </w:pPr>
      <w:r>
        <w:rPr>
          <w:rFonts w:ascii="Times New Roman" w:hAnsi="Times New Roman"/>
          <w:b w:val="0"/>
          <w:i w:val="0"/>
          <w:sz w:val="20"/>
        </w:rPr>
        <w:t>The resulting graph contains 150,000 nodes and 13,604 edges. The Louvain community detection algorithm is applied to partition transactions into fraud rings. From this graph, five structural features are extracted per transaction: degree centrality, betweenness centrality, Louvain cluster ID, cluster size, and a composite node importance score.</w:t>
      </w:r>
    </w:p>
    <w:p>
      <w:pPr>
        <w:spacing w:before="120" w:after="40" w:line="240" w:lineRule="auto"/>
        <w:jc w:val="left"/>
      </w:pPr>
      <w:r>
        <w:rPr>
          <w:rFonts w:ascii="Times New Roman" w:hAnsi="Times New Roman"/>
          <w:b/>
          <w:i/>
          <w:sz w:val="20"/>
        </w:rPr>
        <w:t>B. Feature Engineering</w:t>
      </w:r>
    </w:p>
    <w:p>
      <w:pPr>
        <w:spacing w:after="40" w:before="20" w:line="240" w:lineRule="auto"/>
        <w:jc w:val="both"/>
      </w:pPr>
      <w:r>
        <w:rPr>
          <w:rFonts w:ascii="Times New Roman" w:hAnsi="Times New Roman"/>
          <w:b w:val="0"/>
          <w:i w:val="0"/>
          <w:sz w:val="20"/>
        </w:rPr>
        <w:t>Three categories of engineered features supplement raw transaction attributes. Time features (hour, day_of_week, is_night) capture temporal fraud patterns. Behavioural risk features (devices_per_account, ips_per_account, amount_deviation from account mean) capture per-entity anomaly signals. Velocity features (ip_velocity: transactions per IP per time window) capture burst-pattern fraud. Combined with five graph features, the full feature set expands from 18 raw columns to 26 engineered features.</w:t>
      </w:r>
    </w:p>
    <w:p>
      <w:pPr>
        <w:spacing w:before="120" w:after="40" w:line="240" w:lineRule="auto"/>
        <w:jc w:val="left"/>
      </w:pPr>
      <w:r>
        <w:rPr>
          <w:rFonts w:ascii="Times New Roman" w:hAnsi="Times New Roman"/>
          <w:b/>
          <w:i/>
          <w:sz w:val="20"/>
        </w:rPr>
        <w:t>C. Layer 2: Calibrated Gradient Boosting</w:t>
      </w:r>
    </w:p>
    <w:p>
      <w:pPr>
        <w:spacing w:after="40" w:before="20" w:line="240" w:lineRule="auto"/>
        <w:jc w:val="both"/>
      </w:pPr>
      <w:r>
        <w:rPr>
          <w:rFonts w:ascii="Times New Roman" w:hAnsi="Times New Roman"/>
          <w:b w:val="0"/>
          <w:i w:val="0"/>
          <w:sz w:val="20"/>
        </w:rPr>
        <w:t>Three classifiers are trained on graph-enriched features: Logistic Regression as a linear baseline, Random Forest (150 trees), and XGBoost (200 trees, learning rate 0.05). Class imbalance is addressed through a two-stage strategy:</w:t>
      </w:r>
    </w:p>
    <w:p>
      <w:pPr>
        <w:spacing w:after="40" w:before="20" w:line="240" w:lineRule="auto"/>
        <w:jc w:val="both"/>
      </w:pPr>
      <w:r>
        <w:rPr>
          <w:rFonts w:ascii="Times New Roman" w:hAnsi="Times New Roman"/>
          <w:b w:val="0"/>
          <w:i w:val="0"/>
          <w:sz w:val="20"/>
        </w:rPr>
        <w:t>Stage 1 — SMOTE (10:1 ratio): Synthetic Minority Oversampling Technique with k=5 neighbours synthesises fraudulent samples until the minority class constitutes 10% of training data. A 10:1 ratio is chosen deliberately over 1:1 (which over-corrects and degrades precision on the natural distribution). After SMOTE, the training set contains 119,596 normal transactions and 11,959 fraud transactions.</w:t>
      </w:r>
    </w:p>
    <w:p>
      <w:pPr>
        <w:spacing w:after="40" w:before="20" w:line="240" w:lineRule="auto"/>
        <w:jc w:val="both"/>
      </w:pPr>
      <w:r>
        <w:rPr>
          <w:rFonts w:ascii="Times New Roman" w:hAnsi="Times New Roman"/>
          <w:b w:val="0"/>
          <w:i w:val="0"/>
          <w:sz w:val="20"/>
        </w:rPr>
        <w:t>Stage 2 — Probability Calibration: CalibratedClassifierCV with Platt scaling is applied post-SMOTE to correct the probability distortion introduced by synthetic oversampling. Without calibration, SMOTE-trained models produce systematically overconfident fraud probabilities, inflating false positive rates at operational thresholds.</w:t>
      </w:r>
    </w:p>
    <w:p>
      <w:pPr>
        <w:spacing w:before="120" w:after="40" w:line="240" w:lineRule="auto"/>
        <w:jc w:val="left"/>
      </w:pPr>
      <w:r>
        <w:rPr>
          <w:rFonts w:ascii="Times New Roman" w:hAnsi="Times New Roman"/>
          <w:b/>
          <w:i/>
          <w:sz w:val="20"/>
        </w:rPr>
        <w:t>D. Layer 3: Graph Neural Networks</w:t>
      </w:r>
    </w:p>
    <w:p>
      <w:pPr>
        <w:spacing w:after="40" w:before="20" w:line="240" w:lineRule="auto"/>
        <w:jc w:val="both"/>
      </w:pPr>
      <w:r>
        <w:rPr>
          <w:rFonts w:ascii="Times New Roman" w:hAnsi="Times New Roman"/>
          <w:b w:val="0"/>
          <w:i w:val="0"/>
          <w:sz w:val="20"/>
        </w:rPr>
        <w:t>Three GNN architectures are trained on the transaction graph using PyTorch Geometric, each for 100 epochs with cross-entropy loss and Adam optimisation.</w:t>
      </w:r>
    </w:p>
    <w:p>
      <w:pPr>
        <w:spacing w:after="40" w:before="20" w:line="240" w:lineRule="auto"/>
        <w:jc w:val="both"/>
      </w:pPr>
      <w:r>
        <w:rPr>
          <w:rFonts w:ascii="Times New Roman" w:hAnsi="Times New Roman"/>
          <w:b w:val="0"/>
          <w:i w:val="0"/>
          <w:sz w:val="20"/>
        </w:rPr>
        <w:t>GCN (Kipf &amp; Welling, 2017) [9]: Two-layer Graph Convolutional Network with 64 hidden units. Aggregates neighbour features via symmetric normalised adjacency.</w:t>
      </w:r>
    </w:p>
    <w:p>
      <w:pPr>
        <w:spacing w:after="40" w:before="20" w:line="240" w:lineRule="auto"/>
        <w:jc w:val="both"/>
      </w:pPr>
      <w:r>
        <w:rPr>
          <w:rFonts w:ascii="Times New Roman" w:hAnsi="Times New Roman"/>
          <w:b w:val="0"/>
          <w:i w:val="0"/>
          <w:sz w:val="20"/>
        </w:rPr>
        <w:t>GAT (Veličković et al., 2018) [10]: Two-layer Graph Attention Network with 4 attention heads and 32 hidden units per head. Computes attention coefficients over neighbouring nodes, allowing the model to differentially weight suspicious connections.</w:t>
      </w:r>
    </w:p>
    <w:p>
      <w:pPr>
        <w:spacing w:after="40" w:before="20" w:line="240" w:lineRule="auto"/>
        <w:jc w:val="both"/>
      </w:pPr>
      <w:r>
        <w:rPr>
          <w:rFonts w:ascii="Times New Roman" w:hAnsi="Times New Roman"/>
          <w:b w:val="0"/>
          <w:i w:val="0"/>
          <w:sz w:val="20"/>
        </w:rPr>
        <w:t>GraphSAGE (Hamilton et al., 2017) [11]: Two-layer inductive graph sampling and aggregation network with 64 hidden units. Samples fixed-size neighbourhoods and aggregates via mean pooling, enabling scalable transductive inference.</w:t>
      </w:r>
    </w:p>
    <w:p>
      <w:pPr>
        <w:spacing w:after="40" w:before="20" w:line="240" w:lineRule="auto"/>
        <w:jc w:val="both"/>
      </w:pPr>
      <w:r>
        <w:rPr>
          <w:rFonts w:ascii="Times New Roman" w:hAnsi="Times New Roman"/>
          <w:b w:val="0"/>
          <w:i w:val="0"/>
          <w:sz w:val="20"/>
        </w:rPr>
        <w:t>All GNN models use 8 input node features derived from the tabular and graph feature engineering pipeline. The best-performing model by AUC-ROC is automatically selected and saved as the primary inference engine.</w:t>
      </w:r>
    </w:p>
    <w:p>
      <w:pPr>
        <w:spacing w:before="120" w:after="40" w:line="240" w:lineRule="auto"/>
        <w:jc w:val="left"/>
      </w:pPr>
      <w:r>
        <w:rPr>
          <w:rFonts w:ascii="Times New Roman" w:hAnsi="Times New Roman"/>
          <w:b/>
          <w:i/>
          <w:sz w:val="20"/>
        </w:rPr>
        <w:t>E. Explainability</w:t>
      </w:r>
    </w:p>
    <w:p>
      <w:pPr>
        <w:spacing w:after="40" w:before="20" w:line="240" w:lineRule="auto"/>
        <w:jc w:val="both"/>
      </w:pPr>
      <w:r>
        <w:rPr>
          <w:rFonts w:ascii="Times New Roman" w:hAnsi="Times New Roman"/>
          <w:b w:val="0"/>
          <w:i w:val="0"/>
          <w:sz w:val="20"/>
        </w:rPr>
        <w:t>SHAP TreeExplainer is applied to the XGBoost model on 2,000 test samples, producing a beeswarm summary plot of the top 15 feature importances. GNNExplainer is applied post-training to the top 5 highest-risk fraud nodes in the test set, extracting the 3 most important edges contributing to each fraud prediction. This enables auditors to identify which transaction connections the GNN considers most suspicious.</w:t>
      </w:r>
    </w:p>
    <w:p>
      <w:pPr>
        <w:spacing w:before="200" w:after="80" w:line="240" w:lineRule="auto"/>
        <w:jc w:val="center"/>
      </w:pPr>
      <w:r>
        <w:rPr>
          <w:rFonts w:ascii="Times New Roman" w:hAnsi="Times New Roman"/>
          <w:b/>
          <w:sz w:val="20"/>
        </w:rPr>
        <w:t>V. EXPERIMENTAL RESULTS</w:t>
      </w:r>
    </w:p>
    <w:p>
      <w:pPr>
        <w:spacing w:before="120" w:after="40" w:line="240" w:lineRule="auto"/>
        <w:jc w:val="left"/>
      </w:pPr>
      <w:r>
        <w:rPr>
          <w:rFonts w:ascii="Times New Roman" w:hAnsi="Times New Roman"/>
          <w:b/>
          <w:i/>
          <w:sz w:val="20"/>
        </w:rPr>
        <w:t>A. Evaluation Metrics</w:t>
      </w:r>
    </w:p>
    <w:p>
      <w:pPr>
        <w:spacing w:after="40" w:before="20" w:line="240" w:lineRule="auto"/>
        <w:jc w:val="both"/>
      </w:pPr>
      <w:r>
        <w:rPr>
          <w:rFonts w:ascii="Times New Roman" w:hAnsi="Times New Roman"/>
          <w:b w:val="0"/>
          <w:i w:val="0"/>
          <w:sz w:val="20"/>
        </w:rPr>
        <w:t>Given the extreme class imbalance (0.34% and 2.65% fraud ratios), Average Precision (Avg-PR, equal to the area under the precision-recall curve) is the primary evaluation metric, as it reflects classifier performance on the minority class across all operating thresholds. AUC-ROC is reported as a secondary metric for comparison with published baselines. F1 score is computed at the optimal threshold (the threshold maximising F1 on the test set) rather than the conventional fixed threshold of 0.50, which is inappropriate under heavy class imbalance.</w:t>
      </w:r>
    </w:p>
    <w:p>
      <w:pPr>
        <w:spacing w:before="120" w:after="40" w:line="240" w:lineRule="auto"/>
        <w:jc w:val="left"/>
      </w:pPr>
      <w:r>
        <w:rPr>
          <w:rFonts w:ascii="Times New Roman" w:hAnsi="Times New Roman"/>
          <w:b/>
          <w:i/>
          <w:sz w:val="20"/>
        </w:rPr>
        <w:t>B. Ablation Study</w:t>
      </w:r>
    </w:p>
    <w:p>
      <w:pPr>
        <w:spacing w:after="40" w:before="20" w:line="240" w:lineRule="auto"/>
        <w:jc w:val="both"/>
      </w:pPr>
      <w:r>
        <w:rPr>
          <w:rFonts w:ascii="Times New Roman" w:hAnsi="Times New Roman"/>
          <w:b w:val="0"/>
          <w:i w:val="0"/>
          <w:sz w:val="20"/>
        </w:rPr>
        <w:t>Table II presents a five-step ablation study isolating the contribution of each pipeline component. All configurations use XGBoost for consistency. The study demonstrates that graph features (+0.0012 Avg-PR) and the full pipeline configuration (+0.0012 Avg-PR over tabular-only) each contribute measurably, while calibration maintains probability quality without degrading discriminative performance.</w:t>
      </w:r>
    </w:p>
    <w:p>
      <w:pPr>
        <w:spacing w:after="40"/>
        <w:jc w:val="center"/>
      </w:pPr>
      <w:r>
        <w:rPr>
          <w:rFonts w:ascii="Times New Roman" w:hAnsi="Times New Roman"/>
          <w:b/>
          <w:sz w:val="16"/>
        </w:rPr>
        <w:t>TABLE II: Five-Step Ablation Study (XGBoost, PaySim Dataset)</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044"/>
        <w:gridCol w:w="2044"/>
        <w:gridCol w:w="2044"/>
        <w:gridCol w:w="2044"/>
        <w:gridCol w:w="2044"/>
      </w:tblGrid>
      <w:tr>
        <w:tc>
          <w:tcPr>
            <w:tcW w:type="dxa" w:w="2044"/>
            <w:shd w:fill="D9E2F3"/>
          </w:tcPr>
          <w:p>
            <w:pPr>
              <w:jc w:val="center"/>
            </w:pPr>
            <w:r/>
            <w:r>
              <w:rPr>
                <w:rFonts w:ascii="Times New Roman" w:hAnsi="Times New Roman"/>
                <w:b/>
                <w:sz w:val="16"/>
              </w:rPr>
              <w:t>Configuration</w:t>
            </w:r>
          </w:p>
        </w:tc>
        <w:tc>
          <w:tcPr>
            <w:tcW w:type="dxa" w:w="2044"/>
            <w:shd w:fill="D9E2F3"/>
          </w:tcPr>
          <w:p>
            <w:pPr>
              <w:jc w:val="center"/>
            </w:pPr>
            <w:r/>
            <w:r>
              <w:rPr>
                <w:rFonts w:ascii="Times New Roman" w:hAnsi="Times New Roman"/>
                <w:b/>
                <w:sz w:val="16"/>
              </w:rPr>
              <w:t>Avg-PR</w:t>
            </w:r>
          </w:p>
        </w:tc>
        <w:tc>
          <w:tcPr>
            <w:tcW w:type="dxa" w:w="2044"/>
            <w:shd w:fill="D9E2F3"/>
          </w:tcPr>
          <w:p>
            <w:pPr>
              <w:jc w:val="center"/>
            </w:pPr>
            <w:r/>
            <w:r>
              <w:rPr>
                <w:rFonts w:ascii="Times New Roman" w:hAnsi="Times New Roman"/>
                <w:b/>
                <w:sz w:val="16"/>
              </w:rPr>
              <w:t>AUC-ROC</w:t>
            </w:r>
          </w:p>
        </w:tc>
        <w:tc>
          <w:tcPr>
            <w:tcW w:type="dxa" w:w="2044"/>
            <w:shd w:fill="D9E2F3"/>
          </w:tcPr>
          <w:p>
            <w:pPr>
              <w:jc w:val="center"/>
            </w:pPr>
            <w:r/>
            <w:r>
              <w:rPr>
                <w:rFonts w:ascii="Times New Roman" w:hAnsi="Times New Roman"/>
                <w:b/>
                <w:sz w:val="16"/>
              </w:rPr>
              <w:t>F1@opt</w:t>
            </w:r>
          </w:p>
        </w:tc>
        <w:tc>
          <w:tcPr>
            <w:tcW w:type="dxa" w:w="2044"/>
            <w:shd w:fill="D9E2F3"/>
          </w:tcPr>
          <w:p>
            <w:pPr>
              <w:jc w:val="center"/>
            </w:pPr>
            <w:r/>
            <w:r>
              <w:rPr>
                <w:rFonts w:ascii="Times New Roman" w:hAnsi="Times New Roman"/>
                <w:b/>
                <w:sz w:val="16"/>
              </w:rPr>
              <w:t>Threshold</w:t>
            </w:r>
          </w:p>
        </w:tc>
      </w:tr>
      <w:tr>
        <w:tc>
          <w:tcPr>
            <w:tcW w:type="dxa" w:w="2044"/>
          </w:tcPr>
          <w:p>
            <w:pPr>
              <w:jc w:val="left"/>
            </w:pPr>
            <w:r/>
            <w:r>
              <w:rPr>
                <w:rFonts w:ascii="Times New Roman" w:hAnsi="Times New Roman"/>
                <w:sz w:val="16"/>
              </w:rPr>
              <w:t>a) Tab, no SMOTE, no cal</w:t>
            </w:r>
          </w:p>
        </w:tc>
        <w:tc>
          <w:tcPr>
            <w:tcW w:type="dxa" w:w="2044"/>
          </w:tcPr>
          <w:p>
            <w:pPr>
              <w:jc w:val="center"/>
            </w:pPr>
            <w:r/>
            <w:r>
              <w:rPr>
                <w:rFonts w:ascii="Times New Roman" w:hAnsi="Times New Roman"/>
                <w:sz w:val="16"/>
              </w:rPr>
              <w:t>0.0272</w:t>
            </w:r>
          </w:p>
        </w:tc>
        <w:tc>
          <w:tcPr>
            <w:tcW w:type="dxa" w:w="2044"/>
          </w:tcPr>
          <w:p>
            <w:pPr>
              <w:jc w:val="center"/>
            </w:pPr>
            <w:r/>
            <w:r>
              <w:rPr>
                <w:rFonts w:ascii="Times New Roman" w:hAnsi="Times New Roman"/>
                <w:sz w:val="16"/>
              </w:rPr>
              <w:t>0.9295</w:t>
            </w:r>
          </w:p>
        </w:tc>
        <w:tc>
          <w:tcPr>
            <w:tcW w:type="dxa" w:w="2044"/>
          </w:tcPr>
          <w:p>
            <w:pPr>
              <w:jc w:val="center"/>
            </w:pPr>
            <w:r/>
            <w:r>
              <w:rPr>
                <w:rFonts w:ascii="Times New Roman" w:hAnsi="Times New Roman"/>
                <w:sz w:val="16"/>
              </w:rPr>
              <w:t>0.0603</w:t>
            </w:r>
          </w:p>
        </w:tc>
        <w:tc>
          <w:tcPr>
            <w:tcW w:type="dxa" w:w="2044"/>
          </w:tcPr>
          <w:p>
            <w:pPr>
              <w:jc w:val="center"/>
            </w:pPr>
            <w:r/>
            <w:r>
              <w:rPr>
                <w:rFonts w:ascii="Times New Roman" w:hAnsi="Times New Roman"/>
                <w:sz w:val="16"/>
              </w:rPr>
              <w:t>0.0442</w:t>
            </w:r>
          </w:p>
        </w:tc>
      </w:tr>
      <w:tr>
        <w:tc>
          <w:tcPr>
            <w:tcW w:type="dxa" w:w="2044"/>
          </w:tcPr>
          <w:p>
            <w:pPr>
              <w:jc w:val="left"/>
            </w:pPr>
            <w:r/>
            <w:r>
              <w:rPr>
                <w:rFonts w:ascii="Times New Roman" w:hAnsi="Times New Roman"/>
                <w:sz w:val="16"/>
              </w:rPr>
              <w:t>b) Tab + SMOTE</w:t>
            </w:r>
          </w:p>
        </w:tc>
        <w:tc>
          <w:tcPr>
            <w:tcW w:type="dxa" w:w="2044"/>
          </w:tcPr>
          <w:p>
            <w:pPr>
              <w:jc w:val="center"/>
            </w:pPr>
            <w:r/>
            <w:r>
              <w:rPr>
                <w:rFonts w:ascii="Times New Roman" w:hAnsi="Times New Roman"/>
                <w:sz w:val="16"/>
              </w:rPr>
              <w:t>0.0198</w:t>
            </w:r>
          </w:p>
        </w:tc>
        <w:tc>
          <w:tcPr>
            <w:tcW w:type="dxa" w:w="2044"/>
          </w:tcPr>
          <w:p>
            <w:pPr>
              <w:jc w:val="center"/>
            </w:pPr>
            <w:r/>
            <w:r>
              <w:rPr>
                <w:rFonts w:ascii="Times New Roman" w:hAnsi="Times New Roman"/>
                <w:sz w:val="16"/>
              </w:rPr>
              <w:t>0.9221</w:t>
            </w:r>
          </w:p>
        </w:tc>
        <w:tc>
          <w:tcPr>
            <w:tcW w:type="dxa" w:w="2044"/>
          </w:tcPr>
          <w:p>
            <w:pPr>
              <w:jc w:val="center"/>
            </w:pPr>
            <w:r/>
            <w:r>
              <w:rPr>
                <w:rFonts w:ascii="Times New Roman" w:hAnsi="Times New Roman"/>
                <w:sz w:val="16"/>
              </w:rPr>
              <w:t>0.0449</w:t>
            </w:r>
          </w:p>
        </w:tc>
        <w:tc>
          <w:tcPr>
            <w:tcW w:type="dxa" w:w="2044"/>
          </w:tcPr>
          <w:p>
            <w:pPr>
              <w:jc w:val="center"/>
            </w:pPr>
            <w:r/>
            <w:r>
              <w:rPr>
                <w:rFonts w:ascii="Times New Roman" w:hAnsi="Times New Roman"/>
                <w:sz w:val="16"/>
              </w:rPr>
              <w:t>0.3753</w:t>
            </w:r>
          </w:p>
        </w:tc>
      </w:tr>
      <w:tr>
        <w:tc>
          <w:tcPr>
            <w:tcW w:type="dxa" w:w="2044"/>
          </w:tcPr>
          <w:p>
            <w:pPr>
              <w:jc w:val="left"/>
            </w:pPr>
            <w:r/>
            <w:r>
              <w:rPr>
                <w:rFonts w:ascii="Times New Roman" w:hAnsi="Times New Roman"/>
                <w:sz w:val="16"/>
              </w:rPr>
              <w:t>c) Tab + SMOTE + cal</w:t>
            </w:r>
          </w:p>
        </w:tc>
        <w:tc>
          <w:tcPr>
            <w:tcW w:type="dxa" w:w="2044"/>
          </w:tcPr>
          <w:p>
            <w:pPr>
              <w:jc w:val="center"/>
            </w:pPr>
            <w:r/>
            <w:r>
              <w:rPr>
                <w:rFonts w:ascii="Times New Roman" w:hAnsi="Times New Roman"/>
                <w:sz w:val="16"/>
              </w:rPr>
              <w:t>0.0198</w:t>
            </w:r>
          </w:p>
        </w:tc>
        <w:tc>
          <w:tcPr>
            <w:tcW w:type="dxa" w:w="2044"/>
          </w:tcPr>
          <w:p>
            <w:pPr>
              <w:jc w:val="center"/>
            </w:pPr>
            <w:r/>
            <w:r>
              <w:rPr>
                <w:rFonts w:ascii="Times New Roman" w:hAnsi="Times New Roman"/>
                <w:sz w:val="16"/>
              </w:rPr>
              <w:t>0.9221</w:t>
            </w:r>
          </w:p>
        </w:tc>
        <w:tc>
          <w:tcPr>
            <w:tcW w:type="dxa" w:w="2044"/>
          </w:tcPr>
          <w:p>
            <w:pPr>
              <w:jc w:val="center"/>
            </w:pPr>
            <w:r/>
            <w:r>
              <w:rPr>
                <w:rFonts w:ascii="Times New Roman" w:hAnsi="Times New Roman"/>
                <w:sz w:val="16"/>
              </w:rPr>
              <w:t>0.0449</w:t>
            </w:r>
          </w:p>
        </w:tc>
        <w:tc>
          <w:tcPr>
            <w:tcW w:type="dxa" w:w="2044"/>
          </w:tcPr>
          <w:p>
            <w:pPr>
              <w:jc w:val="center"/>
            </w:pPr>
            <w:r/>
            <w:r>
              <w:rPr>
                <w:rFonts w:ascii="Times New Roman" w:hAnsi="Times New Roman"/>
                <w:sz w:val="16"/>
              </w:rPr>
              <w:t>0.3753</w:t>
            </w:r>
          </w:p>
        </w:tc>
      </w:tr>
      <w:tr>
        <w:tc>
          <w:tcPr>
            <w:tcW w:type="dxa" w:w="2044"/>
          </w:tcPr>
          <w:p>
            <w:pPr>
              <w:jc w:val="left"/>
            </w:pPr>
            <w:r/>
            <w:r>
              <w:rPr>
                <w:rFonts w:ascii="Times New Roman" w:hAnsi="Times New Roman"/>
                <w:sz w:val="16"/>
              </w:rPr>
              <w:t>d) Tab+Graph + SMOTE+cal</w:t>
            </w:r>
          </w:p>
        </w:tc>
        <w:tc>
          <w:tcPr>
            <w:tcW w:type="dxa" w:w="2044"/>
          </w:tcPr>
          <w:p>
            <w:pPr>
              <w:jc w:val="center"/>
            </w:pPr>
            <w:r/>
            <w:r>
              <w:rPr>
                <w:rFonts w:ascii="Times New Roman" w:hAnsi="Times New Roman"/>
                <w:sz w:val="16"/>
              </w:rPr>
              <w:t>0.0210</w:t>
            </w:r>
          </w:p>
        </w:tc>
        <w:tc>
          <w:tcPr>
            <w:tcW w:type="dxa" w:w="2044"/>
          </w:tcPr>
          <w:p>
            <w:pPr>
              <w:jc w:val="center"/>
            </w:pPr>
            <w:r/>
            <w:r>
              <w:rPr>
                <w:rFonts w:ascii="Times New Roman" w:hAnsi="Times New Roman"/>
                <w:sz w:val="16"/>
              </w:rPr>
              <w:t>0.9242</w:t>
            </w:r>
          </w:p>
        </w:tc>
        <w:tc>
          <w:tcPr>
            <w:tcW w:type="dxa" w:w="2044"/>
          </w:tcPr>
          <w:p>
            <w:pPr>
              <w:jc w:val="center"/>
            </w:pPr>
            <w:r/>
            <w:r>
              <w:rPr>
                <w:rFonts w:ascii="Times New Roman" w:hAnsi="Times New Roman"/>
                <w:sz w:val="16"/>
              </w:rPr>
              <w:t>0.0464</w:t>
            </w:r>
          </w:p>
        </w:tc>
        <w:tc>
          <w:tcPr>
            <w:tcW w:type="dxa" w:w="2044"/>
          </w:tcPr>
          <w:p>
            <w:pPr>
              <w:jc w:val="center"/>
            </w:pPr>
            <w:r/>
            <w:r>
              <w:rPr>
                <w:rFonts w:ascii="Times New Roman" w:hAnsi="Times New Roman"/>
                <w:sz w:val="16"/>
              </w:rPr>
              <w:t>0.0572</w:t>
            </w:r>
          </w:p>
        </w:tc>
      </w:tr>
      <w:tr>
        <w:tc>
          <w:tcPr>
            <w:tcW w:type="dxa" w:w="2044"/>
          </w:tcPr>
          <w:p>
            <w:pPr>
              <w:jc w:val="left"/>
            </w:pPr>
            <w:r/>
            <w:r>
              <w:rPr>
                <w:rFonts w:ascii="Times New Roman" w:hAnsi="Times New Roman"/>
                <w:sz w:val="16"/>
              </w:rPr>
              <w:t>e) Full pipeline</w:t>
            </w:r>
          </w:p>
        </w:tc>
        <w:tc>
          <w:tcPr>
            <w:tcW w:type="dxa" w:w="2044"/>
          </w:tcPr>
          <w:p>
            <w:pPr>
              <w:jc w:val="center"/>
            </w:pPr>
            <w:r/>
            <w:r>
              <w:rPr>
                <w:rFonts w:ascii="Times New Roman" w:hAnsi="Times New Roman"/>
                <w:sz w:val="16"/>
              </w:rPr>
              <w:t>0.0210</w:t>
            </w:r>
          </w:p>
        </w:tc>
        <w:tc>
          <w:tcPr>
            <w:tcW w:type="dxa" w:w="2044"/>
          </w:tcPr>
          <w:p>
            <w:pPr>
              <w:jc w:val="center"/>
            </w:pPr>
            <w:r/>
            <w:r>
              <w:rPr>
                <w:rFonts w:ascii="Times New Roman" w:hAnsi="Times New Roman"/>
                <w:sz w:val="16"/>
              </w:rPr>
              <w:t>0.9242</w:t>
            </w:r>
          </w:p>
        </w:tc>
        <w:tc>
          <w:tcPr>
            <w:tcW w:type="dxa" w:w="2044"/>
          </w:tcPr>
          <w:p>
            <w:pPr>
              <w:jc w:val="center"/>
            </w:pPr>
            <w:r/>
            <w:r>
              <w:rPr>
                <w:rFonts w:ascii="Times New Roman" w:hAnsi="Times New Roman"/>
                <w:sz w:val="16"/>
              </w:rPr>
              <w:t>0.0464</w:t>
            </w:r>
          </w:p>
        </w:tc>
        <w:tc>
          <w:tcPr>
            <w:tcW w:type="dxa" w:w="2044"/>
          </w:tcPr>
          <w:p>
            <w:pPr>
              <w:jc w:val="center"/>
            </w:pPr>
            <w:r/>
            <w:r>
              <w:rPr>
                <w:rFonts w:ascii="Times New Roman" w:hAnsi="Times New Roman"/>
                <w:sz w:val="16"/>
              </w:rPr>
              <w:t>0.0572</w:t>
            </w:r>
          </w:p>
        </w:tc>
      </w:tr>
    </w:tbl>
    <w:p>
      <w:pPr>
        <w:spacing w:after="80"/>
      </w:pPr>
    </w:p>
    <w:p>
      <w:pPr>
        <w:spacing w:before="120" w:after="40" w:line="240" w:lineRule="auto"/>
        <w:jc w:val="left"/>
      </w:pPr>
      <w:r>
        <w:rPr>
          <w:rFonts w:ascii="Times New Roman" w:hAnsi="Times New Roman"/>
          <w:b/>
          <w:i/>
          <w:sz w:val="20"/>
        </w:rPr>
        <w:t>C. Main Model Comparison (PaySim Dataset)</w:t>
      </w:r>
    </w:p>
    <w:p>
      <w:pPr>
        <w:spacing w:after="40" w:before="20" w:line="240" w:lineRule="auto"/>
        <w:jc w:val="both"/>
      </w:pPr>
      <w:r>
        <w:rPr>
          <w:rFonts w:ascii="Times New Roman" w:hAnsi="Times New Roman"/>
          <w:b w:val="0"/>
          <w:i w:val="0"/>
          <w:sz w:val="20"/>
        </w:rPr>
        <w:t>Table III compares the three tabular models on the PaySim-style dataset at the calibrated threshold of 0.50. XGBoost achieves the highest recall (0.4059) with 41 true positives, while Logistic Regression achieves the highest Average Precision (0.0216) with substantially lower false positives.</w:t>
      </w:r>
    </w:p>
    <w:p>
      <w:pPr>
        <w:spacing w:after="40"/>
        <w:jc w:val="center"/>
      </w:pPr>
      <w:r>
        <w:rPr>
          <w:rFonts w:ascii="Times New Roman" w:hAnsi="Times New Roman"/>
          <w:b/>
          <w:sz w:val="16"/>
        </w:rPr>
        <w:t>TABLE III: Main Model Comparison (PaySim, threshold=0.50)</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1460"/>
        <w:gridCol w:w="1460"/>
        <w:gridCol w:w="1460"/>
        <w:gridCol w:w="1460"/>
        <w:gridCol w:w="1460"/>
        <w:gridCol w:w="1460"/>
        <w:gridCol w:w="1460"/>
      </w:tblGrid>
      <w:tr>
        <w:tc>
          <w:tcPr>
            <w:tcW w:type="dxa" w:w="1460"/>
            <w:shd w:fill="D9E2F3"/>
          </w:tcPr>
          <w:p>
            <w:pPr>
              <w:jc w:val="center"/>
            </w:pPr>
            <w:r/>
            <w:r>
              <w:rPr>
                <w:rFonts w:ascii="Times New Roman" w:hAnsi="Times New Roman"/>
                <w:b/>
                <w:sz w:val="16"/>
              </w:rPr>
              <w:t>Model</w:t>
            </w:r>
          </w:p>
        </w:tc>
        <w:tc>
          <w:tcPr>
            <w:tcW w:type="dxa" w:w="1460"/>
            <w:shd w:fill="D9E2F3"/>
          </w:tcPr>
          <w:p>
            <w:pPr>
              <w:jc w:val="center"/>
            </w:pPr>
            <w:r/>
            <w:r>
              <w:rPr>
                <w:rFonts w:ascii="Times New Roman" w:hAnsi="Times New Roman"/>
                <w:b/>
                <w:sz w:val="16"/>
              </w:rPr>
              <w:t>Avg-PR</w:t>
            </w:r>
          </w:p>
        </w:tc>
        <w:tc>
          <w:tcPr>
            <w:tcW w:type="dxa" w:w="1460"/>
            <w:shd w:fill="D9E2F3"/>
          </w:tcPr>
          <w:p>
            <w:pPr>
              <w:jc w:val="center"/>
            </w:pPr>
            <w:r/>
            <w:r>
              <w:rPr>
                <w:rFonts w:ascii="Times New Roman" w:hAnsi="Times New Roman"/>
                <w:b/>
                <w:sz w:val="16"/>
              </w:rPr>
              <w:t>AUC-ROC</w:t>
            </w:r>
          </w:p>
        </w:tc>
        <w:tc>
          <w:tcPr>
            <w:tcW w:type="dxa" w:w="1460"/>
            <w:shd w:fill="D9E2F3"/>
          </w:tcPr>
          <w:p>
            <w:pPr>
              <w:jc w:val="center"/>
            </w:pPr>
            <w:r/>
            <w:r>
              <w:rPr>
                <w:rFonts w:ascii="Times New Roman" w:hAnsi="Times New Roman"/>
                <w:b/>
                <w:sz w:val="16"/>
              </w:rPr>
              <w:t>F1@opt</w:t>
            </w:r>
          </w:p>
        </w:tc>
        <w:tc>
          <w:tcPr>
            <w:tcW w:type="dxa" w:w="1460"/>
            <w:shd w:fill="D9E2F3"/>
          </w:tcPr>
          <w:p>
            <w:pPr>
              <w:jc w:val="center"/>
            </w:pPr>
            <w:r/>
            <w:r>
              <w:rPr>
                <w:rFonts w:ascii="Times New Roman" w:hAnsi="Times New Roman"/>
                <w:b/>
                <w:sz w:val="16"/>
              </w:rPr>
              <w:t>TP</w:t>
            </w:r>
          </w:p>
        </w:tc>
        <w:tc>
          <w:tcPr>
            <w:tcW w:type="dxa" w:w="1460"/>
            <w:shd w:fill="D9E2F3"/>
          </w:tcPr>
          <w:p>
            <w:pPr>
              <w:jc w:val="center"/>
            </w:pPr>
            <w:r/>
            <w:r>
              <w:rPr>
                <w:rFonts w:ascii="Times New Roman" w:hAnsi="Times New Roman"/>
                <w:b/>
                <w:sz w:val="16"/>
              </w:rPr>
              <w:t>FP</w:t>
            </w:r>
          </w:p>
        </w:tc>
        <w:tc>
          <w:tcPr>
            <w:tcW w:type="dxa" w:w="1460"/>
            <w:shd w:fill="D9E2F3"/>
          </w:tcPr>
          <w:p>
            <w:pPr>
              <w:jc w:val="center"/>
            </w:pPr>
            <w:r/>
            <w:r>
              <w:rPr>
                <w:rFonts w:ascii="Times New Roman" w:hAnsi="Times New Roman"/>
                <w:b/>
                <w:sz w:val="16"/>
              </w:rPr>
              <w:t>FN</w:t>
            </w:r>
          </w:p>
        </w:tc>
      </w:tr>
      <w:tr>
        <w:tc>
          <w:tcPr>
            <w:tcW w:type="dxa" w:w="1460"/>
          </w:tcPr>
          <w:p>
            <w:pPr>
              <w:jc w:val="left"/>
            </w:pPr>
            <w:r/>
            <w:r>
              <w:rPr>
                <w:rFonts w:ascii="Times New Roman" w:hAnsi="Times New Roman"/>
                <w:sz w:val="16"/>
              </w:rPr>
              <w:t>Logistic Regression</w:t>
            </w:r>
          </w:p>
        </w:tc>
        <w:tc>
          <w:tcPr>
            <w:tcW w:type="dxa" w:w="1460"/>
          </w:tcPr>
          <w:p>
            <w:pPr>
              <w:jc w:val="center"/>
            </w:pPr>
            <w:r/>
            <w:r>
              <w:rPr>
                <w:rFonts w:ascii="Times New Roman" w:hAnsi="Times New Roman"/>
                <w:sz w:val="16"/>
              </w:rPr>
              <w:t>0.0216</w:t>
            </w:r>
          </w:p>
        </w:tc>
        <w:tc>
          <w:tcPr>
            <w:tcW w:type="dxa" w:w="1460"/>
          </w:tcPr>
          <w:p>
            <w:pPr>
              <w:jc w:val="center"/>
            </w:pPr>
            <w:r/>
            <w:r>
              <w:rPr>
                <w:rFonts w:ascii="Times New Roman" w:hAnsi="Times New Roman"/>
                <w:sz w:val="16"/>
              </w:rPr>
              <w:t>0.9256</w:t>
            </w:r>
          </w:p>
        </w:tc>
        <w:tc>
          <w:tcPr>
            <w:tcW w:type="dxa" w:w="1460"/>
          </w:tcPr>
          <w:p>
            <w:pPr>
              <w:jc w:val="center"/>
            </w:pPr>
            <w:r/>
            <w:r>
              <w:rPr>
                <w:rFonts w:ascii="Times New Roman" w:hAnsi="Times New Roman"/>
                <w:sz w:val="16"/>
              </w:rPr>
              <w:t>0.0488</w:t>
            </w:r>
          </w:p>
        </w:tc>
        <w:tc>
          <w:tcPr>
            <w:tcW w:type="dxa" w:w="1460"/>
          </w:tcPr>
          <w:p>
            <w:pPr>
              <w:jc w:val="center"/>
            </w:pPr>
            <w:r/>
            <w:r>
              <w:rPr>
                <w:rFonts w:ascii="Times New Roman" w:hAnsi="Times New Roman"/>
                <w:sz w:val="16"/>
              </w:rPr>
              <w:t>9</w:t>
            </w:r>
          </w:p>
        </w:tc>
        <w:tc>
          <w:tcPr>
            <w:tcW w:type="dxa" w:w="1460"/>
          </w:tcPr>
          <w:p>
            <w:pPr>
              <w:jc w:val="center"/>
            </w:pPr>
            <w:r/>
            <w:r>
              <w:rPr>
                <w:rFonts w:ascii="Times New Roman" w:hAnsi="Times New Roman"/>
                <w:sz w:val="16"/>
              </w:rPr>
              <w:t>479</w:t>
            </w:r>
          </w:p>
        </w:tc>
        <w:tc>
          <w:tcPr>
            <w:tcW w:type="dxa" w:w="1460"/>
          </w:tcPr>
          <w:p>
            <w:pPr>
              <w:jc w:val="center"/>
            </w:pPr>
            <w:r/>
            <w:r>
              <w:rPr>
                <w:rFonts w:ascii="Times New Roman" w:hAnsi="Times New Roman"/>
                <w:sz w:val="16"/>
              </w:rPr>
              <w:t>92</w:t>
            </w:r>
          </w:p>
        </w:tc>
      </w:tr>
      <w:tr>
        <w:tc>
          <w:tcPr>
            <w:tcW w:type="dxa" w:w="1460"/>
          </w:tcPr>
          <w:p>
            <w:pPr>
              <w:jc w:val="left"/>
            </w:pPr>
            <w:r/>
            <w:r>
              <w:rPr>
                <w:rFonts w:ascii="Times New Roman" w:hAnsi="Times New Roman"/>
                <w:sz w:val="16"/>
              </w:rPr>
              <w:t>Random Forest</w:t>
            </w:r>
          </w:p>
        </w:tc>
        <w:tc>
          <w:tcPr>
            <w:tcW w:type="dxa" w:w="1460"/>
          </w:tcPr>
          <w:p>
            <w:pPr>
              <w:jc w:val="center"/>
            </w:pPr>
            <w:r/>
            <w:r>
              <w:rPr>
                <w:rFonts w:ascii="Times New Roman" w:hAnsi="Times New Roman"/>
                <w:sz w:val="16"/>
              </w:rPr>
              <w:t>0.0192</w:t>
            </w:r>
          </w:p>
        </w:tc>
        <w:tc>
          <w:tcPr>
            <w:tcW w:type="dxa" w:w="1460"/>
          </w:tcPr>
          <w:p>
            <w:pPr>
              <w:jc w:val="center"/>
            </w:pPr>
            <w:r/>
            <w:r>
              <w:rPr>
                <w:rFonts w:ascii="Times New Roman" w:hAnsi="Times New Roman"/>
                <w:sz w:val="16"/>
              </w:rPr>
              <w:t>0.8980</w:t>
            </w:r>
          </w:p>
        </w:tc>
        <w:tc>
          <w:tcPr>
            <w:tcW w:type="dxa" w:w="1460"/>
          </w:tcPr>
          <w:p>
            <w:pPr>
              <w:jc w:val="center"/>
            </w:pPr>
            <w:r/>
            <w:r>
              <w:rPr>
                <w:rFonts w:ascii="Times New Roman" w:hAnsi="Times New Roman"/>
                <w:sz w:val="16"/>
              </w:rPr>
              <w:t>0.0460</w:t>
            </w:r>
          </w:p>
        </w:tc>
        <w:tc>
          <w:tcPr>
            <w:tcW w:type="dxa" w:w="1460"/>
          </w:tcPr>
          <w:p>
            <w:pPr>
              <w:jc w:val="center"/>
            </w:pPr>
            <w:r/>
            <w:r>
              <w:rPr>
                <w:rFonts w:ascii="Times New Roman" w:hAnsi="Times New Roman"/>
                <w:sz w:val="16"/>
              </w:rPr>
              <w:t>9</w:t>
            </w:r>
          </w:p>
        </w:tc>
        <w:tc>
          <w:tcPr>
            <w:tcW w:type="dxa" w:w="1460"/>
          </w:tcPr>
          <w:p>
            <w:pPr>
              <w:jc w:val="center"/>
            </w:pPr>
            <w:r/>
            <w:r>
              <w:rPr>
                <w:rFonts w:ascii="Times New Roman" w:hAnsi="Times New Roman"/>
                <w:sz w:val="16"/>
              </w:rPr>
              <w:t>685</w:t>
            </w:r>
          </w:p>
        </w:tc>
        <w:tc>
          <w:tcPr>
            <w:tcW w:type="dxa" w:w="1460"/>
          </w:tcPr>
          <w:p>
            <w:pPr>
              <w:jc w:val="center"/>
            </w:pPr>
            <w:r/>
            <w:r>
              <w:rPr>
                <w:rFonts w:ascii="Times New Roman" w:hAnsi="Times New Roman"/>
                <w:sz w:val="16"/>
              </w:rPr>
              <w:t>92</w:t>
            </w:r>
          </w:p>
        </w:tc>
      </w:tr>
      <w:tr>
        <w:tc>
          <w:tcPr>
            <w:tcW w:type="dxa" w:w="1460"/>
          </w:tcPr>
          <w:p>
            <w:pPr>
              <w:jc w:val="left"/>
            </w:pPr>
            <w:r/>
            <w:r>
              <w:rPr>
                <w:rFonts w:ascii="Times New Roman" w:hAnsi="Times New Roman"/>
                <w:sz w:val="16"/>
              </w:rPr>
              <w:t>XGBoost</w:t>
            </w:r>
          </w:p>
        </w:tc>
        <w:tc>
          <w:tcPr>
            <w:tcW w:type="dxa" w:w="1460"/>
          </w:tcPr>
          <w:p>
            <w:pPr>
              <w:jc w:val="center"/>
            </w:pPr>
            <w:r/>
            <w:r>
              <w:rPr>
                <w:rFonts w:ascii="Times New Roman" w:hAnsi="Times New Roman"/>
                <w:sz w:val="16"/>
              </w:rPr>
              <w:t>0.0210</w:t>
            </w:r>
          </w:p>
        </w:tc>
        <w:tc>
          <w:tcPr>
            <w:tcW w:type="dxa" w:w="1460"/>
          </w:tcPr>
          <w:p>
            <w:pPr>
              <w:jc w:val="center"/>
            </w:pPr>
            <w:r/>
            <w:r>
              <w:rPr>
                <w:rFonts w:ascii="Times New Roman" w:hAnsi="Times New Roman"/>
                <w:sz w:val="16"/>
              </w:rPr>
              <w:t>0.9242</w:t>
            </w:r>
          </w:p>
        </w:tc>
        <w:tc>
          <w:tcPr>
            <w:tcW w:type="dxa" w:w="1460"/>
          </w:tcPr>
          <w:p>
            <w:pPr>
              <w:jc w:val="center"/>
            </w:pPr>
            <w:r/>
            <w:r>
              <w:rPr>
                <w:rFonts w:ascii="Times New Roman" w:hAnsi="Times New Roman"/>
                <w:sz w:val="16"/>
              </w:rPr>
              <w:t>0.0464</w:t>
            </w:r>
          </w:p>
        </w:tc>
        <w:tc>
          <w:tcPr>
            <w:tcW w:type="dxa" w:w="1460"/>
          </w:tcPr>
          <w:p>
            <w:pPr>
              <w:jc w:val="center"/>
            </w:pPr>
            <w:r/>
            <w:r>
              <w:rPr>
                <w:rFonts w:ascii="Times New Roman" w:hAnsi="Times New Roman"/>
                <w:sz w:val="16"/>
              </w:rPr>
              <w:t>41</w:t>
            </w:r>
          </w:p>
        </w:tc>
        <w:tc>
          <w:tcPr>
            <w:tcW w:type="dxa" w:w="1460"/>
          </w:tcPr>
          <w:p>
            <w:pPr>
              <w:jc w:val="center"/>
            </w:pPr>
            <w:r/>
            <w:r>
              <w:rPr>
                <w:rFonts w:ascii="Times New Roman" w:hAnsi="Times New Roman"/>
                <w:sz w:val="16"/>
              </w:rPr>
              <w:t>1793</w:t>
            </w:r>
          </w:p>
        </w:tc>
        <w:tc>
          <w:tcPr>
            <w:tcW w:type="dxa" w:w="1460"/>
          </w:tcPr>
          <w:p>
            <w:pPr>
              <w:jc w:val="center"/>
            </w:pPr>
            <w:r/>
            <w:r>
              <w:rPr>
                <w:rFonts w:ascii="Times New Roman" w:hAnsi="Times New Roman"/>
                <w:sz w:val="16"/>
              </w:rPr>
              <w:t>60</w:t>
            </w:r>
          </w:p>
        </w:tc>
      </w:tr>
    </w:tbl>
    <w:p>
      <w:pPr>
        <w:spacing w:after="80"/>
      </w:pPr>
    </w:p>
    <w:p>
      <w:pPr>
        <w:sectPr>
          <w:type w:val="continuous"/>
          <w:pgSz w:w="12240" w:h="15840"/>
          <w:pgMar w:top="1440" w:right="1009" w:bottom="1440" w:left="1009" w:header="720" w:footer="720" w:gutter="0"/>
          <w:cols w:space="720"/>
          <w:docGrid w:linePitch="360"/>
          <w:cols w:num="2" w:space="360"/>
        </w:sectPr>
      </w:pPr>
    </w:p>
    <w:p>
      <w:pPr>
        <w:jc w:val="center"/>
      </w:pPr>
      <w:r>
        <w:drawing>
          <wp:inline xmlns:a="http://schemas.openxmlformats.org/drawingml/2006/main" xmlns:pic="http://schemas.openxmlformats.org/drawingml/2006/picture">
            <wp:extent cx="6400800" cy="1630152"/>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6400800" cy="1630152"/>
                    </a:xfrm>
                    <a:prstGeom prst="rect"/>
                  </pic:spPr>
                </pic:pic>
              </a:graphicData>
            </a:graphic>
          </wp:inline>
        </w:drawing>
      </w:r>
    </w:p>
    <w:p>
      <w:pPr>
        <w:spacing w:after="120"/>
        <w:jc w:val="center"/>
      </w:pPr>
      <w:r>
        <w:rPr>
          <w:rFonts w:ascii="Times New Roman" w:hAnsi="Times New Roman"/>
          <w:i/>
          <w:sz w:val="18"/>
        </w:rPr>
        <w:t>Fig. 1. Four-panel performance comparison: (a) Model metrics bar chart, (b) Precision-Recall curves, (c) 5-step ablation study, (d) Benchmark comparison scatter plot.</w:t>
      </w:r>
    </w:p>
    <w:p>
      <w:pPr>
        <w:sectPr>
          <w:type w:val="continuous"/>
          <w:pgSz w:w="12240" w:h="15840"/>
          <w:pgMar w:top="1440" w:right="1009" w:bottom="1440" w:left="1009" w:header="720" w:footer="720" w:gutter="0"/>
          <w:cols w:space="720"/>
          <w:docGrid w:linePitch="360"/>
          <w:cols w:num="2" w:space="360"/>
          <w:cols w:num="1"/>
        </w:sectPr>
      </w:pPr>
    </w:p>
    <w:p>
      <w:pPr>
        <w:spacing w:before="120" w:after="40" w:line="240" w:lineRule="auto"/>
        <w:jc w:val="left"/>
      </w:pPr>
      <w:r>
        <w:rPr>
          <w:rFonts w:ascii="Times New Roman" w:hAnsi="Times New Roman"/>
          <w:b/>
          <w:i/>
          <w:sz w:val="20"/>
        </w:rPr>
        <w:t>D. IEEE-CIS Cross-Dataset Validation</w:t>
      </w:r>
    </w:p>
    <w:p>
      <w:pPr>
        <w:spacing w:after="40" w:before="20" w:line="240" w:lineRule="auto"/>
        <w:jc w:val="both"/>
      </w:pPr>
      <w:r>
        <w:rPr>
          <w:rFonts w:ascii="Times New Roman" w:hAnsi="Times New Roman"/>
          <w:b w:val="0"/>
          <w:i w:val="0"/>
          <w:sz w:val="20"/>
        </w:rPr>
        <w:t>Table IV presents results on the IEEE-CIS real-world dataset. Performance is substantially higher than on the PaySim-style data, reflecting the more structured fraud patterns in the IEEE-CIS dataset. Random Forest achieves the best precision (F1 = 0.5680), while XGBoost achieves the highest recall. Both substantially exceed all published baselines in Table VI.</w:t>
      </w:r>
    </w:p>
    <w:p>
      <w:pPr>
        <w:spacing w:after="40"/>
        <w:jc w:val="center"/>
      </w:pPr>
      <w:r>
        <w:rPr>
          <w:rFonts w:ascii="Times New Roman" w:hAnsi="Times New Roman"/>
          <w:b/>
          <w:sz w:val="16"/>
        </w:rPr>
        <w:t>TABLE IV: IEEE-CIS Cross-Dataset Validation (150K rows, 2.65% fraud)</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1704"/>
        <w:gridCol w:w="1704"/>
        <w:gridCol w:w="1704"/>
        <w:gridCol w:w="1704"/>
        <w:gridCol w:w="1704"/>
        <w:gridCol w:w="1704"/>
      </w:tblGrid>
      <w:tr>
        <w:tc>
          <w:tcPr>
            <w:tcW w:type="dxa" w:w="1704"/>
            <w:shd w:fill="D9E2F3"/>
          </w:tcPr>
          <w:p>
            <w:pPr>
              <w:jc w:val="center"/>
            </w:pPr>
            <w:r/>
            <w:r>
              <w:rPr>
                <w:rFonts w:ascii="Times New Roman" w:hAnsi="Times New Roman"/>
                <w:b/>
                <w:sz w:val="16"/>
              </w:rPr>
              <w:t>Model</w:t>
            </w:r>
          </w:p>
        </w:tc>
        <w:tc>
          <w:tcPr>
            <w:tcW w:type="dxa" w:w="1704"/>
            <w:shd w:fill="D9E2F3"/>
          </w:tcPr>
          <w:p>
            <w:pPr>
              <w:jc w:val="center"/>
            </w:pPr>
            <w:r/>
            <w:r>
              <w:rPr>
                <w:rFonts w:ascii="Times New Roman" w:hAnsi="Times New Roman"/>
                <w:b/>
                <w:sz w:val="16"/>
              </w:rPr>
              <w:t>Avg-PR</w:t>
            </w:r>
          </w:p>
        </w:tc>
        <w:tc>
          <w:tcPr>
            <w:tcW w:type="dxa" w:w="1704"/>
            <w:shd w:fill="D9E2F3"/>
          </w:tcPr>
          <w:p>
            <w:pPr>
              <w:jc w:val="center"/>
            </w:pPr>
            <w:r/>
            <w:r>
              <w:rPr>
                <w:rFonts w:ascii="Times New Roman" w:hAnsi="Times New Roman"/>
                <w:b/>
                <w:sz w:val="16"/>
              </w:rPr>
              <w:t>AUC-ROC</w:t>
            </w:r>
          </w:p>
        </w:tc>
        <w:tc>
          <w:tcPr>
            <w:tcW w:type="dxa" w:w="1704"/>
            <w:shd w:fill="D9E2F3"/>
          </w:tcPr>
          <w:p>
            <w:pPr>
              <w:jc w:val="center"/>
            </w:pPr>
            <w:r/>
            <w:r>
              <w:rPr>
                <w:rFonts w:ascii="Times New Roman" w:hAnsi="Times New Roman"/>
                <w:b/>
                <w:sz w:val="16"/>
              </w:rPr>
              <w:t>F1@opt</w:t>
            </w:r>
          </w:p>
        </w:tc>
        <w:tc>
          <w:tcPr>
            <w:tcW w:type="dxa" w:w="1704"/>
            <w:shd w:fill="D9E2F3"/>
          </w:tcPr>
          <w:p>
            <w:pPr>
              <w:jc w:val="center"/>
            </w:pPr>
            <w:r/>
            <w:r>
              <w:rPr>
                <w:rFonts w:ascii="Times New Roman" w:hAnsi="Times New Roman"/>
                <w:b/>
                <w:sz w:val="16"/>
              </w:rPr>
              <w:t>Recall</w:t>
            </w:r>
          </w:p>
        </w:tc>
        <w:tc>
          <w:tcPr>
            <w:tcW w:type="dxa" w:w="1704"/>
            <w:shd w:fill="D9E2F3"/>
          </w:tcPr>
          <w:p>
            <w:pPr>
              <w:jc w:val="center"/>
            </w:pPr>
            <w:r/>
            <w:r>
              <w:rPr>
                <w:rFonts w:ascii="Times New Roman" w:hAnsi="Times New Roman"/>
                <w:b/>
                <w:sz w:val="16"/>
              </w:rPr>
              <w:t>Precision</w:t>
            </w:r>
          </w:p>
        </w:tc>
      </w:tr>
      <w:tr>
        <w:tc>
          <w:tcPr>
            <w:tcW w:type="dxa" w:w="1704"/>
          </w:tcPr>
          <w:p>
            <w:pPr>
              <w:jc w:val="left"/>
            </w:pPr>
            <w:r/>
            <w:r>
              <w:rPr>
                <w:rFonts w:ascii="Times New Roman" w:hAnsi="Times New Roman"/>
                <w:sz w:val="16"/>
              </w:rPr>
              <w:t>LR (IEEE-CIS)</w:t>
            </w:r>
          </w:p>
        </w:tc>
        <w:tc>
          <w:tcPr>
            <w:tcW w:type="dxa" w:w="1704"/>
          </w:tcPr>
          <w:p>
            <w:pPr>
              <w:jc w:val="center"/>
            </w:pPr>
            <w:r/>
            <w:r>
              <w:rPr>
                <w:rFonts w:ascii="Times New Roman" w:hAnsi="Times New Roman"/>
                <w:sz w:val="16"/>
              </w:rPr>
              <w:t>0.1309</w:t>
            </w:r>
          </w:p>
        </w:tc>
        <w:tc>
          <w:tcPr>
            <w:tcW w:type="dxa" w:w="1704"/>
          </w:tcPr>
          <w:p>
            <w:pPr>
              <w:jc w:val="center"/>
            </w:pPr>
            <w:r/>
            <w:r>
              <w:rPr>
                <w:rFonts w:ascii="Times New Roman" w:hAnsi="Times New Roman"/>
                <w:sz w:val="16"/>
              </w:rPr>
              <w:t>0.7928</w:t>
            </w:r>
          </w:p>
        </w:tc>
        <w:tc>
          <w:tcPr>
            <w:tcW w:type="dxa" w:w="1704"/>
          </w:tcPr>
          <w:p>
            <w:pPr>
              <w:jc w:val="center"/>
            </w:pPr>
            <w:r/>
            <w:r>
              <w:rPr>
                <w:rFonts w:ascii="Times New Roman" w:hAnsi="Times New Roman"/>
                <w:sz w:val="16"/>
              </w:rPr>
              <w:t>0.2106</w:t>
            </w:r>
          </w:p>
        </w:tc>
        <w:tc>
          <w:tcPr>
            <w:tcW w:type="dxa" w:w="1704"/>
          </w:tcPr>
          <w:p>
            <w:pPr>
              <w:jc w:val="center"/>
            </w:pPr>
            <w:r/>
            <w:r>
              <w:rPr>
                <w:rFonts w:ascii="Times New Roman" w:hAnsi="Times New Roman"/>
                <w:sz w:val="16"/>
              </w:rPr>
              <w:t>0.1297</w:t>
            </w:r>
          </w:p>
        </w:tc>
        <w:tc>
          <w:tcPr>
            <w:tcW w:type="dxa" w:w="1704"/>
          </w:tcPr>
          <w:p>
            <w:pPr>
              <w:jc w:val="center"/>
            </w:pPr>
            <w:r/>
            <w:r>
              <w:rPr>
                <w:rFonts w:ascii="Times New Roman" w:hAnsi="Times New Roman"/>
                <w:sz w:val="16"/>
              </w:rPr>
              <w:t>0.2196</w:t>
            </w:r>
          </w:p>
        </w:tc>
      </w:tr>
      <w:tr>
        <w:tc>
          <w:tcPr>
            <w:tcW w:type="dxa" w:w="1704"/>
          </w:tcPr>
          <w:p>
            <w:pPr>
              <w:jc w:val="left"/>
            </w:pPr>
            <w:r/>
            <w:r>
              <w:rPr>
                <w:rFonts w:ascii="Times New Roman" w:hAnsi="Times New Roman"/>
                <w:sz w:val="16"/>
              </w:rPr>
              <w:t>RF (IEEE-CIS)</w:t>
            </w:r>
          </w:p>
        </w:tc>
        <w:tc>
          <w:tcPr>
            <w:tcW w:type="dxa" w:w="1704"/>
          </w:tcPr>
          <w:p>
            <w:pPr>
              <w:jc w:val="center"/>
            </w:pPr>
            <w:r/>
            <w:r>
              <w:rPr>
                <w:rFonts w:ascii="Times New Roman" w:hAnsi="Times New Roman"/>
                <w:sz w:val="16"/>
              </w:rPr>
              <w:t>0.5585</w:t>
            </w:r>
          </w:p>
        </w:tc>
        <w:tc>
          <w:tcPr>
            <w:tcW w:type="dxa" w:w="1704"/>
          </w:tcPr>
          <w:p>
            <w:pPr>
              <w:jc w:val="center"/>
            </w:pPr>
            <w:r/>
            <w:r>
              <w:rPr>
                <w:rFonts w:ascii="Times New Roman" w:hAnsi="Times New Roman"/>
                <w:sz w:val="16"/>
              </w:rPr>
              <w:t>0.9057</w:t>
            </w:r>
          </w:p>
        </w:tc>
        <w:tc>
          <w:tcPr>
            <w:tcW w:type="dxa" w:w="1704"/>
          </w:tcPr>
          <w:p>
            <w:pPr>
              <w:jc w:val="center"/>
            </w:pPr>
            <w:r/>
            <w:r>
              <w:rPr>
                <w:rFonts w:ascii="Times New Roman" w:hAnsi="Times New Roman"/>
                <w:sz w:val="16"/>
              </w:rPr>
              <w:t>0.5680</w:t>
            </w:r>
          </w:p>
        </w:tc>
        <w:tc>
          <w:tcPr>
            <w:tcW w:type="dxa" w:w="1704"/>
          </w:tcPr>
          <w:p>
            <w:pPr>
              <w:jc w:val="center"/>
            </w:pPr>
            <w:r/>
            <w:r>
              <w:rPr>
                <w:rFonts w:ascii="Times New Roman" w:hAnsi="Times New Roman"/>
                <w:sz w:val="16"/>
              </w:rPr>
              <w:t>0.5050</w:t>
            </w:r>
          </w:p>
        </w:tc>
        <w:tc>
          <w:tcPr>
            <w:tcW w:type="dxa" w:w="1704"/>
          </w:tcPr>
          <w:p>
            <w:pPr>
              <w:jc w:val="center"/>
            </w:pPr>
            <w:r/>
            <w:r>
              <w:rPr>
                <w:rFonts w:ascii="Times New Roman" w:hAnsi="Times New Roman"/>
                <w:sz w:val="16"/>
              </w:rPr>
              <w:t>0.6355</w:t>
            </w:r>
          </w:p>
        </w:tc>
      </w:tr>
      <w:tr>
        <w:tc>
          <w:tcPr>
            <w:tcW w:type="dxa" w:w="1704"/>
          </w:tcPr>
          <w:p>
            <w:pPr>
              <w:jc w:val="left"/>
            </w:pPr>
            <w:r/>
            <w:r>
              <w:rPr>
                <w:rFonts w:ascii="Times New Roman" w:hAnsi="Times New Roman"/>
                <w:sz w:val="16"/>
              </w:rPr>
              <w:t>XGB (IEEE-CIS)</w:t>
            </w:r>
          </w:p>
        </w:tc>
        <w:tc>
          <w:tcPr>
            <w:tcW w:type="dxa" w:w="1704"/>
          </w:tcPr>
          <w:p>
            <w:pPr>
              <w:jc w:val="center"/>
            </w:pPr>
            <w:r/>
            <w:r>
              <w:rPr>
                <w:rFonts w:ascii="Times New Roman" w:hAnsi="Times New Roman"/>
                <w:sz w:val="16"/>
              </w:rPr>
              <w:t>0.5546</w:t>
            </w:r>
          </w:p>
        </w:tc>
        <w:tc>
          <w:tcPr>
            <w:tcW w:type="dxa" w:w="1704"/>
          </w:tcPr>
          <w:p>
            <w:pPr>
              <w:jc w:val="center"/>
            </w:pPr>
            <w:r/>
            <w:r>
              <w:rPr>
                <w:rFonts w:ascii="Times New Roman" w:hAnsi="Times New Roman"/>
                <w:sz w:val="16"/>
              </w:rPr>
              <w:t>0.9188</w:t>
            </w:r>
          </w:p>
        </w:tc>
        <w:tc>
          <w:tcPr>
            <w:tcW w:type="dxa" w:w="1704"/>
          </w:tcPr>
          <w:p>
            <w:pPr>
              <w:jc w:val="center"/>
            </w:pPr>
            <w:r/>
            <w:r>
              <w:rPr>
                <w:rFonts w:ascii="Times New Roman" w:hAnsi="Times New Roman"/>
                <w:sz w:val="16"/>
              </w:rPr>
              <w:t>0.5510</w:t>
            </w:r>
          </w:p>
        </w:tc>
        <w:tc>
          <w:tcPr>
            <w:tcW w:type="dxa" w:w="1704"/>
          </w:tcPr>
          <w:p>
            <w:pPr>
              <w:jc w:val="center"/>
            </w:pPr>
            <w:r/>
            <w:r>
              <w:rPr>
                <w:rFonts w:ascii="Times New Roman" w:hAnsi="Times New Roman"/>
                <w:sz w:val="16"/>
              </w:rPr>
              <w:t>0.6751</w:t>
            </w:r>
          </w:p>
        </w:tc>
        <w:tc>
          <w:tcPr>
            <w:tcW w:type="dxa" w:w="1704"/>
          </w:tcPr>
          <w:p>
            <w:pPr>
              <w:jc w:val="center"/>
            </w:pPr>
            <w:r/>
            <w:r>
              <w:rPr>
                <w:rFonts w:ascii="Times New Roman" w:hAnsi="Times New Roman"/>
                <w:sz w:val="16"/>
              </w:rPr>
              <w:t>0.2958</w:t>
            </w:r>
          </w:p>
        </w:tc>
      </w:tr>
    </w:tbl>
    <w:p>
      <w:pPr>
        <w:spacing w:after="80"/>
      </w:pPr>
    </w:p>
    <w:p>
      <w:pPr>
        <w:spacing w:before="120" w:after="40" w:line="240" w:lineRule="auto"/>
        <w:jc w:val="left"/>
      </w:pPr>
      <w:r>
        <w:rPr>
          <w:rFonts w:ascii="Times New Roman" w:hAnsi="Times New Roman"/>
          <w:b/>
          <w:i/>
          <w:sz w:val="20"/>
        </w:rPr>
        <w:t>E. GNN Comparison</w:t>
      </w:r>
    </w:p>
    <w:p>
      <w:pPr>
        <w:spacing w:after="40" w:before="20" w:line="240" w:lineRule="auto"/>
        <w:jc w:val="both"/>
      </w:pPr>
      <w:r>
        <w:rPr>
          <w:rFonts w:ascii="Times New Roman" w:hAnsi="Times New Roman"/>
          <w:b w:val="0"/>
          <w:i w:val="0"/>
          <w:sz w:val="20"/>
        </w:rPr>
        <w:t>Table V presents GNN results trained on the PaySim transaction graph (150,000 nodes, 13,604 edges, 8 node features). GAT achieves the highest AUC-ROC (0.9983) while GraphSAGE achieves the highest Average Precision (0.5280). All three GNN architectures substantially outperform tabular models on both metrics, confirming that graph structure carries predictive signal beyond tabular features alone.</w:t>
      </w:r>
    </w:p>
    <w:p>
      <w:pPr>
        <w:spacing w:after="40"/>
        <w:jc w:val="center"/>
      </w:pPr>
      <w:r>
        <w:rPr>
          <w:rFonts w:ascii="Times New Roman" w:hAnsi="Times New Roman"/>
          <w:b/>
          <w:sz w:val="16"/>
        </w:rPr>
        <w:t>TABLE V: GNN Architecture Comparison (PaySim, transductive)</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555"/>
        <w:gridCol w:w="2555"/>
        <w:gridCol w:w="2555"/>
        <w:gridCol w:w="2555"/>
      </w:tblGrid>
      <w:tr>
        <w:tc>
          <w:tcPr>
            <w:tcW w:type="dxa" w:w="2555"/>
            <w:shd w:fill="D9E2F3"/>
          </w:tcPr>
          <w:p>
            <w:pPr>
              <w:jc w:val="center"/>
            </w:pPr>
            <w:r/>
            <w:r>
              <w:rPr>
                <w:rFonts w:ascii="Times New Roman" w:hAnsi="Times New Roman"/>
                <w:b/>
                <w:sz w:val="16"/>
              </w:rPr>
              <w:t>Architecture</w:t>
            </w:r>
          </w:p>
        </w:tc>
        <w:tc>
          <w:tcPr>
            <w:tcW w:type="dxa" w:w="2555"/>
            <w:shd w:fill="D9E2F3"/>
          </w:tcPr>
          <w:p>
            <w:pPr>
              <w:jc w:val="center"/>
            </w:pPr>
            <w:r/>
            <w:r>
              <w:rPr>
                <w:rFonts w:ascii="Times New Roman" w:hAnsi="Times New Roman"/>
                <w:b/>
                <w:sz w:val="16"/>
              </w:rPr>
              <w:t>Avg-PR</w:t>
            </w:r>
          </w:p>
        </w:tc>
        <w:tc>
          <w:tcPr>
            <w:tcW w:type="dxa" w:w="2555"/>
            <w:shd w:fill="D9E2F3"/>
          </w:tcPr>
          <w:p>
            <w:pPr>
              <w:jc w:val="center"/>
            </w:pPr>
            <w:r/>
            <w:r>
              <w:rPr>
                <w:rFonts w:ascii="Times New Roman" w:hAnsi="Times New Roman"/>
                <w:b/>
                <w:sz w:val="16"/>
              </w:rPr>
              <w:t>AUC-ROC</w:t>
            </w:r>
          </w:p>
        </w:tc>
        <w:tc>
          <w:tcPr>
            <w:tcW w:type="dxa" w:w="2555"/>
            <w:shd w:fill="D9E2F3"/>
          </w:tcPr>
          <w:p>
            <w:pPr>
              <w:jc w:val="center"/>
            </w:pPr>
            <w:r/>
            <w:r>
              <w:rPr>
                <w:rFonts w:ascii="Times New Roman" w:hAnsi="Times New Roman"/>
                <w:b/>
                <w:sz w:val="16"/>
              </w:rPr>
              <w:t>Inference Latency</w:t>
            </w:r>
          </w:p>
        </w:tc>
      </w:tr>
      <w:tr>
        <w:tc>
          <w:tcPr>
            <w:tcW w:type="dxa" w:w="2555"/>
          </w:tcPr>
          <w:p>
            <w:pPr>
              <w:jc w:val="left"/>
            </w:pPr>
            <w:r/>
            <w:r>
              <w:rPr>
                <w:rFonts w:ascii="Times New Roman" w:hAnsi="Times New Roman"/>
                <w:sz w:val="16"/>
              </w:rPr>
              <w:t>GCN</w:t>
            </w:r>
          </w:p>
        </w:tc>
        <w:tc>
          <w:tcPr>
            <w:tcW w:type="dxa" w:w="2555"/>
          </w:tcPr>
          <w:p>
            <w:pPr>
              <w:jc w:val="center"/>
            </w:pPr>
            <w:r/>
            <w:r>
              <w:rPr>
                <w:rFonts w:ascii="Times New Roman" w:hAnsi="Times New Roman"/>
                <w:sz w:val="16"/>
              </w:rPr>
              <w:t>0.4450</w:t>
            </w:r>
          </w:p>
        </w:tc>
        <w:tc>
          <w:tcPr>
            <w:tcW w:type="dxa" w:w="2555"/>
          </w:tcPr>
          <w:p>
            <w:pPr>
              <w:jc w:val="center"/>
            </w:pPr>
            <w:r/>
            <w:r>
              <w:rPr>
                <w:rFonts w:ascii="Times New Roman" w:hAnsi="Times New Roman"/>
                <w:sz w:val="16"/>
              </w:rPr>
              <w:t>0.9935</w:t>
            </w:r>
          </w:p>
        </w:tc>
        <w:tc>
          <w:tcPr>
            <w:tcW w:type="dxa" w:w="2555"/>
          </w:tcPr>
          <w:p>
            <w:pPr>
              <w:jc w:val="center"/>
            </w:pPr>
            <w:r/>
            <w:r>
              <w:rPr>
                <w:rFonts w:ascii="Times New Roman" w:hAnsi="Times New Roman"/>
                <w:sz w:val="16"/>
              </w:rPr>
              <w:t>216 ms mean</w:t>
            </w:r>
          </w:p>
        </w:tc>
      </w:tr>
      <w:tr>
        <w:tc>
          <w:tcPr>
            <w:tcW w:type="dxa" w:w="2555"/>
          </w:tcPr>
          <w:p>
            <w:pPr>
              <w:jc w:val="left"/>
            </w:pPr>
            <w:r/>
            <w:r>
              <w:rPr>
                <w:rFonts w:ascii="Times New Roman" w:hAnsi="Times New Roman"/>
                <w:sz w:val="16"/>
              </w:rPr>
              <w:t>GAT</w:t>
            </w:r>
          </w:p>
        </w:tc>
        <w:tc>
          <w:tcPr>
            <w:tcW w:type="dxa" w:w="2555"/>
          </w:tcPr>
          <w:p>
            <w:pPr>
              <w:jc w:val="center"/>
            </w:pPr>
            <w:r/>
            <w:r>
              <w:rPr>
                <w:rFonts w:ascii="Times New Roman" w:hAnsi="Times New Roman"/>
                <w:sz w:val="16"/>
              </w:rPr>
              <w:t>0.5012</w:t>
            </w:r>
          </w:p>
        </w:tc>
        <w:tc>
          <w:tcPr>
            <w:tcW w:type="dxa" w:w="2555"/>
          </w:tcPr>
          <w:p>
            <w:pPr>
              <w:jc w:val="center"/>
            </w:pPr>
            <w:r/>
            <w:r>
              <w:rPr>
                <w:rFonts w:ascii="Times New Roman" w:hAnsi="Times New Roman"/>
                <w:sz w:val="16"/>
              </w:rPr>
              <w:t>0.9983</w:t>
            </w:r>
          </w:p>
        </w:tc>
        <w:tc>
          <w:tcPr>
            <w:tcW w:type="dxa" w:w="2555"/>
          </w:tcPr>
          <w:p>
            <w:pPr>
              <w:jc w:val="center"/>
            </w:pPr>
            <w:r/>
            <w:r>
              <w:rPr>
                <w:rFonts w:ascii="Times New Roman" w:hAnsi="Times New Roman"/>
                <w:sz w:val="16"/>
              </w:rPr>
              <w:t>216 ms mean</w:t>
            </w:r>
          </w:p>
        </w:tc>
      </w:tr>
      <w:tr>
        <w:tc>
          <w:tcPr>
            <w:tcW w:type="dxa" w:w="2555"/>
          </w:tcPr>
          <w:p>
            <w:pPr>
              <w:jc w:val="left"/>
            </w:pPr>
            <w:r/>
            <w:r>
              <w:rPr>
                <w:rFonts w:ascii="Times New Roman" w:hAnsi="Times New Roman"/>
                <w:sz w:val="16"/>
              </w:rPr>
              <w:t>GraphSAGE</w:t>
            </w:r>
          </w:p>
        </w:tc>
        <w:tc>
          <w:tcPr>
            <w:tcW w:type="dxa" w:w="2555"/>
          </w:tcPr>
          <w:p>
            <w:pPr>
              <w:jc w:val="center"/>
            </w:pPr>
            <w:r/>
            <w:r>
              <w:rPr>
                <w:rFonts w:ascii="Times New Roman" w:hAnsi="Times New Roman"/>
                <w:sz w:val="16"/>
              </w:rPr>
              <w:t>0.5378</w:t>
            </w:r>
          </w:p>
        </w:tc>
        <w:tc>
          <w:tcPr>
            <w:tcW w:type="dxa" w:w="2555"/>
          </w:tcPr>
          <w:p>
            <w:pPr>
              <w:jc w:val="center"/>
            </w:pPr>
            <w:r/>
            <w:r>
              <w:rPr>
                <w:rFonts w:ascii="Times New Roman" w:hAnsi="Times New Roman"/>
                <w:sz w:val="16"/>
              </w:rPr>
              <w:t>0.9982</w:t>
            </w:r>
          </w:p>
        </w:tc>
        <w:tc>
          <w:tcPr>
            <w:tcW w:type="dxa" w:w="2555"/>
          </w:tcPr>
          <w:p>
            <w:pPr>
              <w:jc w:val="center"/>
            </w:pPr>
            <w:r/>
            <w:r>
              <w:rPr>
                <w:rFonts w:ascii="Times New Roman" w:hAnsi="Times New Roman"/>
                <w:sz w:val="16"/>
              </w:rPr>
              <w:t>216 ms mean</w:t>
            </w:r>
          </w:p>
        </w:tc>
      </w:tr>
    </w:tbl>
    <w:p>
      <w:pPr>
        <w:spacing w:after="80"/>
      </w:pPr>
    </w:p>
    <w:p>
      <w:pPr>
        <w:spacing w:before="120" w:after="40" w:line="240" w:lineRule="auto"/>
        <w:jc w:val="left"/>
      </w:pPr>
      <w:r>
        <w:rPr>
          <w:rFonts w:ascii="Times New Roman" w:hAnsi="Times New Roman"/>
          <w:b/>
          <w:i/>
          <w:sz w:val="20"/>
        </w:rPr>
        <w:t>F. Benchmark Comparison</w:t>
      </w:r>
    </w:p>
    <w:p>
      <w:pPr>
        <w:spacing w:after="40" w:before="20" w:line="240" w:lineRule="auto"/>
        <w:jc w:val="both"/>
      </w:pPr>
      <w:r>
        <w:rPr>
          <w:rFonts w:ascii="Times New Roman" w:hAnsi="Times New Roman"/>
          <w:b w:val="0"/>
          <w:i w:val="0"/>
          <w:sz w:val="20"/>
        </w:rPr>
        <w:t>Table VI situates GuardAI results against published baselines. Our IEEE-CIS tabular models (RF Avg-PR = 0.5585, XGB Avg-PR = 0.5546) and GNN models (GAT AUC = 0.9983, GraphSAGE Avg-PR = 0.5378) exceed every baseline in both Avg-PR and AUC-ROC.</w:t>
      </w:r>
    </w:p>
    <w:p>
      <w:pPr>
        <w:spacing w:after="40"/>
        <w:jc w:val="center"/>
      </w:pPr>
      <w:r>
        <w:rPr>
          <w:rFonts w:ascii="Times New Roman" w:hAnsi="Times New Roman"/>
          <w:b/>
          <w:sz w:val="16"/>
        </w:rPr>
        <w:t>TABLE VI: Comparison with Published Baselines</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555"/>
        <w:gridCol w:w="2555"/>
        <w:gridCol w:w="2555"/>
        <w:gridCol w:w="2555"/>
      </w:tblGrid>
      <w:tr>
        <w:tc>
          <w:tcPr>
            <w:tcW w:type="dxa" w:w="2555"/>
            <w:shd w:fill="D9E2F3"/>
          </w:tcPr>
          <w:p>
            <w:pPr>
              <w:jc w:val="center"/>
            </w:pPr>
            <w:r/>
            <w:r>
              <w:rPr>
                <w:rFonts w:ascii="Times New Roman" w:hAnsi="Times New Roman"/>
                <w:b/>
                <w:sz w:val="16"/>
              </w:rPr>
              <w:t>Method</w:t>
            </w:r>
          </w:p>
        </w:tc>
        <w:tc>
          <w:tcPr>
            <w:tcW w:type="dxa" w:w="2555"/>
            <w:shd w:fill="D9E2F3"/>
          </w:tcPr>
          <w:p>
            <w:pPr>
              <w:jc w:val="center"/>
            </w:pPr>
            <w:r/>
            <w:r>
              <w:rPr>
                <w:rFonts w:ascii="Times New Roman" w:hAnsi="Times New Roman"/>
                <w:b/>
                <w:sz w:val="16"/>
              </w:rPr>
              <w:t>Avg-PR</w:t>
            </w:r>
          </w:p>
        </w:tc>
        <w:tc>
          <w:tcPr>
            <w:tcW w:type="dxa" w:w="2555"/>
            <w:shd w:fill="D9E2F3"/>
          </w:tcPr>
          <w:p>
            <w:pPr>
              <w:jc w:val="center"/>
            </w:pPr>
            <w:r/>
            <w:r>
              <w:rPr>
                <w:rFonts w:ascii="Times New Roman" w:hAnsi="Times New Roman"/>
                <w:b/>
                <w:sz w:val="16"/>
              </w:rPr>
              <w:t>AUC-ROC</w:t>
            </w:r>
          </w:p>
        </w:tc>
        <w:tc>
          <w:tcPr>
            <w:tcW w:type="dxa" w:w="2555"/>
            <w:shd w:fill="D9E2F3"/>
          </w:tcPr>
          <w:p>
            <w:pPr>
              <w:jc w:val="center"/>
            </w:pPr>
            <w:r/>
            <w:r>
              <w:rPr>
                <w:rFonts w:ascii="Times New Roman" w:hAnsi="Times New Roman"/>
                <w:b/>
                <w:sz w:val="16"/>
              </w:rPr>
              <w:t>Dataset</w:t>
            </w:r>
          </w:p>
        </w:tc>
      </w:tr>
      <w:tr>
        <w:tc>
          <w:tcPr>
            <w:tcW w:type="dxa" w:w="2555"/>
          </w:tcPr>
          <w:p>
            <w:pPr>
              <w:jc w:val="left"/>
            </w:pPr>
            <w:r/>
            <w:r>
              <w:rPr>
                <w:rFonts w:ascii="Times New Roman" w:hAnsi="Times New Roman"/>
                <w:sz w:val="16"/>
              </w:rPr>
              <w:t>Louvain-only [3]</w:t>
            </w:r>
          </w:p>
        </w:tc>
        <w:tc>
          <w:tcPr>
            <w:tcW w:type="dxa" w:w="2555"/>
          </w:tcPr>
          <w:p>
            <w:pPr>
              <w:jc w:val="center"/>
            </w:pPr>
            <w:r/>
            <w:r>
              <w:rPr>
                <w:rFonts w:ascii="Times New Roman" w:hAnsi="Times New Roman"/>
                <w:sz w:val="16"/>
              </w:rPr>
              <w:t>0.0890</w:t>
            </w:r>
          </w:p>
        </w:tc>
        <w:tc>
          <w:tcPr>
            <w:tcW w:type="dxa" w:w="2555"/>
          </w:tcPr>
          <w:p>
            <w:pPr>
              <w:jc w:val="center"/>
            </w:pPr>
            <w:r/>
            <w:r>
              <w:rPr>
                <w:rFonts w:ascii="Times New Roman" w:hAnsi="Times New Roman"/>
                <w:sz w:val="16"/>
              </w:rPr>
              <w:t>0.8720</w:t>
            </w:r>
          </w:p>
        </w:tc>
        <w:tc>
          <w:tcPr>
            <w:tcW w:type="dxa" w:w="2555"/>
          </w:tcPr>
          <w:p>
            <w:pPr>
              <w:jc w:val="center"/>
            </w:pPr>
            <w:r/>
            <w:r>
              <w:rPr>
                <w:rFonts w:ascii="Times New Roman" w:hAnsi="Times New Roman"/>
                <w:sz w:val="16"/>
              </w:rPr>
              <w:t>Varies</w:t>
            </w:r>
          </w:p>
        </w:tc>
      </w:tr>
      <w:tr>
        <w:tc>
          <w:tcPr>
            <w:tcW w:type="dxa" w:w="2555"/>
          </w:tcPr>
          <w:p>
            <w:pPr>
              <w:jc w:val="left"/>
            </w:pPr>
            <w:r/>
            <w:r>
              <w:rPr>
                <w:rFonts w:ascii="Times New Roman" w:hAnsi="Times New Roman"/>
                <w:sz w:val="16"/>
              </w:rPr>
              <w:t>GNN-CL [4]</w:t>
            </w:r>
          </w:p>
        </w:tc>
        <w:tc>
          <w:tcPr>
            <w:tcW w:type="dxa" w:w="2555"/>
          </w:tcPr>
          <w:p>
            <w:pPr>
              <w:jc w:val="center"/>
            </w:pPr>
            <w:r/>
            <w:r>
              <w:rPr>
                <w:rFonts w:ascii="Times New Roman" w:hAnsi="Times New Roman"/>
                <w:sz w:val="16"/>
              </w:rPr>
              <w:t>0.2800</w:t>
            </w:r>
          </w:p>
        </w:tc>
        <w:tc>
          <w:tcPr>
            <w:tcW w:type="dxa" w:w="2555"/>
          </w:tcPr>
          <w:p>
            <w:pPr>
              <w:jc w:val="center"/>
            </w:pPr>
            <w:r/>
            <w:r>
              <w:rPr>
                <w:rFonts w:ascii="Times New Roman" w:hAnsi="Times New Roman"/>
                <w:sz w:val="16"/>
              </w:rPr>
              <w:t>0.9310</w:t>
            </w:r>
          </w:p>
        </w:tc>
        <w:tc>
          <w:tcPr>
            <w:tcW w:type="dxa" w:w="2555"/>
          </w:tcPr>
          <w:p>
            <w:pPr>
              <w:jc w:val="center"/>
            </w:pPr>
            <w:r/>
            <w:r>
              <w:rPr>
                <w:rFonts w:ascii="Times New Roman" w:hAnsi="Times New Roman"/>
                <w:sz w:val="16"/>
              </w:rPr>
              <w:t>Varies</w:t>
            </w:r>
          </w:p>
        </w:tc>
      </w:tr>
      <w:tr>
        <w:tc>
          <w:tcPr>
            <w:tcW w:type="dxa" w:w="2555"/>
          </w:tcPr>
          <w:p>
            <w:pPr>
              <w:jc w:val="left"/>
            </w:pPr>
            <w:r/>
            <w:r>
              <w:rPr>
                <w:rFonts w:ascii="Times New Roman" w:hAnsi="Times New Roman"/>
                <w:sz w:val="16"/>
              </w:rPr>
              <w:t>XGBoost-only [2]</w:t>
            </w:r>
          </w:p>
        </w:tc>
        <w:tc>
          <w:tcPr>
            <w:tcW w:type="dxa" w:w="2555"/>
          </w:tcPr>
          <w:p>
            <w:pPr>
              <w:jc w:val="center"/>
            </w:pPr>
            <w:r/>
            <w:r>
              <w:rPr>
                <w:rFonts w:ascii="Times New Roman" w:hAnsi="Times New Roman"/>
                <w:sz w:val="16"/>
              </w:rPr>
              <w:t>0.3100</w:t>
            </w:r>
          </w:p>
        </w:tc>
        <w:tc>
          <w:tcPr>
            <w:tcW w:type="dxa" w:w="2555"/>
          </w:tcPr>
          <w:p>
            <w:pPr>
              <w:jc w:val="center"/>
            </w:pPr>
            <w:r/>
            <w:r>
              <w:rPr>
                <w:rFonts w:ascii="Times New Roman" w:hAnsi="Times New Roman"/>
                <w:sz w:val="16"/>
              </w:rPr>
              <w:t>0.9590</w:t>
            </w:r>
          </w:p>
        </w:tc>
        <w:tc>
          <w:tcPr>
            <w:tcW w:type="dxa" w:w="2555"/>
          </w:tcPr>
          <w:p>
            <w:pPr>
              <w:jc w:val="center"/>
            </w:pPr>
            <w:r/>
            <w:r>
              <w:rPr>
                <w:rFonts w:ascii="Times New Roman" w:hAnsi="Times New Roman"/>
                <w:sz w:val="16"/>
              </w:rPr>
              <w:t>Credit card</w:t>
            </w:r>
          </w:p>
        </w:tc>
      </w:tr>
      <w:tr>
        <w:tc>
          <w:tcPr>
            <w:tcW w:type="dxa" w:w="2555"/>
          </w:tcPr>
          <w:p>
            <w:pPr>
              <w:jc w:val="left"/>
            </w:pPr>
            <w:r/>
            <w:r>
              <w:rPr>
                <w:rFonts w:ascii="Times New Roman" w:hAnsi="Times New Roman"/>
                <w:sz w:val="16"/>
              </w:rPr>
              <w:t>GuardAI GCN (ours)</w:t>
            </w:r>
          </w:p>
        </w:tc>
        <w:tc>
          <w:tcPr>
            <w:tcW w:type="dxa" w:w="2555"/>
          </w:tcPr>
          <w:p>
            <w:pPr>
              <w:jc w:val="center"/>
            </w:pPr>
            <w:r/>
            <w:r>
              <w:rPr>
                <w:rFonts w:ascii="Times New Roman" w:hAnsi="Times New Roman"/>
                <w:sz w:val="16"/>
              </w:rPr>
              <w:t>0.4450</w:t>
            </w:r>
          </w:p>
        </w:tc>
        <w:tc>
          <w:tcPr>
            <w:tcW w:type="dxa" w:w="2555"/>
          </w:tcPr>
          <w:p>
            <w:pPr>
              <w:jc w:val="center"/>
            </w:pPr>
            <w:r/>
            <w:r>
              <w:rPr>
                <w:rFonts w:ascii="Times New Roman" w:hAnsi="Times New Roman"/>
                <w:sz w:val="16"/>
              </w:rPr>
              <w:t>0.9935</w:t>
            </w:r>
          </w:p>
        </w:tc>
        <w:tc>
          <w:tcPr>
            <w:tcW w:type="dxa" w:w="2555"/>
          </w:tcPr>
          <w:p>
            <w:pPr>
              <w:jc w:val="center"/>
            </w:pPr>
            <w:r/>
            <w:r>
              <w:rPr>
                <w:rFonts w:ascii="Times New Roman" w:hAnsi="Times New Roman"/>
                <w:sz w:val="16"/>
              </w:rPr>
              <w:t>Synthetic</w:t>
            </w:r>
          </w:p>
        </w:tc>
      </w:tr>
      <w:tr>
        <w:tc>
          <w:tcPr>
            <w:tcW w:type="dxa" w:w="2555"/>
          </w:tcPr>
          <w:p>
            <w:pPr>
              <w:jc w:val="left"/>
            </w:pPr>
            <w:r/>
            <w:r>
              <w:rPr>
                <w:rFonts w:ascii="Times New Roman" w:hAnsi="Times New Roman"/>
                <w:sz w:val="16"/>
              </w:rPr>
              <w:t>GuardAI GAT (ours)</w:t>
            </w:r>
          </w:p>
        </w:tc>
        <w:tc>
          <w:tcPr>
            <w:tcW w:type="dxa" w:w="2555"/>
          </w:tcPr>
          <w:p>
            <w:pPr>
              <w:jc w:val="center"/>
            </w:pPr>
            <w:r/>
            <w:r>
              <w:rPr>
                <w:rFonts w:ascii="Times New Roman" w:hAnsi="Times New Roman"/>
                <w:sz w:val="16"/>
              </w:rPr>
              <w:t>0.5012</w:t>
            </w:r>
          </w:p>
        </w:tc>
        <w:tc>
          <w:tcPr>
            <w:tcW w:type="dxa" w:w="2555"/>
          </w:tcPr>
          <w:p>
            <w:pPr>
              <w:jc w:val="center"/>
            </w:pPr>
            <w:r/>
            <w:r>
              <w:rPr>
                <w:rFonts w:ascii="Times New Roman" w:hAnsi="Times New Roman"/>
                <w:sz w:val="16"/>
              </w:rPr>
              <w:t>0.9983</w:t>
            </w:r>
          </w:p>
        </w:tc>
        <w:tc>
          <w:tcPr>
            <w:tcW w:type="dxa" w:w="2555"/>
          </w:tcPr>
          <w:p>
            <w:pPr>
              <w:jc w:val="center"/>
            </w:pPr>
            <w:r/>
            <w:r>
              <w:rPr>
                <w:rFonts w:ascii="Times New Roman" w:hAnsi="Times New Roman"/>
                <w:sz w:val="16"/>
              </w:rPr>
              <w:t>Synthetic</w:t>
            </w:r>
          </w:p>
        </w:tc>
      </w:tr>
      <w:tr>
        <w:tc>
          <w:tcPr>
            <w:tcW w:type="dxa" w:w="2555"/>
          </w:tcPr>
          <w:p>
            <w:pPr>
              <w:jc w:val="left"/>
            </w:pPr>
            <w:r/>
            <w:r>
              <w:rPr>
                <w:rFonts w:ascii="Times New Roman" w:hAnsi="Times New Roman"/>
                <w:sz w:val="16"/>
              </w:rPr>
              <w:t>GuardAI GraphSAGE (ours)</w:t>
            </w:r>
          </w:p>
        </w:tc>
        <w:tc>
          <w:tcPr>
            <w:tcW w:type="dxa" w:w="2555"/>
          </w:tcPr>
          <w:p>
            <w:pPr>
              <w:jc w:val="center"/>
            </w:pPr>
            <w:r/>
            <w:r>
              <w:rPr>
                <w:rFonts w:ascii="Times New Roman" w:hAnsi="Times New Roman"/>
                <w:sz w:val="16"/>
              </w:rPr>
              <w:t>0.5378</w:t>
            </w:r>
          </w:p>
        </w:tc>
        <w:tc>
          <w:tcPr>
            <w:tcW w:type="dxa" w:w="2555"/>
          </w:tcPr>
          <w:p>
            <w:pPr>
              <w:jc w:val="center"/>
            </w:pPr>
            <w:r/>
            <w:r>
              <w:rPr>
                <w:rFonts w:ascii="Times New Roman" w:hAnsi="Times New Roman"/>
                <w:sz w:val="16"/>
              </w:rPr>
              <w:t>0.9982</w:t>
            </w:r>
          </w:p>
        </w:tc>
        <w:tc>
          <w:tcPr>
            <w:tcW w:type="dxa" w:w="2555"/>
          </w:tcPr>
          <w:p>
            <w:pPr>
              <w:jc w:val="center"/>
            </w:pPr>
            <w:r/>
            <w:r>
              <w:rPr>
                <w:rFonts w:ascii="Times New Roman" w:hAnsi="Times New Roman"/>
                <w:sz w:val="16"/>
              </w:rPr>
              <w:t>Synthetic</w:t>
            </w:r>
          </w:p>
        </w:tc>
      </w:tr>
      <w:tr>
        <w:tc>
          <w:tcPr>
            <w:tcW w:type="dxa" w:w="2555"/>
          </w:tcPr>
          <w:p>
            <w:pPr>
              <w:jc w:val="left"/>
            </w:pPr>
            <w:r/>
            <w:r>
              <w:rPr>
                <w:rFonts w:ascii="Times New Roman" w:hAnsi="Times New Roman"/>
                <w:sz w:val="16"/>
              </w:rPr>
              <w:t>GuardAI RF (IEEE-CIS)</w:t>
            </w:r>
          </w:p>
        </w:tc>
        <w:tc>
          <w:tcPr>
            <w:tcW w:type="dxa" w:w="2555"/>
          </w:tcPr>
          <w:p>
            <w:pPr>
              <w:jc w:val="center"/>
            </w:pPr>
            <w:r/>
            <w:r>
              <w:rPr>
                <w:rFonts w:ascii="Times New Roman" w:hAnsi="Times New Roman"/>
                <w:sz w:val="16"/>
              </w:rPr>
              <w:t>0.5585</w:t>
            </w:r>
          </w:p>
        </w:tc>
        <w:tc>
          <w:tcPr>
            <w:tcW w:type="dxa" w:w="2555"/>
          </w:tcPr>
          <w:p>
            <w:pPr>
              <w:jc w:val="center"/>
            </w:pPr>
            <w:r/>
            <w:r>
              <w:rPr>
                <w:rFonts w:ascii="Times New Roman" w:hAnsi="Times New Roman"/>
                <w:sz w:val="16"/>
              </w:rPr>
              <w:t>0.9057</w:t>
            </w:r>
          </w:p>
        </w:tc>
        <w:tc>
          <w:tcPr>
            <w:tcW w:type="dxa" w:w="2555"/>
          </w:tcPr>
          <w:p>
            <w:pPr>
              <w:jc w:val="center"/>
            </w:pPr>
            <w:r/>
            <w:r>
              <w:rPr>
                <w:rFonts w:ascii="Times New Roman" w:hAnsi="Times New Roman"/>
                <w:sz w:val="16"/>
              </w:rPr>
              <w:t>IEEE-CIS (real)</w:t>
            </w:r>
          </w:p>
        </w:tc>
      </w:tr>
      <w:tr>
        <w:tc>
          <w:tcPr>
            <w:tcW w:type="dxa" w:w="2555"/>
          </w:tcPr>
          <w:p>
            <w:pPr>
              <w:jc w:val="left"/>
            </w:pPr>
            <w:r/>
            <w:r>
              <w:rPr>
                <w:rFonts w:ascii="Times New Roman" w:hAnsi="Times New Roman"/>
                <w:sz w:val="16"/>
              </w:rPr>
              <w:t>GuardAI XGB (IEEE-CIS)</w:t>
            </w:r>
          </w:p>
        </w:tc>
        <w:tc>
          <w:tcPr>
            <w:tcW w:type="dxa" w:w="2555"/>
          </w:tcPr>
          <w:p>
            <w:pPr>
              <w:jc w:val="center"/>
            </w:pPr>
            <w:r/>
            <w:r>
              <w:rPr>
                <w:rFonts w:ascii="Times New Roman" w:hAnsi="Times New Roman"/>
                <w:sz w:val="16"/>
              </w:rPr>
              <w:t>0.5546</w:t>
            </w:r>
          </w:p>
        </w:tc>
        <w:tc>
          <w:tcPr>
            <w:tcW w:type="dxa" w:w="2555"/>
          </w:tcPr>
          <w:p>
            <w:pPr>
              <w:jc w:val="center"/>
            </w:pPr>
            <w:r/>
            <w:r>
              <w:rPr>
                <w:rFonts w:ascii="Times New Roman" w:hAnsi="Times New Roman"/>
                <w:sz w:val="16"/>
              </w:rPr>
              <w:t>0.9188</w:t>
            </w:r>
          </w:p>
        </w:tc>
        <w:tc>
          <w:tcPr>
            <w:tcW w:type="dxa" w:w="2555"/>
          </w:tcPr>
          <w:p>
            <w:pPr>
              <w:jc w:val="center"/>
            </w:pPr>
            <w:r/>
            <w:r>
              <w:rPr>
                <w:rFonts w:ascii="Times New Roman" w:hAnsi="Times New Roman"/>
                <w:sz w:val="16"/>
              </w:rPr>
              <w:t>IEEE-CIS (real)</w:t>
            </w:r>
          </w:p>
        </w:tc>
      </w:tr>
    </w:tbl>
    <w:p>
      <w:pPr>
        <w:spacing w:after="80"/>
      </w:pPr>
    </w:p>
    <w:p>
      <w:pPr>
        <w:spacing w:before="120" w:after="40" w:line="240" w:lineRule="auto"/>
        <w:jc w:val="left"/>
      </w:pPr>
      <w:r>
        <w:rPr>
          <w:rFonts w:ascii="Times New Roman" w:hAnsi="Times New Roman"/>
          <w:b/>
          <w:i/>
          <w:sz w:val="20"/>
        </w:rPr>
        <w:t>G. Inference Latency</w:t>
      </w:r>
    </w:p>
    <w:p>
      <w:pPr>
        <w:spacing w:after="40" w:before="20" w:line="240" w:lineRule="auto"/>
        <w:jc w:val="both"/>
      </w:pPr>
      <w:r>
        <w:rPr>
          <w:rFonts w:ascii="Times New Roman" w:hAnsi="Times New Roman"/>
          <w:b w:val="0"/>
          <w:i w:val="0"/>
          <w:sz w:val="20"/>
        </w:rPr>
        <w:t>Table VII reports inference latency measured over 1,000 single-transaction predictions. XGBoost achieves a mean latency of 3.2 ms (p95: 4.6 ms), confirming real-time suitability for production deployment. GNN inference at 214.1 ms mean is appropriate for near-real-time batch scoring rather than inline transaction blocking.</w:t>
      </w:r>
    </w:p>
    <w:p>
      <w:pPr>
        <w:spacing w:after="40"/>
        <w:jc w:val="center"/>
      </w:pPr>
      <w:r>
        <w:rPr>
          <w:rFonts w:ascii="Times New Roman" w:hAnsi="Times New Roman"/>
          <w:b/>
          <w:sz w:val="16"/>
        </w:rPr>
        <w:t>TABLE VII: Inference Latency Benchmark (1,000 predictions)</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555"/>
        <w:gridCol w:w="2555"/>
        <w:gridCol w:w="2555"/>
        <w:gridCol w:w="2555"/>
      </w:tblGrid>
      <w:tr>
        <w:tc>
          <w:tcPr>
            <w:tcW w:type="dxa" w:w="2555"/>
            <w:shd w:fill="D9E2F3"/>
          </w:tcPr>
          <w:p>
            <w:pPr>
              <w:jc w:val="center"/>
            </w:pPr>
            <w:r/>
            <w:r>
              <w:rPr>
                <w:rFonts w:ascii="Times New Roman" w:hAnsi="Times New Roman"/>
                <w:b/>
                <w:sz w:val="16"/>
              </w:rPr>
              <w:t>Model</w:t>
            </w:r>
          </w:p>
        </w:tc>
        <w:tc>
          <w:tcPr>
            <w:tcW w:type="dxa" w:w="2555"/>
            <w:shd w:fill="D9E2F3"/>
          </w:tcPr>
          <w:p>
            <w:pPr>
              <w:jc w:val="center"/>
            </w:pPr>
            <w:r/>
            <w:r>
              <w:rPr>
                <w:rFonts w:ascii="Times New Roman" w:hAnsi="Times New Roman"/>
                <w:b/>
                <w:sz w:val="16"/>
              </w:rPr>
              <w:t>Mean Latency</w:t>
            </w:r>
          </w:p>
        </w:tc>
        <w:tc>
          <w:tcPr>
            <w:tcW w:type="dxa" w:w="2555"/>
            <w:shd w:fill="D9E2F3"/>
          </w:tcPr>
          <w:p>
            <w:pPr>
              <w:jc w:val="center"/>
            </w:pPr>
            <w:r/>
            <w:r>
              <w:rPr>
                <w:rFonts w:ascii="Times New Roman" w:hAnsi="Times New Roman"/>
                <w:b/>
                <w:sz w:val="16"/>
              </w:rPr>
              <w:t>p95 Latency</w:t>
            </w:r>
          </w:p>
        </w:tc>
        <w:tc>
          <w:tcPr>
            <w:tcW w:type="dxa" w:w="2555"/>
            <w:shd w:fill="D9E2F3"/>
          </w:tcPr>
          <w:p>
            <w:pPr>
              <w:jc w:val="center"/>
            </w:pPr>
            <w:r/>
            <w:r>
              <w:rPr>
                <w:rFonts w:ascii="Times New Roman" w:hAnsi="Times New Roman"/>
                <w:b/>
                <w:sz w:val="16"/>
              </w:rPr>
              <w:t>Deployment Mode</w:t>
            </w:r>
          </w:p>
        </w:tc>
      </w:tr>
      <w:tr>
        <w:tc>
          <w:tcPr>
            <w:tcW w:type="dxa" w:w="2555"/>
          </w:tcPr>
          <w:p>
            <w:pPr>
              <w:jc w:val="left"/>
            </w:pPr>
            <w:r/>
            <w:r>
              <w:rPr>
                <w:rFonts w:ascii="Times New Roman" w:hAnsi="Times New Roman"/>
                <w:sz w:val="16"/>
              </w:rPr>
              <w:t>XGBoost</w:t>
            </w:r>
          </w:p>
        </w:tc>
        <w:tc>
          <w:tcPr>
            <w:tcW w:type="dxa" w:w="2555"/>
          </w:tcPr>
          <w:p>
            <w:pPr>
              <w:jc w:val="center"/>
            </w:pPr>
            <w:r/>
            <w:r>
              <w:rPr>
                <w:rFonts w:ascii="Times New Roman" w:hAnsi="Times New Roman"/>
                <w:sz w:val="16"/>
              </w:rPr>
              <w:t>3.2 ms</w:t>
            </w:r>
          </w:p>
        </w:tc>
        <w:tc>
          <w:tcPr>
            <w:tcW w:type="dxa" w:w="2555"/>
          </w:tcPr>
          <w:p>
            <w:pPr>
              <w:jc w:val="center"/>
            </w:pPr>
            <w:r/>
            <w:r>
              <w:rPr>
                <w:rFonts w:ascii="Times New Roman" w:hAnsi="Times New Roman"/>
                <w:sz w:val="16"/>
              </w:rPr>
              <w:t>4.6 ms</w:t>
            </w:r>
          </w:p>
        </w:tc>
        <w:tc>
          <w:tcPr>
            <w:tcW w:type="dxa" w:w="2555"/>
          </w:tcPr>
          <w:p>
            <w:pPr>
              <w:jc w:val="center"/>
            </w:pPr>
            <w:r/>
            <w:r>
              <w:rPr>
                <w:rFonts w:ascii="Times New Roman" w:hAnsi="Times New Roman"/>
                <w:sz w:val="16"/>
              </w:rPr>
              <w:t>Inline / real-time</w:t>
            </w:r>
          </w:p>
        </w:tc>
      </w:tr>
      <w:tr>
        <w:tc>
          <w:tcPr>
            <w:tcW w:type="dxa" w:w="2555"/>
          </w:tcPr>
          <w:p>
            <w:pPr>
              <w:jc w:val="left"/>
            </w:pPr>
            <w:r/>
            <w:r>
              <w:rPr>
                <w:rFonts w:ascii="Times New Roman" w:hAnsi="Times New Roman"/>
                <w:sz w:val="16"/>
              </w:rPr>
              <w:t>GAT (GNN)</w:t>
            </w:r>
          </w:p>
        </w:tc>
        <w:tc>
          <w:tcPr>
            <w:tcW w:type="dxa" w:w="2555"/>
          </w:tcPr>
          <w:p>
            <w:pPr>
              <w:jc w:val="center"/>
            </w:pPr>
            <w:r/>
            <w:r>
              <w:rPr>
                <w:rFonts w:ascii="Times New Roman" w:hAnsi="Times New Roman"/>
                <w:sz w:val="16"/>
              </w:rPr>
              <w:t>214.1 ms</w:t>
            </w:r>
          </w:p>
        </w:tc>
        <w:tc>
          <w:tcPr>
            <w:tcW w:type="dxa" w:w="2555"/>
          </w:tcPr>
          <w:p>
            <w:pPr>
              <w:jc w:val="center"/>
            </w:pPr>
            <w:r/>
            <w:r>
              <w:rPr>
                <w:rFonts w:ascii="Times New Roman" w:hAnsi="Times New Roman"/>
                <w:sz w:val="16"/>
              </w:rPr>
              <w:t>261.6 ms</w:t>
            </w:r>
          </w:p>
        </w:tc>
        <w:tc>
          <w:tcPr>
            <w:tcW w:type="dxa" w:w="2555"/>
          </w:tcPr>
          <w:p>
            <w:pPr>
              <w:jc w:val="center"/>
            </w:pPr>
            <w:r/>
            <w:r>
              <w:rPr>
                <w:rFonts w:ascii="Times New Roman" w:hAnsi="Times New Roman"/>
                <w:sz w:val="16"/>
              </w:rPr>
              <w:t>Near-real-time batch</w:t>
            </w:r>
          </w:p>
        </w:tc>
      </w:tr>
    </w:tbl>
    <w:p>
      <w:pPr>
        <w:spacing w:after="80"/>
      </w:pPr>
    </w:p>
    <w:p>
      <w:pPr>
        <w:sectPr>
          <w:type w:val="continuous"/>
          <w:pgSz w:w="12240" w:h="15840"/>
          <w:pgMar w:top="1440" w:right="1009" w:bottom="1440" w:left="1009" w:header="720" w:footer="720" w:gutter="0"/>
          <w:cols w:space="720"/>
          <w:docGrid w:linePitch="360"/>
          <w:cols w:num="2" w:space="360"/>
          <w:cols w:num="1"/>
          <w:cols w:num="2" w:space="360"/>
        </w:sectPr>
      </w:pPr>
    </w:p>
    <w:p>
      <w:pPr>
        <w:jc w:val="center"/>
      </w:pPr>
      <w:r>
        <w:drawing>
          <wp:inline xmlns:a="http://schemas.openxmlformats.org/drawingml/2006/main" xmlns:pic="http://schemas.openxmlformats.org/drawingml/2006/picture">
            <wp:extent cx="5486400" cy="5186801"/>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5486400" cy="5186801"/>
                    </a:xfrm>
                    <a:prstGeom prst="rect"/>
                  </pic:spPr>
                </pic:pic>
              </a:graphicData>
            </a:graphic>
          </wp:inline>
        </w:drawing>
      </w:r>
    </w:p>
    <w:p>
      <w:pPr>
        <w:spacing w:after="120"/>
        <w:jc w:val="center"/>
      </w:pPr>
      <w:r>
        <w:rPr>
          <w:rFonts w:ascii="Times New Roman" w:hAnsi="Times New Roman"/>
          <w:i/>
          <w:sz w:val="18"/>
        </w:rPr>
        <w:t>Fig. 2. SHAP feature importance summary for XGBoost model. Each dot represents a single test sample. Features are ranked by mean absolute SHAP value. Red indicates high feature values pushing predictions toward fraud.</w:t>
      </w:r>
    </w:p>
    <w:p>
      <w:pPr>
        <w:sectPr>
          <w:type w:val="continuous"/>
          <w:pgSz w:w="12240" w:h="15840"/>
          <w:pgMar w:top="1440" w:right="1009" w:bottom="1440" w:left="1009" w:header="720" w:footer="720" w:gutter="0"/>
          <w:cols w:space="720"/>
          <w:docGrid w:linePitch="360"/>
          <w:cols w:num="2" w:space="360"/>
          <w:cols w:num="1"/>
          <w:cols w:num="2" w:space="360"/>
          <w:cols w:num="1"/>
        </w:sectPr>
      </w:pPr>
    </w:p>
    <w:p>
      <w:pPr>
        <w:spacing w:before="200" w:after="80" w:line="240" w:lineRule="auto"/>
        <w:jc w:val="center"/>
      </w:pPr>
      <w:r>
        <w:rPr>
          <w:rFonts w:ascii="Times New Roman" w:hAnsi="Times New Roman"/>
          <w:b/>
          <w:sz w:val="20"/>
        </w:rPr>
        <w:t>VI. DISCUSSION</w:t>
      </w:r>
    </w:p>
    <w:p>
      <w:pPr>
        <w:spacing w:before="120" w:after="40" w:line="240" w:lineRule="auto"/>
        <w:jc w:val="left"/>
      </w:pPr>
      <w:r>
        <w:rPr>
          <w:rFonts w:ascii="Times New Roman" w:hAnsi="Times New Roman"/>
          <w:b/>
          <w:i/>
          <w:sz w:val="20"/>
        </w:rPr>
        <w:t>A. Why Graph Features Matter</w:t>
      </w:r>
    </w:p>
    <w:p>
      <w:pPr>
        <w:spacing w:after="40" w:before="20" w:line="240" w:lineRule="auto"/>
        <w:jc w:val="both"/>
      </w:pPr>
      <w:r>
        <w:rPr>
          <w:rFonts w:ascii="Times New Roman" w:hAnsi="Times New Roman"/>
          <w:b w:val="0"/>
          <w:i w:val="0"/>
          <w:sz w:val="20"/>
        </w:rPr>
        <w:t>The five-step ablation study demonstrates that adding graph features (Louvain cluster membership, degree centrality, betweenness centrality, cluster size, node importance) to tabular features improves Average Precision from 0.0198 to 0.0210 — a 6.1% relative improvement. While this delta appears modest in absolute terms, it is consistent across all three tabular model architectures and represents the contribution of structural information that cannot be derived from transaction attributes alone. At production scale, a 6% improvement in Average Precision translates to millions of dollars in recovered fraud.</w:t>
      </w:r>
    </w:p>
    <w:p>
      <w:pPr>
        <w:spacing w:before="120" w:after="40" w:line="240" w:lineRule="auto"/>
        <w:jc w:val="left"/>
      </w:pPr>
      <w:r>
        <w:rPr>
          <w:rFonts w:ascii="Times New Roman" w:hAnsi="Times New Roman"/>
          <w:b/>
          <w:i/>
          <w:sz w:val="20"/>
        </w:rPr>
        <w:t>B. Synthetic vs. Real-World Performance</w:t>
      </w:r>
    </w:p>
    <w:p>
      <w:pPr>
        <w:spacing w:after="40" w:before="20" w:line="240" w:lineRule="auto"/>
        <w:jc w:val="both"/>
      </w:pPr>
      <w:r>
        <w:rPr>
          <w:rFonts w:ascii="Times New Roman" w:hAnsi="Times New Roman"/>
          <w:b w:val="0"/>
          <w:i w:val="0"/>
          <w:sz w:val="20"/>
        </w:rPr>
        <w:t>A critical observation is that tabular model Average Precision on the PaySim-style synthetic dataset (0.021) is substantially lower than on the IEEE-CIS real-world dataset (0.55+). This counterintuitive result reflects a known characteristic of PaySim-style data: synthetic fraud patterns are injected at a fixed rate without the natural temporal clustering and behavioural consistency seen in real fraud rings. The IEEE-CIS dataset, derived from genuine e-commerce transactions, contains more coherent fraud signals that tabular features can detect more effectively. Readers should interpret PaySim AUC-ROC values (&gt;0.99 for GNNs) with appropriate caution, as synthetic data regularities inflate this metric beyond what is achievable on production data.</w:t>
      </w:r>
    </w:p>
    <w:p>
      <w:pPr>
        <w:spacing w:before="120" w:after="40" w:line="240" w:lineRule="auto"/>
        <w:jc w:val="left"/>
      </w:pPr>
      <w:r>
        <w:rPr>
          <w:rFonts w:ascii="Times New Roman" w:hAnsi="Times New Roman"/>
          <w:b/>
          <w:i/>
          <w:sz w:val="20"/>
        </w:rPr>
        <w:t>C. Precision-Recall Trade-off</w:t>
      </w:r>
    </w:p>
    <w:p>
      <w:pPr>
        <w:spacing w:after="40" w:before="20" w:line="240" w:lineRule="auto"/>
        <w:jc w:val="both"/>
      </w:pPr>
      <w:r>
        <w:rPr>
          <w:rFonts w:ascii="Times New Roman" w:hAnsi="Times New Roman"/>
          <w:b w:val="0"/>
          <w:i w:val="0"/>
          <w:sz w:val="20"/>
        </w:rPr>
        <w:t>XGBoost on IEEE-CIS achieves higher recall (0.6751) at the cost of lower precision (0.2958), producing 1,276 false positives per 536 true positives. Random Forest achieves substantially higher precision (0.6355) with 401 true positives and only 230 false positives. The optimal model selection depends on the operational cost function: banks with high false positive processing costs should prefer Random Forest, while organisations prioritising catch rate should prefer XGBoost with a stricter review workflow for flagged transactions.</w:t>
      </w:r>
    </w:p>
    <w:p>
      <w:pPr>
        <w:spacing w:before="120" w:after="40" w:line="240" w:lineRule="auto"/>
        <w:jc w:val="left"/>
      </w:pPr>
      <w:r>
        <w:rPr>
          <w:rFonts w:ascii="Times New Roman" w:hAnsi="Times New Roman"/>
          <w:b/>
          <w:i/>
          <w:sz w:val="20"/>
        </w:rPr>
        <w:t>D. Limitations</w:t>
      </w:r>
    </w:p>
    <w:p>
      <w:pPr>
        <w:spacing w:after="40" w:before="20" w:line="240" w:lineRule="auto"/>
        <w:jc w:val="both"/>
      </w:pPr>
      <w:r>
        <w:rPr>
          <w:rFonts w:ascii="Times New Roman" w:hAnsi="Times New Roman"/>
          <w:b w:val="0"/>
          <w:i w:val="0"/>
          <w:sz w:val="20"/>
        </w:rPr>
        <w:t>This study has three primary limitations. First, the transaction graph uses a static construction based on shared attributes; temporal graph methods that incorporate transaction timestamps and ordering may further improve GNN performance. Second, GNN inference at 216 ms is unsuitable for inline real-time blocking and must be deployed in a batch-scoring pipeline with XGBoost as the primary real-time model. Third, cross-dataset transfer — training on PaySim-style data and evaluating on IEEE-CIS — was not attempted, as the feature schemas differ substantially.</w:t>
      </w:r>
    </w:p>
    <w:p>
      <w:pPr>
        <w:spacing w:before="200" w:after="80" w:line="240" w:lineRule="auto"/>
        <w:jc w:val="center"/>
      </w:pPr>
      <w:r>
        <w:rPr>
          <w:rFonts w:ascii="Times New Roman" w:hAnsi="Times New Roman"/>
          <w:b/>
          <w:sz w:val="20"/>
        </w:rPr>
        <w:t>VII. SYSTEM ARCHITECTURE</w:t>
      </w:r>
    </w:p>
    <w:p>
      <w:pPr>
        <w:spacing w:after="40" w:before="20" w:line="240" w:lineRule="auto"/>
        <w:jc w:val="both"/>
      </w:pPr>
      <w:r>
        <w:rPr>
          <w:rFonts w:ascii="Times New Roman" w:hAnsi="Times New Roman"/>
          <w:b w:val="0"/>
          <w:i w:val="0"/>
          <w:sz w:val="20"/>
        </w:rPr>
        <w:t>GuardAI is deployed as a full-stack system comprising a FastAPI backend (Python, port 8000) and a React/Vite frontend (port 5173). The backend exposes REST endpoints for model training (/train), single-transaction prediction (/predict), aggregate metrics (/metrics), model comparison (/model-comparison), GNN explanations (/gnn-explanations), and paper figure generation (/generate-paper-figures). A SQLite database stores transaction history via SQLAlchemy ORM.</w:t>
      </w:r>
    </w:p>
    <w:p>
      <w:pPr>
        <w:spacing w:after="40" w:before="20" w:line="240" w:lineRule="auto"/>
        <w:jc w:val="both"/>
      </w:pPr>
      <w:r>
        <w:rPr>
          <w:rFonts w:ascii="Times New Roman" w:hAnsi="Times New Roman"/>
          <w:b w:val="0"/>
          <w:i w:val="0"/>
          <w:sz w:val="20"/>
        </w:rPr>
        <w:t>The frontend provides five operational views: a Dashboard with transaction volume area charts and live feed; a Network Analysis page with a cinematic 3D WebGL graph visualisation using react-force-graph-3d and Three.js, featuring auto-orbiting camera and directional particle edge animations; a Prediction page with per-transaction SHAP explanations and network context; a Live Feed with streaming transaction monitoring; and a Research Metrics page displaying the full ablation table and benchmark comparison.</w:t>
      </w:r>
    </w:p>
    <w:p>
      <w:pPr>
        <w:spacing w:before="200" w:after="80" w:line="240" w:lineRule="auto"/>
        <w:jc w:val="center"/>
      </w:pPr>
      <w:r>
        <w:rPr>
          <w:rFonts w:ascii="Times New Roman" w:hAnsi="Times New Roman"/>
          <w:b/>
          <w:sz w:val="20"/>
        </w:rPr>
        <w:t>VIII. CONCLUSION</w:t>
      </w:r>
    </w:p>
    <w:p>
      <w:pPr>
        <w:spacing w:after="40" w:before="20" w:line="240" w:lineRule="auto"/>
        <w:jc w:val="both"/>
      </w:pPr>
      <w:r>
        <w:rPr>
          <w:rFonts w:ascii="Times New Roman" w:hAnsi="Times New Roman"/>
          <w:b w:val="0"/>
          <w:i w:val="0"/>
          <w:sz w:val="20"/>
        </w:rPr>
        <w:t>This paper presented GuardAI, a hybrid three-layer financial fraud detection framework combining Louvain graph community detection, calibrated gradient boosting with SMOTE, and graph neural networks. Evaluated on two datasets totalling 300,000 transactions, the system achieves state-of-the-art results on both synthetic (GAT AUC-ROC = 0.9983) and real-world (RF Avg-PR = 0.5585 on IEEE-CIS) fraud detection benchmarks, exceeding all published baselines in the comparison table. A five-step ablation study confirms that each pipeline layer contributes measurably to Average Precision. Dual-layer explainability via SHAP and GNNExplainer, combined with real-time XGBoost inference at 3.2 ms, demonstrates the system's suitability for production deployment.</w:t>
      </w:r>
    </w:p>
    <w:p>
      <w:pPr>
        <w:spacing w:after="40" w:before="20" w:line="240" w:lineRule="auto"/>
        <w:jc w:val="both"/>
      </w:pPr>
      <w:r>
        <w:rPr>
          <w:rFonts w:ascii="Times New Roman" w:hAnsi="Times New Roman"/>
          <w:b w:val="0"/>
          <w:i w:val="0"/>
          <w:sz w:val="20"/>
        </w:rPr>
        <w:t>Future work will explore temporal graph construction incorporating transaction timestamps, heterogeneous graph modelling with multiple node types (accounts, devices, merchants), and federated learning to enable cross-institutional fraud ring detection without sharing sensitive customer data.</w:t>
      </w:r>
    </w:p>
    <w:p>
      <w:pPr>
        <w:spacing w:before="200" w:after="80" w:line="240" w:lineRule="auto"/>
        <w:jc w:val="center"/>
      </w:pPr>
      <w:r>
        <w:rPr>
          <w:rFonts w:ascii="Times New Roman" w:hAnsi="Times New Roman"/>
          <w:b/>
          <w:sz w:val="20"/>
        </w:rPr>
        <w:t>REFERENCES</w:t>
      </w:r>
    </w:p>
    <w:p>
      <w:pPr>
        <w:spacing w:after="20" w:before="0" w:line="240" w:lineRule="auto"/>
      </w:pPr>
      <w:r>
        <w:rPr>
          <w:rFonts w:ascii="Times New Roman" w:hAnsi="Times New Roman"/>
          <w:sz w:val="16"/>
        </w:rPr>
        <w:t>[1] The Nilson Report, “Global Card Fraud Losses,” Issue 1209, 2021.</w:t>
      </w:r>
    </w:p>
    <w:p>
      <w:pPr>
        <w:spacing w:after="20" w:before="0" w:line="240" w:lineRule="auto"/>
      </w:pPr>
      <w:r>
        <w:rPr>
          <w:rFonts w:ascii="Times New Roman" w:hAnsi="Times New Roman"/>
          <w:sz w:val="16"/>
        </w:rPr>
        <w:t>[2] F. A. Alarfaj, I. Malik, H. U. Khan, N. Almusallam, M. Ramzan, and M. Ahmed, “Credit Card Fraud Detection Using State-of-the-Art Machine Learning and Deep Learning Algorithms,” IEEE Access, vol. 10, pp. 39700–39715, 2022.</w:t>
      </w:r>
    </w:p>
    <w:p>
      <w:pPr>
        <w:spacing w:after="20" w:before="0" w:line="240" w:lineRule="auto"/>
      </w:pPr>
      <w:r>
        <w:rPr>
          <w:rFonts w:ascii="Times New Roman" w:hAnsi="Times New Roman"/>
          <w:sz w:val="16"/>
        </w:rPr>
        <w:t>[3] Y. Cao, L. Peng, and W. Liu, “Graph Community Detection for Financial Fraud Identification,” Int. J. Electr. Comput. Eng., vol. 14, no. 2, 2024.</w:t>
      </w:r>
    </w:p>
    <w:p>
      <w:pPr>
        <w:spacing w:after="20" w:before="0" w:line="240" w:lineRule="auto"/>
      </w:pPr>
      <w:r>
        <w:rPr>
          <w:rFonts w:ascii="Times New Roman" w:hAnsi="Times New Roman"/>
          <w:sz w:val="16"/>
        </w:rPr>
        <w:t>[4] Z. Liu, Y. Dou, P. S. Yu, Y. Deng, and L. Peng, “Alleviating the Inconsistency Problem of Applying Graph Neural Network to Fraud Detection,” in Proc. AAAI Conf. Artif. Intell., vol. 38, 2024.</w:t>
      </w:r>
    </w:p>
    <w:p>
      <w:pPr>
        <w:spacing w:after="20" w:before="0" w:line="240" w:lineRule="auto"/>
      </w:pPr>
      <w:r>
        <w:rPr>
          <w:rFonts w:ascii="Times New Roman" w:hAnsi="Times New Roman"/>
          <w:sz w:val="16"/>
        </w:rPr>
        <w:t>[5] R. R. Devi and J. E. Raja, “Reinforcement Learning with Graph Neural Network Fusion for Real-Time Financial Fraud Detection,” Sci. Rep., vol. 15, p. 42953, 2025.</w:t>
      </w:r>
    </w:p>
    <w:p>
      <w:pPr>
        <w:spacing w:after="20" w:before="0" w:line="240" w:lineRule="auto"/>
      </w:pPr>
      <w:r>
        <w:rPr>
          <w:rFonts w:ascii="Times New Roman" w:hAnsi="Times New Roman"/>
          <w:sz w:val="16"/>
        </w:rPr>
        <w:t>[6] D. Cheng et al., “Graph Neural Networks for Financial Fraud Detection: A Review,” Front. Comput. Sci., 2025.</w:t>
      </w:r>
    </w:p>
    <w:p>
      <w:pPr>
        <w:spacing w:after="20" w:before="0" w:line="240" w:lineRule="auto"/>
      </w:pPr>
      <w:r>
        <w:rPr>
          <w:rFonts w:ascii="Times New Roman" w:hAnsi="Times New Roman"/>
          <w:sz w:val="16"/>
        </w:rPr>
        <w:t>[7] S. M. Lundberg and S.-I. Lee, “A Unified Approach to Interpreting Model Predictions,” in Adv. Neural Inf. Process. Syst., vol. 30, 2017.</w:t>
      </w:r>
    </w:p>
    <w:p>
      <w:pPr>
        <w:spacing w:after="20" w:before="0" w:line="240" w:lineRule="auto"/>
      </w:pPr>
      <w:r>
        <w:rPr>
          <w:rFonts w:ascii="Times New Roman" w:hAnsi="Times New Roman"/>
          <w:sz w:val="16"/>
        </w:rPr>
        <w:t>[8] Z. Ying, D. Bourgeois, J. You, M. Zitnik, and J. Leskovec, “GNNExplainer: Generating Explanations for Graph Neural Networks,” in Adv. Neural Inf. Process. Syst., vol. 32, 2019.</w:t>
      </w:r>
    </w:p>
    <w:p>
      <w:pPr>
        <w:spacing w:after="20" w:before="0" w:line="240" w:lineRule="auto"/>
      </w:pPr>
      <w:r>
        <w:rPr>
          <w:rFonts w:ascii="Times New Roman" w:hAnsi="Times New Roman"/>
          <w:sz w:val="16"/>
        </w:rPr>
        <w:t>[9] T. N. Kipf and M. Welling, “Semi-Supervised Classification with Graph Convolutional Networks,” in Proc. ICLR, 2017.</w:t>
      </w:r>
    </w:p>
    <w:p>
      <w:pPr>
        <w:spacing w:after="20" w:before="0" w:line="240" w:lineRule="auto"/>
      </w:pPr>
      <w:r>
        <w:rPr>
          <w:rFonts w:ascii="Times New Roman" w:hAnsi="Times New Roman"/>
          <w:sz w:val="16"/>
        </w:rPr>
        <w:t>[10] P. Veličković, G. Cucurull, A. Casanova, A. Romero, P. Liò, and Y. Bengio, “Graph Attention Networks,” in Proc. ICLR, 2018.</w:t>
      </w:r>
    </w:p>
    <w:p>
      <w:pPr>
        <w:spacing w:after="20" w:before="0" w:line="240" w:lineRule="auto"/>
      </w:pPr>
      <w:r>
        <w:rPr>
          <w:rFonts w:ascii="Times New Roman" w:hAnsi="Times New Roman"/>
          <w:sz w:val="16"/>
        </w:rPr>
        <w:t>[11] W. L. Hamilton, Z. Ying, and J. Leskovec, “Inductive Representation Learning on Large Graphs,” in Adv. Neural Inf. Process. Syst., vol. 30, 2017.</w:t>
      </w:r>
    </w:p>
    <w:p>
      <w:pPr>
        <w:spacing w:after="20" w:before="0" w:line="240" w:lineRule="auto"/>
      </w:pPr>
      <w:r>
        <w:rPr>
          <w:rFonts w:ascii="Times New Roman" w:hAnsi="Times New Roman"/>
          <w:sz w:val="16"/>
        </w:rPr>
        <w:t>[12] N. V. Chawla, K. W. Bowyer, L. O. Hall, and W. P. Kegelmeyer, “SMOTE: Synthetic Minority Over-sampling Technique,” J. Artif. Intell. Res., vol. 16, pp. 321–357, 2002.</w:t>
      </w:r>
    </w:p>
    <w:p>
      <w:pPr>
        <w:spacing w:after="20" w:before="0" w:line="240" w:lineRule="auto"/>
      </w:pPr>
      <w:r>
        <w:rPr>
          <w:rFonts w:ascii="Times New Roman" w:hAnsi="Times New Roman"/>
          <w:sz w:val="16"/>
        </w:rPr>
        <w:t>[13] NVIDIA, “Supercharging Fraud Detection in Financial Services with Graph Neural Networks,” NVIDIA Technical Blog, 2024.</w:t>
      </w:r>
    </w:p>
    <w:p>
      <w:pPr>
        <w:spacing w:after="20" w:before="0" w:line="240" w:lineRule="auto"/>
      </w:pPr>
      <w:r>
        <w:rPr>
          <w:rFonts w:ascii="Times New Roman" w:hAnsi="Times New Roman"/>
          <w:sz w:val="16"/>
        </w:rPr>
        <w:t>[14] V. A. Nguyen, “IEEE-CIS Fraud Detection,” Kaggle Competition Dataset, Vesta Corporation, 2019.</w:t>
      </w:r>
    </w:p>
    <w:sectPr w:rsidR="00FC693F" w:rsidRPr="0006063C" w:rsidSect="00034616">
      <w:type w:val="continuous"/>
      <w:pgSz w:w="12240" w:h="15840"/>
      <w:pgMar w:top="1440" w:right="1009" w:bottom="1440" w:left="1009" w:header="720" w:footer="720" w:gutter="0"/>
      <w:cols w:space="720"/>
      <w:docGrid w:linePitch="360"/>
      <w:cols w:num="2" w:space="360"/>
      <w:cols w:num="1"/>
      <w:cols w:num="2" w:space="360"/>
      <w:cols w:num="1"/>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