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1F38"/>
          <w:sz w:val="34"/>
          <w:szCs w:val="34"/>
        </w:rPr>
        <w:t xml:space="preserve">Ledger Integrity &amp; Audit Intelligence Platform</w:t>
      </w:r>
    </w:p>
    <w:p>
      <w:pPr>
        <w:pBdr>
          <w:bottom w:val="single" w:color="2563EB" w:sz="8"/>
        </w:pBdr>
        <w:spacing w:after="160"/>
      </w:pPr>
      <w:r>
        <w:rPr>
          <w:color w:val="5B6472"/>
          <w:sz w:val="21"/>
          <w:szCs w:val="21"/>
        </w:rPr>
        <w:t xml:space="preserve">Design Partner Brief — full-population audit analytics for CA firms</w:t>
      </w:r>
    </w:p>
    <w:p>
      <w:pPr>
        <w:spacing w:after="80"/>
      </w:pPr>
      <w:r>
        <w:rPr>
          <w:sz w:val="20"/>
          <w:szCs w:val="20"/>
        </w:rPr>
        <w:t xml:space="preserve">A platform that analyses complete transaction populations — every row, not a sample — flags what deserves review through 21 detection rules across six independent risk families, reconciles books against GSTR-1/2B/3B and bank statements, collects client evidence through a secure portal, and produces review-ready workpapers with a one-click Audit File Pack.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The platform never declares fraud. </w:t>
      </w:r>
      <w:r>
        <w:rPr>
          <w:sz w:val="20"/>
          <w:szCs w:val="20"/>
        </w:rPr>
        <w:t xml:space="preserve">It ranks review priorities, shows the exact source rows behind every signal, and keeps every conclusion in the auditor’s hands.</w:t>
      </w:r>
    </w:p>
    <w:p>
      <w:pPr>
        <w:shd w:fill="EEF3FF" w:val="clear"/>
        <w:spacing w:after="140"/>
      </w:pPr>
      <w:r>
        <w:rPr>
          <w:sz w:val="20"/>
          <w:szCs w:val="20"/>
        </w:rPr>
        <w:t xml:space="preserve">  Live demo, no installation:  </w:t>
      </w:r>
      <w:r>
        <w:rPr>
          <w:b/>
          <w:bCs/>
          <w:color w:val="2563EB"/>
          <w:sz w:val="20"/>
          <w:szCs w:val="20"/>
        </w:rPr>
        <w:t xml:space="preserve">https://liaiapp.magizhchi.software</w:t>
      </w:r>
      <w:r>
        <w:rPr>
          <w:sz w:val="20"/>
          <w:szCs w:val="20"/>
        </w:rPr>
        <w:t xml:space="preserve">  — a synthetic financial year with 18 seeded anomaly patterns, all detected.  </w:t>
      </w:r>
    </w:p>
    <w:p>
      <w:pPr>
        <w:spacing w:after="80" w:before="200"/>
      </w:pPr>
      <w:r>
        <w:rPr>
          <w:b/>
          <w:bCs/>
          <w:color w:val="0E1F38"/>
          <w:sz w:val="24"/>
          <w:szCs w:val="24"/>
        </w:rPr>
        <w:t xml:space="preserve">Why partners take a second look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Explainable priority scores: capped per-family breakdown on every case — corroboration across independent methods drives priority, never signal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Digit forensics done properly: a suitability gate refuses to score unsuitable populations; six digit tests with drill-down to exact vouchers.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Per-vendor risk report, GST correction schedule, bank reconciliation with sign-off gates.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Everything traceable: SHA-256 source manifests, row-level lineage, versioned rule packs, append-only decision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AI drafting, safely bounded: plain-language explanations, always labelled drafts, never touching a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Security: firm isolation, TOTP MFA, evidence encrypted at rest, append-only audit log.</w:t>
      </w:r>
    </w:p>
    <w:p>
      <w:pPr>
        <w:spacing w:after="80" w:before="200"/>
      </w:pPr>
      <w:r>
        <w:rPr>
          <w:b/>
          <w:bCs/>
          <w:color w:val="0E1F38"/>
          <w:sz w:val="24"/>
          <w:szCs w:val="24"/>
        </w:rPr>
        <w:t xml:space="preserve">The pilot, concretely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we ask</w:t>
            </w:r>
          </w:p>
        </w:tc>
        <w:tc>
          <w:tcPr>
            <w:tcW w:type="dxa" w:w="2960"/>
            <w:shd w:fill="EE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discovery interview (workflow walkthrough)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60–90 min, once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real engagement’s data, anonymised per our checklist (GL, registers, GST files, bank statement)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2–4 hours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Weekly noise-vs-real review of flagged exceptions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30–45 min / week</w:t>
            </w:r>
          </w:p>
        </w:tc>
      </w:tr>
      <w:tr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Jointly judge two success metrics: false-positive rate and reviewer hours saved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the weekly review</w:t>
            </w:r>
          </w:p>
        </w:tc>
      </w:tr>
    </w:tbl>
    <w:p>
      <w:pPr>
        <w:spacing w:after="80" w:before="100"/>
      </w:pPr>
      <w:r>
        <w:rPr>
          <w:sz w:val="20"/>
          <w:szCs w:val="20"/>
        </w:rPr>
        <w:t xml:space="preserve">In return: free access during the pilot, direct influence over rules and roadmap, and founding-partner terms at launch.</w:t>
      </w:r>
    </w:p>
    <w:p>
      <w:pPr>
        <w:spacing w:after="80" w:before="200"/>
      </w:pPr>
      <w:r>
        <w:rPr>
          <w:b/>
          <w:bCs/>
          <w:color w:val="0E1F38"/>
          <w:sz w:val="24"/>
          <w:szCs w:val="24"/>
        </w:rPr>
        <w:t xml:space="preserve">Data protection</w:t>
      </w:r>
    </w:p>
    <w:p>
      <w:pPr>
        <w:spacing w:after="80"/>
      </w:pPr>
      <w:r>
        <w:rPr>
          <w:sz w:val="20"/>
          <w:szCs w:val="20"/>
        </w:rPr>
        <w:t xml:space="preserve">Anonymised data during onboarding · never shared with other firms · never used to train shared AI models · encrypted in transit and at rest · deletion on request, confirmed in writing. Full terms in the pilot agreement.</w:t>
      </w:r>
    </w:p>
    <w:p>
      <w:pPr>
        <w:pBdr>
          <w:top w:val="single" w:color="CCCCCC" w:sz="4"/>
        </w:pBdr>
        <w:spacing w:before="160"/>
      </w:pPr>
      <w:r>
        <w:rPr>
          <w:color w:val="5B6472"/>
          <w:sz w:val="18"/>
          <w:szCs w:val="18"/>
        </w:rPr>
        <w:t xml:space="preserve">Not audit, tax or legal advice — your methodology and sign-off remain authoritative.   Contact: [name · email · phone]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2026-08-23T17:38:16.920Z</dcterms:created>
  <dcterms:modified xsi:type="dcterms:W3CDTF">2026-08-23T17:38:16.921Z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