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6"/>
      </w:tblGrid>
      <w:tr>
        <w:tc>
          <w:tcPr>
            <w:tcW w:type="dxa" w:w="9360"/>
            <w:shd w:fill="17324D"/>
            <w:tcMar>
              <w:top w:w="120" w:type="dxa"/>
              <w:start w:w="0" w:type="dxa"/>
              <w:bottom w:w="120" w:type="dxa"/>
              <w:end w:w="0" w:type="dxa"/>
            </w:tcMar>
          </w:tcPr>
          <w:p>
            <w:r/>
          </w:p>
        </w:tc>
      </w:tr>
    </w:tbl>
    <w:p>
      <w:pPr>
        <w:widowControl/>
        <w:spacing w:after="480"/>
      </w:pPr>
    </w:p>
    <w:p>
      <w:pPr>
        <w:widowControl/>
        <w:spacing w:after="200"/>
        <w:jc w:val="left"/>
      </w:pPr>
      <w:r>
        <w:rPr>
          <w:rFonts w:ascii="Lato" w:hAnsi="Lato"/>
          <w:b/>
          <w:color w:val="0F766E"/>
          <w:sz w:val="28"/>
        </w:rPr>
        <w:t>BUSINESS REQUIREMENTS DOCUMENT</w:t>
      </w:r>
    </w:p>
    <w:p>
      <w:pPr>
        <w:widowControl/>
        <w:spacing w:after="160"/>
      </w:pPr>
      <w:r>
        <w:rPr>
          <w:rFonts w:ascii="Lato" w:hAnsi="Lato"/>
          <w:b/>
          <w:color w:val="17324D"/>
          <w:sz w:val="56"/>
        </w:rPr>
        <w:t>Ledger Integrity &amp; Audit Intelligence Platform</w:t>
      </w:r>
    </w:p>
    <w:p>
      <w:pPr>
        <w:widowControl/>
        <w:spacing w:after="400"/>
      </w:pPr>
      <w:r>
        <w:rPr>
          <w:rFonts w:ascii="Lato" w:hAnsi="Lato"/>
          <w:color w:val="3F4A54"/>
          <w:sz w:val="24"/>
        </w:rPr>
        <w:t>A plain-language product specification for CA firms, GST professionals, internal auditors and future financial-institution users</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Working product proposition</w:t>
            </w:r>
          </w:p>
          <w:p>
            <w:pPr>
              <w:spacing w:after="0" w:line="252" w:lineRule="auto"/>
            </w:pPr>
            <w:r>
              <w:rPr>
                <w:rFonts w:ascii="Lato" w:hAnsi="Lato"/>
                <w:color w:val="3F4A54"/>
                <w:sz w:val="19"/>
              </w:rPr>
              <w:t>Analyse complete accounting populations, identify unusual or potentially manipulated entries, reconcile books with GST and bank data, collect supporting evidence, and produce review-ready audit workpapers - while preserving the auditor's professional judgement.</w:t>
            </w:r>
          </w:p>
        </w:tc>
      </w:tr>
    </w:tbl>
    <w:p>
      <w:pPr>
        <w:widowControl/>
        <w:spacing w:after="0"/>
      </w:pPr>
    </w:p>
    <w:p>
      <w:pPr>
        <w:widowControl/>
        <w:spacing w:after="300"/>
      </w:pPr>
    </w:p>
    <w:tbl>
      <w:tblPr>
        <w:tblW w:type="auto" w:w="0"/>
        <w:jc w:val="left"/>
        <w:tblLayout w:type="fixed"/>
        <w:tblLook w:firstColumn="1" w:firstRow="1" w:lastColumn="0" w:lastRow="0" w:noHBand="0" w:noVBand="1" w:val="04A0"/>
      </w:tblPr>
      <w:tblGrid>
        <w:gridCol w:w="5043"/>
        <w:gridCol w:w="5043"/>
      </w:tblGrid>
      <w:tr>
        <w:tc>
          <w:tcPr>
            <w:tcW w:type="dxa" w:w="2232"/>
            <w:shd w:fill="EAF2F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b/>
                <w:color w:val="17324D"/>
                <w:sz w:val="18"/>
              </w:rPr>
              <w:t>Document version</w:t>
            </w:r>
          </w:p>
        </w:tc>
        <w:tc>
          <w:tcPr>
            <w:tcW w:type="dxa" w:w="712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color w:val="3F4A54"/>
                <w:sz w:val="18"/>
              </w:rPr>
              <w:t>1.0</w:t>
            </w:r>
          </w:p>
        </w:tc>
      </w:tr>
      <w:tr>
        <w:tc>
          <w:tcPr>
            <w:tcW w:type="dxa" w:w="2232"/>
            <w:shd w:fill="EAF2F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b/>
                <w:color w:val="17324D"/>
                <w:sz w:val="18"/>
              </w:rPr>
              <w:t>Document date</w:t>
            </w:r>
          </w:p>
        </w:tc>
        <w:tc>
          <w:tcPr>
            <w:tcW w:type="dxa" w:w="712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color w:val="3F4A54"/>
                <w:sz w:val="18"/>
              </w:rPr>
              <w:t>15 August 2026</w:t>
            </w:r>
          </w:p>
        </w:tc>
      </w:tr>
      <w:tr>
        <w:tc>
          <w:tcPr>
            <w:tcW w:type="dxa" w:w="2232"/>
            <w:shd w:fill="EAF2F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b/>
                <w:color w:val="17324D"/>
                <w:sz w:val="18"/>
              </w:rPr>
              <w:t>Status</w:t>
            </w:r>
          </w:p>
        </w:tc>
        <w:tc>
          <w:tcPr>
            <w:tcW w:type="dxa" w:w="712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color w:val="3F4A54"/>
                <w:sz w:val="18"/>
              </w:rPr>
              <w:t>Business requirements baseline for stakeholder review</w:t>
            </w:r>
          </w:p>
        </w:tc>
      </w:tr>
      <w:tr>
        <w:tc>
          <w:tcPr>
            <w:tcW w:type="dxa" w:w="2232"/>
            <w:shd w:fill="EAF2F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b/>
                <w:color w:val="17324D"/>
                <w:sz w:val="18"/>
              </w:rPr>
              <w:t>Primary audience</w:t>
            </w:r>
          </w:p>
        </w:tc>
        <w:tc>
          <w:tcPr>
            <w:tcW w:type="dxa" w:w="712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color w:val="3F4A54"/>
                <w:sz w:val="18"/>
              </w:rPr>
              <w:t>Founders, CA partners, GST professionals, audit managers, product designers and technology teams</w:t>
            </w:r>
          </w:p>
        </w:tc>
      </w:tr>
      <w:tr>
        <w:tc>
          <w:tcPr>
            <w:tcW w:type="dxa" w:w="2232"/>
            <w:shd w:fill="EAF2F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b/>
                <w:color w:val="17324D"/>
                <w:sz w:val="18"/>
              </w:rPr>
              <w:t>Product principle</w:t>
            </w:r>
          </w:p>
        </w:tc>
        <w:tc>
          <w:tcPr>
            <w:tcW w:type="dxa" w:w="7128"/>
            <w:tcMar>
              <w:top w:w="80" w:type="dxa"/>
              <w:start w:w="90" w:type="dxa"/>
              <w:bottom w:w="80" w:type="dxa"/>
              <w:end w:w="90" w:type="dxa"/>
            </w:tcMar>
            <w:tcBorders>
              <w:top w:val="single" w:sz="3" w:color="D9E0E6"/>
              <w:start w:val="single" w:sz="3" w:color="D9E0E6"/>
              <w:bottom w:val="single" w:sz="3" w:color="D9E0E6"/>
              <w:end w:val="single" w:sz="3" w:color="D9E0E6"/>
            </w:tcBorders>
          </w:tcPr>
          <w:p>
            <w:r>
              <w:rPr>
                <w:rFonts w:ascii="Lato" w:hAnsi="Lato"/>
                <w:color w:val="3F4A54"/>
                <w:sz w:val="18"/>
              </w:rPr>
              <w:t>The platform flags risks and prepares evidence; it never declares fraud or replaces the auditor.</w:t>
            </w:r>
          </w:p>
        </w:tc>
      </w:tr>
    </w:tbl>
    <w:p>
      <w:pPr>
        <w:widowControl/>
        <w:spacing w:before="440" w:after="0"/>
      </w:pPr>
      <w:r>
        <w:rPr>
          <w:rFonts w:ascii="Lato" w:hAnsi="Lato"/>
          <w:b/>
          <w:color w:val="17324D"/>
          <w:sz w:val="19"/>
        </w:rPr>
        <w:t>Important notice</w:t>
      </w:r>
    </w:p>
    <w:p>
      <w:pPr>
        <w:widowControl/>
        <w:spacing w:after="0"/>
      </w:pPr>
      <w:r>
        <w:rPr>
          <w:rFonts w:ascii="Lato" w:hAnsi="Lato"/>
          <w:i/>
          <w:color w:val="66737F"/>
          <w:sz w:val="17"/>
        </w:rPr>
        <w:t>This BRD describes a software product and operating workflow. It is not legal, tax or audit advice. Final procedures, conclusions and statutory filings remain the responsibility of authorised professionals.</w:t>
      </w:r>
    </w:p>
    <w:p>
      <w:pPr>
        <w:widowControl/>
      </w:pPr>
      <w:r>
        <w:rPr>
          <w:rFonts w:ascii="Lato" w:hAnsi="Lato"/>
        </w:rPr>
        <w:br w:type="page"/>
      </w:r>
    </w:p>
    <w:p>
      <w:pPr>
        <w:pStyle w:val="Heading1"/>
        <w:keepNext/>
        <w:pageBreakBefore w:val="0"/>
        <w:widowControl/>
        <w:spacing w:before="240" w:after="100"/>
      </w:pPr>
      <w:r>
        <w:rPr>
          <w:rFonts w:ascii="Lato" w:hAnsi="Lato"/>
          <w:b/>
          <w:color w:val="17324D"/>
          <w:sz w:val="34"/>
        </w:rPr>
        <w:t>Document control</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52"/>
            <w:shd w:fill="17324D"/>
            <w:tcMar>
              <w:top w:w="70" w:type="dxa"/>
              <w:start w:w="70" w:type="dxa"/>
              <w:bottom w:w="70" w:type="dxa"/>
              <w:end w:w="70" w:type="dxa"/>
            </w:tcMar>
          </w:tcPr>
          <w:p>
            <w:pPr>
              <w:jc w:val="left"/>
            </w:pPr>
            <w:r>
              <w:rPr>
                <w:rFonts w:ascii="Lato" w:hAnsi="Lato"/>
                <w:b/>
                <w:color w:val="FFFFFF"/>
                <w:sz w:val="17"/>
              </w:rPr>
              <w:t>Version</w:t>
            </w:r>
          </w:p>
        </w:tc>
        <w:tc>
          <w:tcPr>
            <w:tcW w:type="dxa" w:w="1728"/>
            <w:shd w:fill="17324D"/>
            <w:tcMar>
              <w:top w:w="70" w:type="dxa"/>
              <w:start w:w="70" w:type="dxa"/>
              <w:bottom w:w="70" w:type="dxa"/>
              <w:end w:w="70" w:type="dxa"/>
            </w:tcMar>
          </w:tcPr>
          <w:p>
            <w:pPr>
              <w:jc w:val="left"/>
            </w:pPr>
            <w:r>
              <w:rPr>
                <w:rFonts w:ascii="Lato" w:hAnsi="Lato"/>
                <w:b/>
                <w:color w:val="FFFFFF"/>
                <w:sz w:val="17"/>
              </w:rPr>
              <w:t>Date</w:t>
            </w:r>
          </w:p>
        </w:tc>
        <w:tc>
          <w:tcPr>
            <w:tcW w:type="dxa" w:w="5328"/>
            <w:shd w:fill="17324D"/>
            <w:tcMar>
              <w:top w:w="70" w:type="dxa"/>
              <w:start w:w="70" w:type="dxa"/>
              <w:bottom w:w="70" w:type="dxa"/>
              <w:end w:w="70" w:type="dxa"/>
            </w:tcMar>
          </w:tcPr>
          <w:p>
            <w:pPr>
              <w:jc w:val="left"/>
            </w:pPr>
            <w:r>
              <w:rPr>
                <w:rFonts w:ascii="Lato" w:hAnsi="Lato"/>
                <w:b/>
                <w:color w:val="FFFFFF"/>
                <w:sz w:val="17"/>
              </w:rPr>
              <w:t>Purpose</w:t>
            </w:r>
          </w:p>
        </w:tc>
        <w:tc>
          <w:tcPr>
            <w:tcW w:type="dxa" w:w="1152"/>
            <w:shd w:fill="17324D"/>
            <w:tcMar>
              <w:top w:w="70" w:type="dxa"/>
              <w:start w:w="70" w:type="dxa"/>
              <w:bottom w:w="70" w:type="dxa"/>
              <w:end w:w="70" w:type="dxa"/>
            </w:tcMar>
          </w:tcPr>
          <w:p>
            <w:pPr>
              <w:jc w:val="left"/>
            </w:pPr>
            <w:r>
              <w:rPr>
                <w:rFonts w:ascii="Lato" w:hAnsi="Lato"/>
                <w:b/>
                <w:color w:val="FFFFFF"/>
                <w:sz w:val="17"/>
              </w:rPr>
              <w:t>Owner</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1.0</w:t>
            </w:r>
          </w:p>
        </w:tc>
        <w:tc>
          <w:tcPr>
            <w:tcW w:type="dxa" w:w="1728"/>
            <w:tcMar>
              <w:top w:w="60" w:type="dxa"/>
              <w:start w:w="70" w:type="dxa"/>
              <w:bottom w:w="60" w:type="dxa"/>
              <w:end w:w="70" w:type="dxa"/>
            </w:tcMar>
            <w:shd w:fill="FAFBFC"/>
            <w:vAlign w:val="top"/>
          </w:tcPr>
          <w:p>
            <w:pPr>
              <w:spacing w:after="0" w:line="240" w:lineRule="auto"/>
            </w:pPr>
            <w:r>
              <w:rPr>
                <w:rFonts w:ascii="Lato" w:hAnsi="Lato"/>
                <w:color w:val="3F4A54"/>
                <w:sz w:val="17"/>
              </w:rPr>
              <w:t>15 Aug 2026</w:t>
            </w:r>
          </w:p>
        </w:tc>
        <w:tc>
          <w:tcPr>
            <w:tcW w:type="dxa" w:w="5328"/>
            <w:tcMar>
              <w:top w:w="60" w:type="dxa"/>
              <w:start w:w="70" w:type="dxa"/>
              <w:bottom w:w="60" w:type="dxa"/>
              <w:end w:w="70" w:type="dxa"/>
            </w:tcMar>
            <w:shd w:fill="FAFBFC"/>
            <w:vAlign w:val="top"/>
          </w:tcPr>
          <w:p>
            <w:pPr>
              <w:spacing w:after="0" w:line="240" w:lineRule="auto"/>
            </w:pPr>
            <w:r>
              <w:rPr>
                <w:rFonts w:ascii="Lato" w:hAnsi="Lato"/>
                <w:color w:val="3F4A54"/>
                <w:sz w:val="17"/>
              </w:rPr>
              <w:t>Initial comprehensive BRD written in plain language</w:t>
            </w:r>
          </w:p>
        </w:tc>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Product Sponsor / Audit SME</w:t>
            </w:r>
          </w:p>
        </w:tc>
      </w:tr>
    </w:tbl>
    <w:p>
      <w:pPr>
        <w:widowControl/>
        <w:spacing w:after="0"/>
      </w:pPr>
    </w:p>
    <w:p>
      <w:pPr>
        <w:pStyle w:val="Heading2"/>
        <w:keepNext/>
        <w:pageBreakBefore w:val="0"/>
        <w:widowControl/>
        <w:spacing w:before="140" w:after="60"/>
      </w:pPr>
      <w:r>
        <w:rPr>
          <w:rFonts w:ascii="Lato" w:hAnsi="Lato"/>
          <w:b/>
          <w:color w:val="0F766E"/>
          <w:sz w:val="26"/>
        </w:rPr>
        <w:t>Approval roles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76"/>
            <w:shd w:fill="0F766E"/>
            <w:tcMar>
              <w:top w:w="70" w:type="dxa"/>
              <w:start w:w="70" w:type="dxa"/>
              <w:bottom w:w="70" w:type="dxa"/>
              <w:end w:w="70" w:type="dxa"/>
            </w:tcMar>
          </w:tcPr>
          <w:p>
            <w:pPr>
              <w:jc w:val="left"/>
            </w:pPr>
            <w:r>
              <w:rPr>
                <w:rFonts w:ascii="Lato" w:hAnsi="Lato"/>
                <w:b/>
                <w:color w:val="FFFFFF"/>
                <w:sz w:val="17"/>
              </w:rPr>
              <w:t>Role</w:t>
            </w:r>
          </w:p>
        </w:tc>
        <w:tc>
          <w:tcPr>
            <w:tcW w:type="dxa" w:w="6984"/>
            <w:shd w:fill="0F766E"/>
            <w:tcMar>
              <w:top w:w="70" w:type="dxa"/>
              <w:start w:w="70" w:type="dxa"/>
              <w:bottom w:w="70" w:type="dxa"/>
              <w:end w:w="70" w:type="dxa"/>
            </w:tcMar>
          </w:tcPr>
          <w:p>
            <w:pPr>
              <w:jc w:val="left"/>
            </w:pPr>
            <w:r>
              <w:rPr>
                <w:rFonts w:ascii="Lato" w:hAnsi="Lato"/>
                <w:b/>
                <w:color w:val="FFFFFF"/>
                <w:sz w:val="17"/>
              </w:rPr>
              <w:t>What the role approves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Product Sponsor</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Business direction, target customer and commercial scope</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Audit Methodology Lead</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Risk rules, evidence expectations, wording and professional safeguards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GST Subject-Matter Expert</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GST matching logic, exception categories and pre-filing workflow</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Technology Lead</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Feasibility, integration, security and implementation plan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Information Security Lead</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Data protection, access control, logging, retention and incident response</w:t>
            </w:r>
          </w:p>
        </w:tc>
      </w:tr>
    </w:tbl>
    <w:p>
      <w:pPr>
        <w:widowControl/>
        <w:spacing w:after="0"/>
      </w:pPr>
    </w:p>
    <w:p>
      <w:pPr>
        <w:pStyle w:val="Heading1"/>
        <w:keepNext/>
        <w:pageBreakBefore w:val="0"/>
        <w:widowControl/>
        <w:spacing w:before="240" w:after="100"/>
      </w:pPr>
      <w:r>
        <w:rPr>
          <w:rFonts w:ascii="Lato" w:hAnsi="Lato"/>
          <w:b/>
          <w:color w:val="17324D"/>
          <w:sz w:val="34"/>
        </w:rPr>
        <w:t>Contents</w:t>
      </w:r>
    </w:p>
    <w:p>
      <w:pPr>
        <w:pStyle w:val="ListBullet"/>
        <w:widowControl/>
        <w:spacing w:after="60" w:line="247" w:lineRule="auto"/>
        <w:ind w:left="288" w:hanging="173"/>
      </w:pPr>
      <w:r>
        <w:rPr>
          <w:rFonts w:ascii="Lato" w:hAnsi="Lato"/>
          <w:color w:val="3F4A54"/>
          <w:sz w:val="19"/>
        </w:rPr>
        <w:t>1. Executive summary</w:t>
      </w:r>
    </w:p>
    <w:p>
      <w:pPr>
        <w:pStyle w:val="ListBullet"/>
        <w:widowControl/>
        <w:spacing w:after="60" w:line="247" w:lineRule="auto"/>
        <w:ind w:left="288" w:hanging="173"/>
      </w:pPr>
      <w:r>
        <w:rPr>
          <w:rFonts w:ascii="Lato" w:hAnsi="Lato"/>
          <w:color w:val="3F4A54"/>
          <w:sz w:val="19"/>
        </w:rPr>
        <w:t>2. Business problem and product vision</w:t>
      </w:r>
    </w:p>
    <w:p>
      <w:pPr>
        <w:pStyle w:val="ListBullet"/>
        <w:widowControl/>
        <w:spacing w:after="60" w:line="247" w:lineRule="auto"/>
        <w:ind w:left="288" w:hanging="173"/>
      </w:pPr>
      <w:r>
        <w:rPr>
          <w:rFonts w:ascii="Lato" w:hAnsi="Lato"/>
          <w:color w:val="3F4A54"/>
          <w:sz w:val="19"/>
        </w:rPr>
        <w:t>3. Users, roles and end-to-end workflow</w:t>
      </w:r>
    </w:p>
    <w:p>
      <w:pPr>
        <w:pStyle w:val="ListBullet"/>
        <w:widowControl/>
        <w:spacing w:after="60" w:line="247" w:lineRule="auto"/>
        <w:ind w:left="288" w:hanging="173"/>
      </w:pPr>
      <w:r>
        <w:rPr>
          <w:rFonts w:ascii="Lato" w:hAnsi="Lato"/>
          <w:color w:val="3F4A54"/>
          <w:sz w:val="19"/>
        </w:rPr>
        <w:t>4. Scope, priorities and product boundaries</w:t>
      </w:r>
    </w:p>
    <w:p>
      <w:pPr>
        <w:pStyle w:val="ListBullet"/>
        <w:widowControl/>
        <w:spacing w:after="60" w:line="247" w:lineRule="auto"/>
        <w:ind w:left="288" w:hanging="173"/>
      </w:pPr>
      <w:r>
        <w:rPr>
          <w:rFonts w:ascii="Lato" w:hAnsi="Lato"/>
          <w:color w:val="3F4A54"/>
          <w:sz w:val="19"/>
        </w:rPr>
        <w:t>5. Data inputs and minimum data fields</w:t>
      </w:r>
    </w:p>
    <w:p>
      <w:pPr>
        <w:pStyle w:val="ListBullet"/>
        <w:widowControl/>
        <w:spacing w:after="60" w:line="247" w:lineRule="auto"/>
        <w:ind w:left="288" w:hanging="173"/>
      </w:pPr>
      <w:r>
        <w:rPr>
          <w:rFonts w:ascii="Lato" w:hAnsi="Lato"/>
          <w:color w:val="3F4A54"/>
          <w:sz w:val="19"/>
        </w:rPr>
        <w:t>6. Journal-entry testing</w:t>
      </w:r>
    </w:p>
    <w:p>
      <w:pPr>
        <w:pStyle w:val="ListBullet"/>
        <w:widowControl/>
        <w:spacing w:after="60" w:line="247" w:lineRule="auto"/>
        <w:ind w:left="288" w:hanging="173"/>
      </w:pPr>
      <w:r>
        <w:rPr>
          <w:rFonts w:ascii="Lato" w:hAnsi="Lato"/>
          <w:color w:val="3F4A54"/>
          <w:sz w:val="19"/>
        </w:rPr>
        <w:t>7. GST reconciliation and pre-filing checks</w:t>
      </w:r>
    </w:p>
    <w:p>
      <w:pPr>
        <w:pStyle w:val="ListBullet"/>
        <w:widowControl/>
        <w:spacing w:after="60" w:line="247" w:lineRule="auto"/>
        <w:ind w:left="288" w:hanging="173"/>
      </w:pPr>
      <w:r>
        <w:rPr>
          <w:rFonts w:ascii="Lato" w:hAnsi="Lato"/>
          <w:color w:val="3F4A54"/>
          <w:sz w:val="19"/>
        </w:rPr>
        <w:t>8. Vendor and payment anomaly analysis</w:t>
      </w:r>
    </w:p>
    <w:p>
      <w:pPr>
        <w:pStyle w:val="ListBullet"/>
        <w:widowControl/>
        <w:spacing w:after="60" w:line="247" w:lineRule="auto"/>
        <w:ind w:left="288" w:hanging="173"/>
      </w:pPr>
      <w:r>
        <w:rPr>
          <w:rFonts w:ascii="Lato" w:hAnsi="Lato"/>
          <w:color w:val="3F4A54"/>
          <w:sz w:val="19"/>
        </w:rPr>
        <w:t>9. Revenue and expense manipulation screening</w:t>
      </w:r>
    </w:p>
    <w:p>
      <w:pPr>
        <w:pStyle w:val="ListBullet"/>
        <w:widowControl/>
        <w:spacing w:after="60" w:line="247" w:lineRule="auto"/>
        <w:ind w:left="288" w:hanging="173"/>
      </w:pPr>
      <w:r>
        <w:rPr>
          <w:rFonts w:ascii="Lato" w:hAnsi="Lato"/>
          <w:color w:val="3F4A54"/>
          <w:sz w:val="19"/>
        </w:rPr>
        <w:t>10. Audit-trail review</w:t>
      </w:r>
    </w:p>
    <w:p>
      <w:pPr>
        <w:pStyle w:val="ListBullet"/>
        <w:widowControl/>
        <w:spacing w:after="60" w:line="247" w:lineRule="auto"/>
        <w:ind w:left="288" w:hanging="173"/>
      </w:pPr>
      <w:r>
        <w:rPr>
          <w:rFonts w:ascii="Lato" w:hAnsi="Lato"/>
          <w:color w:val="3F4A54"/>
          <w:sz w:val="19"/>
        </w:rPr>
        <w:t>11. Bank-to-books reconciliation</w:t>
      </w:r>
    </w:p>
    <w:p>
      <w:pPr>
        <w:pStyle w:val="ListBullet"/>
        <w:widowControl/>
        <w:spacing w:after="60" w:line="247" w:lineRule="auto"/>
        <w:ind w:left="288" w:hanging="173"/>
      </w:pPr>
      <w:r>
        <w:rPr>
          <w:rFonts w:ascii="Lato" w:hAnsi="Lato"/>
          <w:color w:val="3F4A54"/>
          <w:sz w:val="19"/>
        </w:rPr>
        <w:t>12. Period-end testing</w:t>
      </w:r>
    </w:p>
    <w:p>
      <w:pPr>
        <w:pStyle w:val="ListBullet"/>
        <w:widowControl/>
        <w:spacing w:after="60" w:line="247" w:lineRule="auto"/>
        <w:ind w:left="288" w:hanging="173"/>
      </w:pPr>
      <w:r>
        <w:rPr>
          <w:rFonts w:ascii="Lato" w:hAnsi="Lato"/>
          <w:color w:val="3F4A54"/>
          <w:sz w:val="19"/>
        </w:rPr>
        <w:t>13. Management-override testing</w:t>
      </w:r>
    </w:p>
    <w:p>
      <w:pPr>
        <w:pStyle w:val="ListBullet"/>
        <w:widowControl/>
        <w:spacing w:after="60" w:line="247" w:lineRule="auto"/>
        <w:ind w:left="288" w:hanging="173"/>
      </w:pPr>
      <w:r>
        <w:rPr>
          <w:rFonts w:ascii="Lato" w:hAnsi="Lato"/>
          <w:color w:val="3F4A54"/>
          <w:sz w:val="19"/>
        </w:rPr>
        <w:t>14. Client-document collection</w:t>
      </w:r>
    </w:p>
    <w:p>
      <w:pPr>
        <w:pStyle w:val="ListBullet"/>
        <w:widowControl/>
        <w:spacing w:after="60" w:line="247" w:lineRule="auto"/>
        <w:ind w:left="288" w:hanging="173"/>
      </w:pPr>
      <w:r>
        <w:rPr>
          <w:rFonts w:ascii="Lato" w:hAnsi="Lato"/>
          <w:color w:val="3F4A54"/>
          <w:sz w:val="19"/>
        </w:rPr>
        <w:t>15. Audit-workpaper preparation</w:t>
      </w:r>
    </w:p>
    <w:p>
      <w:pPr>
        <w:pStyle w:val="ListBullet"/>
        <w:widowControl/>
        <w:spacing w:after="60" w:line="247" w:lineRule="auto"/>
        <w:ind w:left="288" w:hanging="173"/>
      </w:pPr>
      <w:r>
        <w:rPr>
          <w:rFonts w:ascii="Lato" w:hAnsi="Lato"/>
          <w:color w:val="3F4A54"/>
          <w:sz w:val="19"/>
        </w:rPr>
        <w:t>16. Benford's Law module</w:t>
      </w:r>
    </w:p>
    <w:p>
      <w:pPr>
        <w:pStyle w:val="ListBullet"/>
        <w:widowControl/>
        <w:spacing w:after="60" w:line="247" w:lineRule="auto"/>
        <w:ind w:left="288" w:hanging="173"/>
      </w:pPr>
      <w:r>
        <w:rPr>
          <w:rFonts w:ascii="Lato" w:hAnsi="Lato"/>
          <w:color w:val="3F4A54"/>
          <w:sz w:val="19"/>
        </w:rPr>
        <w:t>17. Risk scoring and investigation workflow</w:t>
      </w:r>
    </w:p>
    <w:p>
      <w:pPr>
        <w:pStyle w:val="ListBullet"/>
        <w:widowControl/>
        <w:spacing w:after="60" w:line="247" w:lineRule="auto"/>
        <w:ind w:left="288" w:hanging="173"/>
      </w:pPr>
      <w:r>
        <w:rPr>
          <w:rFonts w:ascii="Lato" w:hAnsi="Lato"/>
          <w:color w:val="3F4A54"/>
          <w:sz w:val="19"/>
        </w:rPr>
        <w:t>18. Dashboards, reports and notifications</w:t>
      </w:r>
    </w:p>
    <w:p>
      <w:pPr>
        <w:pStyle w:val="ListBullet"/>
        <w:widowControl/>
        <w:spacing w:after="60" w:line="247" w:lineRule="auto"/>
        <w:ind w:left="288" w:hanging="173"/>
      </w:pPr>
      <w:r>
        <w:rPr>
          <w:rFonts w:ascii="Lato" w:hAnsi="Lato"/>
          <w:color w:val="3F4A54"/>
          <w:sz w:val="19"/>
        </w:rPr>
        <w:t>19. Security, privacy and non-functional requirements</w:t>
      </w:r>
    </w:p>
    <w:p>
      <w:pPr>
        <w:pStyle w:val="ListBullet"/>
        <w:widowControl/>
        <w:spacing w:after="60" w:line="247" w:lineRule="auto"/>
        <w:ind w:left="288" w:hanging="173"/>
      </w:pPr>
      <w:r>
        <w:rPr>
          <w:rFonts w:ascii="Lato" w:hAnsi="Lato"/>
          <w:color w:val="3F4A54"/>
          <w:sz w:val="19"/>
        </w:rPr>
        <w:t>20. AI use and professional safeguards</w:t>
      </w:r>
    </w:p>
    <w:p>
      <w:pPr>
        <w:pStyle w:val="ListBullet"/>
        <w:widowControl/>
        <w:spacing w:after="60" w:line="247" w:lineRule="auto"/>
        <w:ind w:left="288" w:hanging="173"/>
      </w:pPr>
      <w:r>
        <w:rPr>
          <w:rFonts w:ascii="Lato" w:hAnsi="Lato"/>
          <w:color w:val="3F4A54"/>
          <w:sz w:val="19"/>
        </w:rPr>
        <w:t>21. MVP and phased delivery roadmap</w:t>
      </w:r>
    </w:p>
    <w:p>
      <w:pPr>
        <w:pStyle w:val="ListBullet"/>
        <w:widowControl/>
        <w:spacing w:after="60" w:line="247" w:lineRule="auto"/>
        <w:ind w:left="288" w:hanging="173"/>
      </w:pPr>
      <w:r>
        <w:rPr>
          <w:rFonts w:ascii="Lato" w:hAnsi="Lato"/>
          <w:color w:val="3F4A54"/>
          <w:sz w:val="19"/>
        </w:rPr>
        <w:t>22. Success measures, assumptions and dependencies</w:t>
      </w:r>
    </w:p>
    <w:p>
      <w:pPr>
        <w:pStyle w:val="ListBullet"/>
        <w:widowControl/>
        <w:spacing w:after="60" w:line="247" w:lineRule="auto"/>
        <w:ind w:left="288" w:hanging="173"/>
      </w:pPr>
      <w:r>
        <w:rPr>
          <w:rFonts w:ascii="Lato" w:hAnsi="Lato"/>
          <w:color w:val="3F4A54"/>
          <w:sz w:val="19"/>
        </w:rPr>
        <w:t>23. Consolidated acceptance criteria</w:t>
      </w:r>
    </w:p>
    <w:p>
      <w:pPr>
        <w:pStyle w:val="ListBullet"/>
        <w:widowControl/>
        <w:spacing w:after="60" w:line="247" w:lineRule="auto"/>
        <w:ind w:left="288" w:hanging="173"/>
      </w:pPr>
      <w:r>
        <w:rPr>
          <w:rFonts w:ascii="Lato" w:hAnsi="Lato"/>
          <w:color w:val="3F4A54"/>
          <w:sz w:val="19"/>
        </w:rPr>
        <w:t>24. Glossary</w:t>
      </w:r>
    </w:p>
    <w:p>
      <w:pPr>
        <w:pStyle w:val="ListBullet"/>
        <w:widowControl/>
        <w:spacing w:after="60" w:line="247" w:lineRule="auto"/>
        <w:ind w:left="288" w:hanging="173"/>
      </w:pPr>
      <w:r>
        <w:rPr>
          <w:rFonts w:ascii="Lato" w:hAnsi="Lato"/>
          <w:color w:val="3F4A54"/>
          <w:sz w:val="19"/>
        </w:rPr>
        <w:t>25. Regulatory and professional reference points</w:t>
      </w:r>
    </w:p>
    <w:p>
      <w:pPr>
        <w:widowControl/>
      </w:pPr>
      <w:r>
        <w:rPr>
          <w:rFonts w:ascii="Lato" w:hAnsi="Lato"/>
        </w:rPr>
        <w:br w:type="page"/>
      </w:r>
    </w:p>
    <w:p>
      <w:pPr>
        <w:pStyle w:val="Heading1"/>
        <w:keepNext/>
        <w:pageBreakBefore w:val="0"/>
        <w:widowControl/>
        <w:spacing w:before="240" w:after="100"/>
      </w:pPr>
      <w:r>
        <w:rPr>
          <w:rFonts w:ascii="Lato" w:hAnsi="Lato"/>
          <w:b/>
          <w:color w:val="17324D"/>
          <w:sz w:val="34"/>
        </w:rPr>
        <w:t>1. Executive summary</w:t>
      </w:r>
    </w:p>
    <w:p>
      <w:pPr>
        <w:widowControl/>
        <w:spacing w:after="80" w:line="259" w:lineRule="auto"/>
      </w:pPr>
      <w:r>
        <w:rPr>
          <w:rFonts w:ascii="Lato" w:hAnsi="Lato"/>
          <w:i w:val="0"/>
          <w:color w:val="3F4A54"/>
          <w:sz w:val="20"/>
        </w:rPr>
        <w:t>The proposed platform is a multi-client audit and GST risk-intelligence system for Chartered Accountant firms and related financial-review teams. It helps professionals examine complete transaction populations instead of depending only on samples, find unusual transactions, compare the books with GST and bank records, request supporting documents, record the auditor's judgement, and generate structured working papers.</w:t>
      </w:r>
    </w:p>
    <w:tbl>
      <w:tblPr>
        <w:tblW w:type="auto" w:w="0"/>
        <w:jc w:val="center"/>
        <w:tblLayout w:type="fixed"/>
        <w:tblLook w:firstColumn="1" w:firstRow="1" w:lastColumn="0" w:lastRow="0" w:noHBand="0" w:noVBand="1" w:val="04A0"/>
      </w:tblPr>
      <w:tblGrid>
        <w:gridCol w:w="10086"/>
      </w:tblGrid>
      <w:tr>
        <w:tc>
          <w:tcPr>
            <w:tcW w:type="dxa" w:w="9360"/>
            <w:shd w:fill="FFF3CD"/>
            <w:tcMar>
              <w:top w:w="110" w:type="dxa"/>
              <w:start w:w="150" w:type="dxa"/>
              <w:bottom w:w="110" w:type="dxa"/>
              <w:end w:w="150" w:type="dxa"/>
            </w:tcMar>
            <w:tcBorders>
              <w:top w:val="single" w:sz="2" w:color="FFF3CD"/>
              <w:start w:val="single" w:sz="18" w:color="8A5A00"/>
              <w:bottom w:val="single" w:sz="2" w:color="FFF3CD"/>
              <w:end w:val="single" w:sz="2" w:color="FFF3CD"/>
            </w:tcBorders>
          </w:tcPr>
          <w:p>
            <w:pPr>
              <w:spacing w:after="40"/>
            </w:pPr>
            <w:r>
              <w:rPr>
                <w:rFonts w:ascii="Lato" w:hAnsi="Lato"/>
                <w:b/>
                <w:color w:val="8A5A00"/>
                <w:sz w:val="21"/>
              </w:rPr>
              <w:t>The easiest way to understand the product</w:t>
            </w:r>
          </w:p>
          <w:p>
            <w:pPr>
              <w:spacing w:after="0" w:line="252" w:lineRule="auto"/>
            </w:pPr>
            <w:r>
              <w:rPr>
                <w:rFonts w:ascii="Lato" w:hAnsi="Lato"/>
                <w:color w:val="3F4A54"/>
                <w:sz w:val="19"/>
              </w:rPr>
              <w:t>It is a smoke-alarm and case-management system for financial records. It tells the auditor where to look and why. The auditor still decides whether the transaction is valid, an error, a control weakness, or a matter requiring further investigation.</w:t>
            </w:r>
          </w:p>
        </w:tc>
      </w:tr>
    </w:tbl>
    <w:p>
      <w:pPr>
        <w:widowControl/>
        <w:spacing w:after="0"/>
      </w:pPr>
    </w:p>
    <w:p>
      <w:pPr>
        <w:pStyle w:val="Heading2"/>
        <w:keepNext/>
        <w:pageBreakBefore w:val="0"/>
        <w:widowControl/>
        <w:spacing w:before="140" w:after="60"/>
      </w:pPr>
      <w:r>
        <w:rPr>
          <w:rFonts w:ascii="Lato" w:hAnsi="Lato"/>
          <w:b/>
          <w:color w:val="0F766E"/>
          <w:sz w:val="26"/>
        </w:rPr>
        <w:t>What business outcome it creates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4320"/>
            <w:shd w:fill="17324D"/>
            <w:tcMar>
              <w:top w:w="70" w:type="dxa"/>
              <w:start w:w="70" w:type="dxa"/>
              <w:bottom w:w="70" w:type="dxa"/>
              <w:end w:w="70" w:type="dxa"/>
            </w:tcMar>
          </w:tcPr>
          <w:p>
            <w:pPr>
              <w:jc w:val="left"/>
            </w:pPr>
            <w:r>
              <w:rPr>
                <w:rFonts w:ascii="Lato" w:hAnsi="Lato"/>
                <w:b/>
                <w:color w:val="FFFFFF"/>
                <w:sz w:val="17"/>
              </w:rPr>
              <w:t>Current problem</w:t>
            </w:r>
          </w:p>
        </w:tc>
        <w:tc>
          <w:tcPr>
            <w:tcW w:type="dxa" w:w="5040"/>
            <w:shd w:fill="17324D"/>
            <w:tcMar>
              <w:top w:w="70" w:type="dxa"/>
              <w:start w:w="70" w:type="dxa"/>
              <w:bottom w:w="70" w:type="dxa"/>
              <w:end w:w="70" w:type="dxa"/>
            </w:tcMar>
          </w:tcPr>
          <w:p>
            <w:pPr>
              <w:jc w:val="left"/>
            </w:pPr>
            <w:r>
              <w:rPr>
                <w:rFonts w:ascii="Lato" w:hAnsi="Lato"/>
                <w:b/>
                <w:color w:val="FFFFFF"/>
                <w:sz w:val="17"/>
              </w:rPr>
              <w:t>Future state with the platform</w:t>
            </w:r>
          </w:p>
        </w:tc>
      </w:tr>
      <w:tr>
        <w:trPr>
          <w:cantSplit/>
        </w:trPr>
        <w:tc>
          <w:tcPr>
            <w:tcW w:type="dxa" w:w="4320"/>
            <w:tcMar>
              <w:top w:w="60" w:type="dxa"/>
              <w:start w:w="70" w:type="dxa"/>
              <w:bottom w:w="60" w:type="dxa"/>
              <w:end w:w="70" w:type="dxa"/>
            </w:tcMar>
            <w:shd w:fill="FAFBFC"/>
            <w:vAlign w:val="top"/>
          </w:tcPr>
          <w:p>
            <w:pPr>
              <w:spacing w:after="0" w:line="240" w:lineRule="auto"/>
            </w:pPr>
            <w:r>
              <w:rPr>
                <w:rFonts w:ascii="Lato" w:hAnsi="Lato"/>
                <w:color w:val="3F4A54"/>
                <w:sz w:val="17"/>
              </w:rPr>
              <w:t>Auditors review samples and many unusual entries remain hidden.</w:t>
            </w:r>
          </w:p>
        </w:tc>
        <w:tc>
          <w:tcPr>
            <w:tcW w:type="dxa" w:w="5040"/>
            <w:tcMar>
              <w:top w:w="60" w:type="dxa"/>
              <w:start w:w="70" w:type="dxa"/>
              <w:bottom w:w="60" w:type="dxa"/>
              <w:end w:w="70" w:type="dxa"/>
            </w:tcMar>
            <w:shd w:fill="FAFBFC"/>
            <w:vAlign w:val="top"/>
          </w:tcPr>
          <w:p>
            <w:pPr>
              <w:spacing w:after="0" w:line="240" w:lineRule="auto"/>
            </w:pPr>
            <w:r>
              <w:rPr>
                <w:rFonts w:ascii="Lato" w:hAnsi="Lato"/>
                <w:color w:val="3F4A54"/>
                <w:sz w:val="17"/>
              </w:rPr>
              <w:t>The platform analyses every eligible transaction and ranks the entries that deserve attention.</w:t>
            </w:r>
          </w:p>
        </w:tc>
      </w:tr>
      <w:tr>
        <w:trPr>
          <w:cantSplit/>
        </w:trPr>
        <w:tc>
          <w:tcPr>
            <w:tcW w:type="dxa" w:w="4320"/>
            <w:tcMar>
              <w:top w:w="60" w:type="dxa"/>
              <w:start w:w="70" w:type="dxa"/>
              <w:bottom w:w="60" w:type="dxa"/>
              <w:end w:w="70" w:type="dxa"/>
            </w:tcMar>
            <w:vAlign w:val="top"/>
          </w:tcPr>
          <w:p>
            <w:pPr>
              <w:spacing w:after="0" w:line="240" w:lineRule="auto"/>
            </w:pPr>
            <w:r>
              <w:rPr>
                <w:rFonts w:ascii="Lato" w:hAnsi="Lato"/>
                <w:color w:val="3F4A54"/>
                <w:sz w:val="17"/>
              </w:rPr>
              <w:t>GST matching is performed through multiple spreadsheets.</w:t>
            </w:r>
          </w:p>
        </w:tc>
        <w:tc>
          <w:tcPr>
            <w:tcW w:type="dxa" w:w="5040"/>
            <w:tcMar>
              <w:top w:w="60" w:type="dxa"/>
              <w:start w:w="70" w:type="dxa"/>
              <w:bottom w:w="60" w:type="dxa"/>
              <w:end w:w="70" w:type="dxa"/>
            </w:tcMar>
            <w:vAlign w:val="top"/>
          </w:tcPr>
          <w:p>
            <w:pPr>
              <w:spacing w:after="0" w:line="240" w:lineRule="auto"/>
            </w:pPr>
            <w:r>
              <w:rPr>
                <w:rFonts w:ascii="Lato" w:hAnsi="Lato"/>
                <w:color w:val="3F4A54"/>
                <w:sz w:val="17"/>
              </w:rPr>
              <w:t>Books, GSTR-1, GSTR-2B, GSTR-3B and e-invoice data are compared in one controlled workflow.</w:t>
            </w:r>
          </w:p>
        </w:tc>
      </w:tr>
      <w:tr>
        <w:trPr>
          <w:cantSplit/>
        </w:trPr>
        <w:tc>
          <w:tcPr>
            <w:tcW w:type="dxa" w:w="4320"/>
            <w:tcMar>
              <w:top w:w="60" w:type="dxa"/>
              <w:start w:w="70" w:type="dxa"/>
              <w:bottom w:w="60" w:type="dxa"/>
              <w:end w:w="70" w:type="dxa"/>
            </w:tcMar>
            <w:shd w:fill="FAFBFC"/>
            <w:vAlign w:val="top"/>
          </w:tcPr>
          <w:p>
            <w:pPr>
              <w:spacing w:after="0" w:line="240" w:lineRule="auto"/>
            </w:pPr>
            <w:r>
              <w:rPr>
                <w:rFonts w:ascii="Lato" w:hAnsi="Lato"/>
                <w:color w:val="3F4A54"/>
                <w:sz w:val="17"/>
              </w:rPr>
              <w:t>Client evidence is scattered across email and messaging applications.</w:t>
            </w:r>
          </w:p>
        </w:tc>
        <w:tc>
          <w:tcPr>
            <w:tcW w:type="dxa" w:w="5040"/>
            <w:tcMar>
              <w:top w:w="60" w:type="dxa"/>
              <w:start w:w="70" w:type="dxa"/>
              <w:bottom w:w="60" w:type="dxa"/>
              <w:end w:w="70" w:type="dxa"/>
            </w:tcMar>
            <w:shd w:fill="FAFBFC"/>
            <w:vAlign w:val="top"/>
          </w:tcPr>
          <w:p>
            <w:pPr>
              <w:spacing w:after="0" w:line="240" w:lineRule="auto"/>
            </w:pPr>
            <w:r>
              <w:rPr>
                <w:rFonts w:ascii="Lato" w:hAnsi="Lato"/>
                <w:color w:val="3F4A54"/>
                <w:sz w:val="17"/>
              </w:rPr>
              <w:t>Every request and document is linked to the exact exception, with due dates and version history.</w:t>
            </w:r>
          </w:p>
        </w:tc>
      </w:tr>
      <w:tr>
        <w:trPr>
          <w:cantSplit/>
        </w:trPr>
        <w:tc>
          <w:tcPr>
            <w:tcW w:type="dxa" w:w="4320"/>
            <w:tcMar>
              <w:top w:w="60" w:type="dxa"/>
              <w:start w:w="70" w:type="dxa"/>
              <w:bottom w:w="60" w:type="dxa"/>
              <w:end w:w="70" w:type="dxa"/>
            </w:tcMar>
            <w:vAlign w:val="top"/>
          </w:tcPr>
          <w:p>
            <w:pPr>
              <w:spacing w:after="0" w:line="240" w:lineRule="auto"/>
            </w:pPr>
            <w:r>
              <w:rPr>
                <w:rFonts w:ascii="Lato" w:hAnsi="Lato"/>
                <w:color w:val="3F4A54"/>
                <w:sz w:val="17"/>
              </w:rPr>
              <w:t>Audit teams repeat the same checks manually for every client.</w:t>
            </w:r>
          </w:p>
        </w:tc>
        <w:tc>
          <w:tcPr>
            <w:tcW w:type="dxa" w:w="5040"/>
            <w:tcMar>
              <w:top w:w="60" w:type="dxa"/>
              <w:start w:w="70" w:type="dxa"/>
              <w:bottom w:w="60" w:type="dxa"/>
              <w:end w:w="70" w:type="dxa"/>
            </w:tcMar>
            <w:vAlign w:val="top"/>
          </w:tcPr>
          <w:p>
            <w:pPr>
              <w:spacing w:after="0" w:line="240" w:lineRule="auto"/>
            </w:pPr>
            <w:r>
              <w:rPr>
                <w:rFonts w:ascii="Lato" w:hAnsi="Lato"/>
                <w:color w:val="3F4A54"/>
                <w:sz w:val="17"/>
              </w:rPr>
              <w:t>Firm-approved tests are reusable, configurable and fully documented.</w:t>
            </w:r>
          </w:p>
        </w:tc>
      </w:tr>
      <w:tr>
        <w:trPr>
          <w:cantSplit/>
        </w:trPr>
        <w:tc>
          <w:tcPr>
            <w:tcW w:type="dxa" w:w="4320"/>
            <w:tcMar>
              <w:top w:w="60" w:type="dxa"/>
              <w:start w:w="70" w:type="dxa"/>
              <w:bottom w:w="60" w:type="dxa"/>
              <w:end w:w="70" w:type="dxa"/>
            </w:tcMar>
            <w:shd w:fill="FAFBFC"/>
            <w:vAlign w:val="top"/>
          </w:tcPr>
          <w:p>
            <w:pPr>
              <w:spacing w:after="0" w:line="240" w:lineRule="auto"/>
            </w:pPr>
            <w:r>
              <w:rPr>
                <w:rFonts w:ascii="Lato" w:hAnsi="Lato"/>
                <w:color w:val="3F4A54"/>
                <w:sz w:val="17"/>
              </w:rPr>
              <w:t>An anomaly is often shown without explaining its cause.</w:t>
            </w:r>
          </w:p>
        </w:tc>
        <w:tc>
          <w:tcPr>
            <w:tcW w:type="dxa" w:w="5040"/>
            <w:tcMar>
              <w:top w:w="60" w:type="dxa"/>
              <w:start w:w="70" w:type="dxa"/>
              <w:bottom w:w="60" w:type="dxa"/>
              <w:end w:w="70" w:type="dxa"/>
            </w:tcMar>
            <w:shd w:fill="FAFBFC"/>
            <w:vAlign w:val="top"/>
          </w:tcPr>
          <w:p>
            <w:pPr>
              <w:spacing w:after="0" w:line="240" w:lineRule="auto"/>
            </w:pPr>
            <w:r>
              <w:rPr>
                <w:rFonts w:ascii="Lato" w:hAnsi="Lato"/>
                <w:color w:val="3F4A54"/>
                <w:sz w:val="17"/>
              </w:rPr>
              <w:t>Each flag shows the triggering rule, affected transactions, exposure, related data and suggested procedure.</w:t>
            </w:r>
          </w:p>
        </w:tc>
      </w:tr>
      <w:tr>
        <w:trPr>
          <w:cantSplit/>
        </w:trPr>
        <w:tc>
          <w:tcPr>
            <w:tcW w:type="dxa" w:w="4320"/>
            <w:tcMar>
              <w:top w:w="60" w:type="dxa"/>
              <w:start w:w="70" w:type="dxa"/>
              <w:bottom w:w="60" w:type="dxa"/>
              <w:end w:w="70" w:type="dxa"/>
            </w:tcMar>
            <w:vAlign w:val="top"/>
          </w:tcPr>
          <w:p>
            <w:pPr>
              <w:spacing w:after="0" w:line="240" w:lineRule="auto"/>
            </w:pPr>
            <w:r>
              <w:rPr>
                <w:rFonts w:ascii="Lato" w:hAnsi="Lato"/>
                <w:color w:val="3F4A54"/>
                <w:sz w:val="17"/>
              </w:rPr>
              <w:t>Working papers are assembled at the end of the audit.</w:t>
            </w:r>
          </w:p>
        </w:tc>
        <w:tc>
          <w:tcPr>
            <w:tcW w:type="dxa" w:w="5040"/>
            <w:tcMar>
              <w:top w:w="60" w:type="dxa"/>
              <w:start w:w="70" w:type="dxa"/>
              <w:bottom w:w="60" w:type="dxa"/>
              <w:end w:w="70" w:type="dxa"/>
            </w:tcMar>
            <w:vAlign w:val="top"/>
          </w:tcPr>
          <w:p>
            <w:pPr>
              <w:spacing w:after="0" w:line="240" w:lineRule="auto"/>
            </w:pPr>
            <w:r>
              <w:rPr>
                <w:rFonts w:ascii="Lato" w:hAnsi="Lato"/>
                <w:color w:val="3F4A54"/>
                <w:sz w:val="17"/>
              </w:rPr>
              <w:t>The workpaper is built continuously as the team performs and reviews the work.</w:t>
            </w:r>
          </w:p>
        </w:tc>
      </w:tr>
    </w:tbl>
    <w:p>
      <w:pPr>
        <w:widowControl/>
        <w:spacing w:after="0"/>
      </w:pPr>
    </w:p>
    <w:p>
      <w:pPr>
        <w:pStyle w:val="Heading2"/>
        <w:keepNext/>
        <w:pageBreakBefore w:val="0"/>
        <w:widowControl/>
        <w:spacing w:before="140" w:after="60"/>
      </w:pPr>
      <w:r>
        <w:rPr>
          <w:rFonts w:ascii="Lato" w:hAnsi="Lato"/>
          <w:b/>
          <w:color w:val="0F766E"/>
          <w:sz w:val="26"/>
        </w:rPr>
        <w:t>MVP business promise</w:t>
      </w:r>
    </w:p>
    <w:tbl>
      <w:tblPr>
        <w:tblW w:type="auto" w:w="0"/>
        <w:jc w:val="center"/>
        <w:tblLayout w:type="fixed"/>
        <w:tblLook w:firstColumn="1" w:firstRow="1" w:lastColumn="0" w:lastRow="0" w:noHBand="0" w:noVBand="1" w:val="04A0"/>
      </w:tblPr>
      <w:tblGrid>
        <w:gridCol w:w="10086"/>
      </w:tblGrid>
      <w:tr>
        <w:tc>
          <w:tcPr>
            <w:tcW w:type="dxa" w:w="9360"/>
            <w:shd w:fill="EAF2F8"/>
            <w:tcMar>
              <w:top w:w="110" w:type="dxa"/>
              <w:start w:w="150" w:type="dxa"/>
              <w:bottom w:w="110" w:type="dxa"/>
              <w:end w:w="150" w:type="dxa"/>
            </w:tcMar>
            <w:tcBorders>
              <w:top w:val="single" w:sz="2" w:color="EAF2F8"/>
              <w:start w:val="single" w:sz="18" w:color="17324D"/>
              <w:bottom w:val="single" w:sz="2" w:color="EAF2F8"/>
              <w:end w:val="single" w:sz="2" w:color="EAF2F8"/>
            </w:tcBorders>
          </w:tcPr>
          <w:p>
            <w:pPr>
              <w:spacing w:after="40"/>
            </w:pPr>
            <w:r>
              <w:rPr>
                <w:rFonts w:ascii="Lato" w:hAnsi="Lato"/>
                <w:b/>
                <w:color w:val="17324D"/>
                <w:sz w:val="21"/>
              </w:rPr>
              <w:t>Proposed promise to a CA firm</w:t>
            </w:r>
          </w:p>
          <w:p>
            <w:pPr>
              <w:spacing w:after="0" w:line="252" w:lineRule="auto"/>
            </w:pPr>
            <w:r>
              <w:rPr>
                <w:rFonts w:ascii="Lato" w:hAnsi="Lato"/>
                <w:color w:val="3F4A54"/>
                <w:sz w:val="19"/>
              </w:rPr>
              <w:t>Upload the general ledger, purchase and sales registers, GST files, vendor master and bank statement. Receive a reconciled, risk-ranked exception register, evidence request list and review-ready workpaper pack.</w:t>
            </w:r>
          </w:p>
        </w:tc>
      </w:tr>
    </w:tbl>
    <w:p>
      <w:pPr>
        <w:widowControl/>
        <w:spacing w:after="0"/>
      </w:pPr>
    </w:p>
    <w:p>
      <w:pPr>
        <w:pStyle w:val="Heading1"/>
        <w:keepNext/>
        <w:pageBreakBefore w:val="0"/>
        <w:widowControl/>
        <w:spacing w:before="240" w:after="100"/>
      </w:pPr>
      <w:r>
        <w:rPr>
          <w:rFonts w:ascii="Lato" w:hAnsi="Lato"/>
          <w:b/>
          <w:color w:val="17324D"/>
          <w:sz w:val="34"/>
        </w:rPr>
        <w:t>2. Business problem and product vision</w:t>
      </w:r>
    </w:p>
    <w:p>
      <w:pPr>
        <w:pStyle w:val="Heading2"/>
        <w:keepNext/>
        <w:pageBreakBefore w:val="0"/>
        <w:widowControl/>
        <w:spacing w:before="140" w:after="60"/>
      </w:pPr>
      <w:r>
        <w:rPr>
          <w:rFonts w:ascii="Lato" w:hAnsi="Lato"/>
          <w:b/>
          <w:color w:val="0F766E"/>
          <w:sz w:val="26"/>
        </w:rPr>
        <w:t>2.1 Problem statement</w:t>
      </w:r>
    </w:p>
    <w:p>
      <w:pPr>
        <w:widowControl/>
        <w:spacing w:after="80" w:line="259" w:lineRule="auto"/>
      </w:pPr>
      <w:r>
        <w:rPr>
          <w:rFonts w:ascii="Lato" w:hAnsi="Lato"/>
          <w:i w:val="0"/>
          <w:color w:val="3F4A54"/>
          <w:sz w:val="20"/>
        </w:rPr>
        <w:t>CA firms and finance teams often work with large, inconsistent data exports from Tally, Excel, GST systems, banks and client ERPs. Important checks are performed manually, repeated across engagements and documented separately. This consumes skilled time, increases the chance of missing unusual entries and makes partner review difficult.</w:t>
      </w:r>
    </w:p>
    <w:p>
      <w:pPr>
        <w:pStyle w:val="Heading2"/>
        <w:keepNext/>
        <w:pageBreakBefore w:val="0"/>
        <w:widowControl/>
        <w:spacing w:before="140" w:after="60"/>
      </w:pPr>
      <w:r>
        <w:rPr>
          <w:rFonts w:ascii="Lato" w:hAnsi="Lato"/>
          <w:b/>
          <w:color w:val="0F766E"/>
          <w:sz w:val="26"/>
        </w:rPr>
        <w:t>2.2 Product vision</w:t>
      </w:r>
    </w:p>
    <w:p>
      <w:pPr>
        <w:widowControl/>
        <w:spacing w:after="80" w:line="259" w:lineRule="auto"/>
      </w:pPr>
      <w:r>
        <w:rPr>
          <w:rFonts w:ascii="Lato" w:hAnsi="Lato"/>
          <w:i w:val="0"/>
          <w:color w:val="3F4A54"/>
          <w:sz w:val="20"/>
        </w:rPr>
        <w:t>Create an India-focused audit operating platform that connects accounting transactions, GST records, bank movements, user activity and supporting documents. The system should identify risk patterns, explain them in simple language and guide the audit team from data import to final sign-off.</w:t>
      </w:r>
    </w:p>
    <w:p>
      <w:pPr>
        <w:pStyle w:val="Heading2"/>
        <w:keepNext/>
        <w:pageBreakBefore w:val="0"/>
        <w:widowControl/>
        <w:spacing w:before="140" w:after="60"/>
      </w:pPr>
      <w:r>
        <w:rPr>
          <w:rFonts w:ascii="Lato" w:hAnsi="Lato"/>
          <w:b/>
          <w:color w:val="0F766E"/>
          <w:sz w:val="26"/>
        </w:rPr>
        <w:t>2.3 Product principles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76"/>
            <w:shd w:fill="0F766E"/>
            <w:tcMar>
              <w:top w:w="70" w:type="dxa"/>
              <w:start w:w="70" w:type="dxa"/>
              <w:bottom w:w="70" w:type="dxa"/>
              <w:end w:w="70" w:type="dxa"/>
            </w:tcMar>
          </w:tcPr>
          <w:p>
            <w:pPr>
              <w:jc w:val="left"/>
            </w:pPr>
            <w:r>
              <w:rPr>
                <w:rFonts w:ascii="Lato" w:hAnsi="Lato"/>
                <w:b/>
                <w:color w:val="FFFFFF"/>
                <w:sz w:val="17"/>
              </w:rPr>
              <w:t>Principle</w:t>
            </w:r>
          </w:p>
        </w:tc>
        <w:tc>
          <w:tcPr>
            <w:tcW w:type="dxa" w:w="6984"/>
            <w:shd w:fill="0F766E"/>
            <w:tcMar>
              <w:top w:w="70" w:type="dxa"/>
              <w:start w:w="70" w:type="dxa"/>
              <w:bottom w:w="70" w:type="dxa"/>
              <w:end w:w="70" w:type="dxa"/>
            </w:tcMar>
          </w:tcPr>
          <w:p>
            <w:pPr>
              <w:jc w:val="left"/>
            </w:pPr>
            <w:r>
              <w:rPr>
                <w:rFonts w:ascii="Lato" w:hAnsi="Lato"/>
                <w:b/>
                <w:color w:val="FFFFFF"/>
                <w:sz w:val="17"/>
              </w:rPr>
              <w:t>Meaning in practice</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Explain before scoring</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Every risk score must show the underlying facts and rules.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Evidence before conclusion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A flag becomes a finding only after documents and explanations are reviewed.</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Human judgement is final</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The auditor can accept, reject, escalate or reclassify every exception.</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Source traceability</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Every result links back to the original file, record and calculation version.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No silent data changes</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The platform never edits the client's accounting or GST data.</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Full-population first</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Where data is available, tests cover all transactions, not only a hidden sample.</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Plain-language output</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A non-technical reviewer should understand why an item was flagged.</w:t>
            </w:r>
          </w:p>
        </w:tc>
      </w:tr>
    </w:tbl>
    <w:p>
      <w:pPr>
        <w:widowControl/>
        <w:spacing w:after="0"/>
      </w:pPr>
    </w:p>
    <w:p>
      <w:pPr>
        <w:pStyle w:val="Heading2"/>
        <w:keepNext/>
        <w:pageBreakBefore w:val="0"/>
        <w:widowControl/>
        <w:spacing w:before="140" w:after="60"/>
      </w:pPr>
      <w:r>
        <w:rPr>
          <w:rFonts w:ascii="Lato" w:hAnsi="Lato"/>
          <w:b/>
          <w:color w:val="0F766E"/>
          <w:sz w:val="26"/>
        </w:rPr>
        <w:t>2.4 Business objectives</w:t>
      </w:r>
    </w:p>
    <w:p>
      <w:pPr>
        <w:pStyle w:val="ListBullet"/>
        <w:widowControl/>
        <w:spacing w:after="30" w:line="247" w:lineRule="auto"/>
        <w:ind w:left="288" w:hanging="173"/>
      </w:pPr>
      <w:r>
        <w:rPr>
          <w:rFonts w:ascii="Lato" w:hAnsi="Lato"/>
          <w:color w:val="3F4A54"/>
          <w:sz w:val="19"/>
        </w:rPr>
        <w:t>Reduce the time spent preparing, cleaning, matching and documenting audit data.</w:t>
      </w:r>
    </w:p>
    <w:p>
      <w:pPr>
        <w:pStyle w:val="ListBullet"/>
        <w:widowControl/>
        <w:spacing w:after="30" w:line="247" w:lineRule="auto"/>
        <w:ind w:left="288" w:hanging="173"/>
      </w:pPr>
      <w:r>
        <w:rPr>
          <w:rFonts w:ascii="Lato" w:hAnsi="Lato"/>
          <w:color w:val="3F4A54"/>
          <w:sz w:val="19"/>
        </w:rPr>
        <w:t>Increase the number and quality of high-risk transactions reviewed by the audit team.</w:t>
      </w:r>
    </w:p>
    <w:p>
      <w:pPr>
        <w:pStyle w:val="ListBullet"/>
        <w:widowControl/>
        <w:spacing w:after="30" w:line="247" w:lineRule="auto"/>
        <w:ind w:left="288" w:hanging="173"/>
      </w:pPr>
      <w:r>
        <w:rPr>
          <w:rFonts w:ascii="Lato" w:hAnsi="Lato"/>
          <w:color w:val="3F4A54"/>
          <w:sz w:val="19"/>
        </w:rPr>
        <w:t>Provide consistent audit and GST procedures across clients and team members.</w:t>
      </w:r>
    </w:p>
    <w:p>
      <w:pPr>
        <w:pStyle w:val="ListBullet"/>
        <w:widowControl/>
        <w:spacing w:after="30" w:line="247" w:lineRule="auto"/>
        <w:ind w:left="288" w:hanging="173"/>
      </w:pPr>
      <w:r>
        <w:rPr>
          <w:rFonts w:ascii="Lato" w:hAnsi="Lato"/>
          <w:color w:val="3F4A54"/>
          <w:sz w:val="19"/>
        </w:rPr>
        <w:t>Create a defensible evidence trail from raw data to audit conclusion.</w:t>
      </w:r>
    </w:p>
    <w:p>
      <w:pPr>
        <w:pStyle w:val="ListBullet"/>
        <w:widowControl/>
        <w:spacing w:after="30" w:line="247" w:lineRule="auto"/>
        <w:ind w:left="288" w:hanging="173"/>
      </w:pPr>
      <w:r>
        <w:rPr>
          <w:rFonts w:ascii="Lato" w:hAnsi="Lato"/>
          <w:color w:val="3F4A54"/>
          <w:sz w:val="19"/>
        </w:rPr>
        <w:t>Enable CA firms to offer premium analytics-led audit and pre-filing review services.</w:t>
      </w:r>
    </w:p>
    <w:p>
      <w:pPr>
        <w:pStyle w:val="ListBullet"/>
        <w:widowControl/>
        <w:spacing w:after="30" w:line="247" w:lineRule="auto"/>
        <w:ind w:left="288" w:hanging="173"/>
      </w:pPr>
      <w:r>
        <w:rPr>
          <w:rFonts w:ascii="Lato" w:hAnsi="Lato"/>
          <w:color w:val="3F4A54"/>
          <w:sz w:val="19"/>
        </w:rPr>
        <w:t>Build a reusable platform that can later support internal-audit teams and financial institutions.</w:t>
      </w:r>
    </w:p>
    <w:p>
      <w:pPr>
        <w:pStyle w:val="Heading1"/>
        <w:keepNext/>
        <w:pageBreakBefore w:val="0"/>
        <w:widowControl/>
        <w:spacing w:before="240" w:after="100"/>
      </w:pPr>
      <w:r>
        <w:rPr>
          <w:rFonts w:ascii="Lato" w:hAnsi="Lato"/>
          <w:b/>
          <w:color w:val="17324D"/>
          <w:sz w:val="34"/>
        </w:rPr>
        <w:t>3. Users, roles and end-to-end workflow</w:t>
      </w:r>
    </w:p>
    <w:p>
      <w:pPr>
        <w:pStyle w:val="Heading2"/>
        <w:keepNext/>
        <w:pageBreakBefore w:val="0"/>
        <w:widowControl/>
        <w:spacing w:before="140" w:after="60"/>
      </w:pPr>
      <w:r>
        <w:rPr>
          <w:rFonts w:ascii="Lato" w:hAnsi="Lato"/>
          <w:b/>
          <w:color w:val="0F766E"/>
          <w:sz w:val="26"/>
        </w:rPr>
        <w:t>3.1 Primary users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592"/>
            <w:shd w:fill="17324D"/>
            <w:tcMar>
              <w:top w:w="70" w:type="dxa"/>
              <w:start w:w="70" w:type="dxa"/>
              <w:bottom w:w="70" w:type="dxa"/>
              <w:end w:w="70" w:type="dxa"/>
            </w:tcMar>
          </w:tcPr>
          <w:p>
            <w:pPr>
              <w:jc w:val="left"/>
            </w:pPr>
            <w:r>
              <w:rPr>
                <w:rFonts w:ascii="Lato" w:hAnsi="Lato"/>
                <w:b/>
                <w:color w:val="FFFFFF"/>
                <w:sz w:val="17"/>
              </w:rPr>
              <w:t>User</w:t>
            </w:r>
          </w:p>
        </w:tc>
        <w:tc>
          <w:tcPr>
            <w:tcW w:type="dxa" w:w="6768"/>
            <w:shd w:fill="17324D"/>
            <w:tcMar>
              <w:top w:w="70" w:type="dxa"/>
              <w:start w:w="70" w:type="dxa"/>
              <w:bottom w:w="70" w:type="dxa"/>
              <w:end w:w="70" w:type="dxa"/>
            </w:tcMar>
          </w:tcPr>
          <w:p>
            <w:pPr>
              <w:jc w:val="left"/>
            </w:pPr>
            <w:r>
              <w:rPr>
                <w:rFonts w:ascii="Lato" w:hAnsi="Lato"/>
                <w:b/>
                <w:color w:val="FFFFFF"/>
                <w:sz w:val="17"/>
              </w:rPr>
              <w:t>What the user needs from the platform</w:t>
            </w:r>
          </w:p>
        </w:tc>
      </w:tr>
      <w:tr>
        <w:trPr>
          <w:cantSplit/>
        </w:trPr>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7"/>
              </w:rPr>
              <w:t>CA Partner / Engagement Partner</w:t>
            </w:r>
          </w:p>
        </w:tc>
        <w:tc>
          <w:tcPr>
            <w:tcW w:type="dxa" w:w="6768"/>
            <w:tcMar>
              <w:top w:w="60" w:type="dxa"/>
              <w:start w:w="70" w:type="dxa"/>
              <w:bottom w:w="60" w:type="dxa"/>
              <w:end w:w="70" w:type="dxa"/>
            </w:tcMar>
            <w:shd w:fill="FAFBFC"/>
            <w:vAlign w:val="top"/>
          </w:tcPr>
          <w:p>
            <w:pPr>
              <w:spacing w:after="0" w:line="240" w:lineRule="auto"/>
            </w:pPr>
            <w:r>
              <w:rPr>
                <w:rFonts w:ascii="Lato" w:hAnsi="Lato"/>
                <w:color w:val="3F4A54"/>
                <w:sz w:val="17"/>
              </w:rPr>
              <w:t>Overall risk view, material matters, reviewer sign-off, methodology compliance and final report support.</w:t>
            </w:r>
          </w:p>
        </w:tc>
      </w:tr>
      <w:tr>
        <w:trPr>
          <w:cantSplit/>
        </w:trPr>
        <w:tc>
          <w:tcPr>
            <w:tcW w:type="dxa" w:w="2592"/>
            <w:tcMar>
              <w:top w:w="60" w:type="dxa"/>
              <w:start w:w="70" w:type="dxa"/>
              <w:bottom w:w="60" w:type="dxa"/>
              <w:end w:w="70" w:type="dxa"/>
            </w:tcMar>
            <w:vAlign w:val="top"/>
          </w:tcPr>
          <w:p>
            <w:pPr>
              <w:spacing w:after="0" w:line="240" w:lineRule="auto"/>
            </w:pPr>
            <w:r>
              <w:rPr>
                <w:rFonts w:ascii="Lato" w:hAnsi="Lato"/>
                <w:color w:val="3F4A54"/>
                <w:sz w:val="17"/>
              </w:rPr>
              <w:t>Audit Manager</w:t>
            </w:r>
          </w:p>
        </w:tc>
        <w:tc>
          <w:tcPr>
            <w:tcW w:type="dxa" w:w="6768"/>
            <w:tcMar>
              <w:top w:w="60" w:type="dxa"/>
              <w:start w:w="70" w:type="dxa"/>
              <w:bottom w:w="60" w:type="dxa"/>
              <w:end w:w="70" w:type="dxa"/>
            </w:tcMar>
            <w:vAlign w:val="top"/>
          </w:tcPr>
          <w:p>
            <w:pPr>
              <w:spacing w:after="0" w:line="240" w:lineRule="auto"/>
            </w:pPr>
            <w:r>
              <w:rPr>
                <w:rFonts w:ascii="Lato" w:hAnsi="Lato"/>
                <w:color w:val="3F4A54"/>
                <w:sz w:val="17"/>
              </w:rPr>
              <w:t>Engagement setup, team assignment, rule configuration, exception review and completion monitoring.</w:t>
            </w:r>
          </w:p>
        </w:tc>
      </w:tr>
      <w:tr>
        <w:trPr>
          <w:cantSplit/>
        </w:trPr>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7"/>
              </w:rPr>
              <w:t>Audit Associate</w:t>
            </w:r>
          </w:p>
        </w:tc>
        <w:tc>
          <w:tcPr>
            <w:tcW w:type="dxa" w:w="6768"/>
            <w:tcMar>
              <w:top w:w="60" w:type="dxa"/>
              <w:start w:w="70" w:type="dxa"/>
              <w:bottom w:w="60" w:type="dxa"/>
              <w:end w:w="70" w:type="dxa"/>
            </w:tcMar>
            <w:shd w:fill="FAFBFC"/>
            <w:vAlign w:val="top"/>
          </w:tcPr>
          <w:p>
            <w:pPr>
              <w:spacing w:after="0" w:line="240" w:lineRule="auto"/>
            </w:pPr>
            <w:r>
              <w:rPr>
                <w:rFonts w:ascii="Lato" w:hAnsi="Lato"/>
                <w:color w:val="3F4A54"/>
                <w:sz w:val="17"/>
              </w:rPr>
              <w:t>Clean data, run tests, inspect transactions, request evidence and document conclusions.</w:t>
            </w:r>
          </w:p>
        </w:tc>
      </w:tr>
      <w:tr>
        <w:trPr>
          <w:cantSplit/>
        </w:trPr>
        <w:tc>
          <w:tcPr>
            <w:tcW w:type="dxa" w:w="2592"/>
            <w:tcMar>
              <w:top w:w="60" w:type="dxa"/>
              <w:start w:w="70" w:type="dxa"/>
              <w:bottom w:w="60" w:type="dxa"/>
              <w:end w:w="70" w:type="dxa"/>
            </w:tcMar>
            <w:vAlign w:val="top"/>
          </w:tcPr>
          <w:p>
            <w:pPr>
              <w:spacing w:after="0" w:line="240" w:lineRule="auto"/>
            </w:pPr>
            <w:r>
              <w:rPr>
                <w:rFonts w:ascii="Lato" w:hAnsi="Lato"/>
                <w:color w:val="3F4A54"/>
                <w:sz w:val="17"/>
              </w:rPr>
              <w:t>GST Reviewer / Practitioner</w:t>
            </w:r>
          </w:p>
        </w:tc>
        <w:tc>
          <w:tcPr>
            <w:tcW w:type="dxa" w:w="6768"/>
            <w:tcMar>
              <w:top w:w="60" w:type="dxa"/>
              <w:start w:w="70" w:type="dxa"/>
              <w:bottom w:w="60" w:type="dxa"/>
              <w:end w:w="70" w:type="dxa"/>
            </w:tcMar>
            <w:vAlign w:val="top"/>
          </w:tcPr>
          <w:p>
            <w:pPr>
              <w:spacing w:after="0" w:line="240" w:lineRule="auto"/>
            </w:pPr>
            <w:r>
              <w:rPr>
                <w:rFonts w:ascii="Lato" w:hAnsi="Lato"/>
                <w:color w:val="3F4A54"/>
                <w:sz w:val="17"/>
              </w:rPr>
              <w:t>Books-to-return matching, ITC and liability differences, correction schedules and filing readiness.</w:t>
            </w:r>
          </w:p>
        </w:tc>
      </w:tr>
      <w:tr>
        <w:trPr>
          <w:cantSplit/>
        </w:trPr>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7"/>
              </w:rPr>
              <w:t>Client Finance User</w:t>
            </w:r>
          </w:p>
        </w:tc>
        <w:tc>
          <w:tcPr>
            <w:tcW w:type="dxa" w:w="6768"/>
            <w:tcMar>
              <w:top w:w="60" w:type="dxa"/>
              <w:start w:w="70" w:type="dxa"/>
              <w:bottom w:w="60" w:type="dxa"/>
              <w:end w:w="70" w:type="dxa"/>
            </w:tcMar>
            <w:shd w:fill="FAFBFC"/>
            <w:vAlign w:val="top"/>
          </w:tcPr>
          <w:p>
            <w:pPr>
              <w:spacing w:after="0" w:line="240" w:lineRule="auto"/>
            </w:pPr>
            <w:r>
              <w:rPr>
                <w:rFonts w:ascii="Lato" w:hAnsi="Lato"/>
                <w:color w:val="3F4A54"/>
                <w:sz w:val="17"/>
              </w:rPr>
              <w:t>A clear list of document requests, secure upload, responses and status.</w:t>
            </w:r>
          </w:p>
        </w:tc>
      </w:tr>
      <w:tr>
        <w:trPr>
          <w:cantSplit/>
        </w:trPr>
        <w:tc>
          <w:tcPr>
            <w:tcW w:type="dxa" w:w="2592"/>
            <w:tcMar>
              <w:top w:w="60" w:type="dxa"/>
              <w:start w:w="70" w:type="dxa"/>
              <w:bottom w:w="60" w:type="dxa"/>
              <w:end w:w="70" w:type="dxa"/>
            </w:tcMar>
            <w:vAlign w:val="top"/>
          </w:tcPr>
          <w:p>
            <w:pPr>
              <w:spacing w:after="0" w:line="240" w:lineRule="auto"/>
            </w:pPr>
            <w:r>
              <w:rPr>
                <w:rFonts w:ascii="Lato" w:hAnsi="Lato"/>
                <w:color w:val="3F4A54"/>
                <w:sz w:val="17"/>
              </w:rPr>
              <w:t>Firm Methodology Administrator</w:t>
            </w:r>
          </w:p>
        </w:tc>
        <w:tc>
          <w:tcPr>
            <w:tcW w:type="dxa" w:w="6768"/>
            <w:tcMar>
              <w:top w:w="60" w:type="dxa"/>
              <w:start w:w="70" w:type="dxa"/>
              <w:bottom w:w="60" w:type="dxa"/>
              <w:end w:w="70" w:type="dxa"/>
            </w:tcMar>
            <w:vAlign w:val="top"/>
          </w:tcPr>
          <w:p>
            <w:pPr>
              <w:spacing w:after="0" w:line="240" w:lineRule="auto"/>
            </w:pPr>
            <w:r>
              <w:rPr>
                <w:rFonts w:ascii="Lato" w:hAnsi="Lato"/>
                <w:color w:val="3F4A54"/>
                <w:sz w:val="17"/>
              </w:rPr>
              <w:t>Firm-wide rules, thresholds, templates, permissions and quality controls.</w:t>
            </w:r>
          </w:p>
        </w:tc>
      </w:tr>
      <w:tr>
        <w:trPr>
          <w:cantSplit/>
        </w:trPr>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7"/>
              </w:rPr>
              <w:t>Information Security Administrator</w:t>
            </w:r>
          </w:p>
        </w:tc>
        <w:tc>
          <w:tcPr>
            <w:tcW w:type="dxa" w:w="6768"/>
            <w:tcMar>
              <w:top w:w="60" w:type="dxa"/>
              <w:start w:w="70" w:type="dxa"/>
              <w:bottom w:w="60" w:type="dxa"/>
              <w:end w:w="70" w:type="dxa"/>
            </w:tcMar>
            <w:shd w:fill="FAFBFC"/>
            <w:vAlign w:val="top"/>
          </w:tcPr>
          <w:p>
            <w:pPr>
              <w:spacing w:after="0" w:line="240" w:lineRule="auto"/>
            </w:pPr>
            <w:r>
              <w:rPr>
                <w:rFonts w:ascii="Lato" w:hAnsi="Lato"/>
                <w:color w:val="3F4A54"/>
                <w:sz w:val="17"/>
              </w:rPr>
              <w:t>Access, retention, audit logs, integration permissions and incident controls.</w:t>
            </w:r>
          </w:p>
        </w:tc>
      </w:tr>
      <w:tr>
        <w:trPr>
          <w:cantSplit/>
        </w:trPr>
        <w:tc>
          <w:tcPr>
            <w:tcW w:type="dxa" w:w="2592"/>
            <w:tcMar>
              <w:top w:w="60" w:type="dxa"/>
              <w:start w:w="70" w:type="dxa"/>
              <w:bottom w:w="60" w:type="dxa"/>
              <w:end w:w="70" w:type="dxa"/>
            </w:tcMar>
            <w:vAlign w:val="top"/>
          </w:tcPr>
          <w:p>
            <w:pPr>
              <w:spacing w:after="0" w:line="240" w:lineRule="auto"/>
            </w:pPr>
            <w:r>
              <w:rPr>
                <w:rFonts w:ascii="Lato" w:hAnsi="Lato"/>
                <w:color w:val="3F4A54"/>
                <w:sz w:val="17"/>
              </w:rPr>
              <w:t>Financial Institution Reviewer - future</w:t>
            </w:r>
          </w:p>
        </w:tc>
        <w:tc>
          <w:tcPr>
            <w:tcW w:type="dxa" w:w="6768"/>
            <w:tcMar>
              <w:top w:w="60" w:type="dxa"/>
              <w:start w:w="70" w:type="dxa"/>
              <w:bottom w:w="60" w:type="dxa"/>
              <w:end w:w="70" w:type="dxa"/>
            </w:tcMar>
            <w:vAlign w:val="top"/>
          </w:tcPr>
          <w:p>
            <w:pPr>
              <w:spacing w:after="0" w:line="240" w:lineRule="auto"/>
            </w:pPr>
            <w:r>
              <w:rPr>
                <w:rFonts w:ascii="Lato" w:hAnsi="Lato"/>
                <w:color w:val="3F4A54"/>
                <w:sz w:val="17"/>
              </w:rPr>
              <w:t>Borrower financial-integrity indicators and supporting evidence without autonomous credit decisions.</w:t>
            </w:r>
          </w:p>
        </w:tc>
      </w:tr>
    </w:tbl>
    <w:p>
      <w:pPr>
        <w:widowControl/>
        <w:spacing w:after="0"/>
      </w:pPr>
    </w:p>
    <w:p>
      <w:pPr>
        <w:pStyle w:val="Heading2"/>
        <w:keepNext/>
        <w:pageBreakBefore/>
        <w:widowControl/>
        <w:spacing w:before="140" w:after="60"/>
      </w:pPr>
      <w:r>
        <w:rPr>
          <w:rFonts w:ascii="Lato" w:hAnsi="Lato"/>
          <w:b/>
          <w:color w:val="0F766E"/>
          <w:sz w:val="26"/>
        </w:rPr>
        <w:t>3.2 End-to-end workflow</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2521"/>
            <w:shd w:fill="EAF2F8"/>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17324D"/>
                <w:sz w:val="18"/>
              </w:rPr>
              <w:t>1. Set up</w:t>
            </w:r>
          </w:p>
          <w:p>
            <w:pPr>
              <w:jc w:val="center"/>
            </w:pPr>
            <w:r>
              <w:rPr>
                <w:rFonts w:ascii="Lato" w:hAnsi="Lato"/>
                <w:color w:val="3F4A54"/>
                <w:sz w:val="16"/>
              </w:rPr>
              <w:t>Client, year, materiality and team</w:t>
            </w:r>
          </w:p>
        </w:tc>
        <w:tc>
          <w:tcPr>
            <w:tcW w:type="dxa" w:w="2521"/>
            <w:shd w:fill="EAF2F8"/>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17324D"/>
                <w:sz w:val="18"/>
              </w:rPr>
              <w:t>2. Import</w:t>
            </w:r>
          </w:p>
          <w:p>
            <w:pPr>
              <w:jc w:val="center"/>
            </w:pPr>
            <w:r>
              <w:rPr>
                <w:rFonts w:ascii="Lato" w:hAnsi="Lato"/>
                <w:color w:val="3F4A54"/>
                <w:sz w:val="16"/>
              </w:rPr>
              <w:t>Books, GST, bank and master data</w:t>
            </w:r>
          </w:p>
        </w:tc>
        <w:tc>
          <w:tcPr>
            <w:tcW w:type="dxa" w:w="2521"/>
            <w:shd w:fill="EAF2F8"/>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17324D"/>
                <w:sz w:val="18"/>
              </w:rPr>
              <w:t>3. Validate</w:t>
            </w:r>
          </w:p>
          <w:p>
            <w:pPr>
              <w:jc w:val="center"/>
            </w:pPr>
            <w:r>
              <w:rPr>
                <w:rFonts w:ascii="Lato" w:hAnsi="Lato"/>
                <w:color w:val="3F4A54"/>
                <w:sz w:val="16"/>
              </w:rPr>
              <w:t>Completeness, balances and field quality</w:t>
            </w:r>
          </w:p>
        </w:tc>
        <w:tc>
          <w:tcPr>
            <w:tcW w:type="dxa" w:w="2521"/>
            <w:shd w:fill="EAF2F8"/>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17324D"/>
                <w:sz w:val="18"/>
              </w:rPr>
              <w:t>4. Reconcile</w:t>
            </w:r>
          </w:p>
          <w:p>
            <w:pPr>
              <w:jc w:val="center"/>
            </w:pPr>
            <w:r>
              <w:rPr>
                <w:rFonts w:ascii="Lato" w:hAnsi="Lato"/>
                <w:color w:val="3F4A54"/>
                <w:sz w:val="16"/>
              </w:rPr>
              <w:t>Match records across sources</w:t>
            </w:r>
          </w:p>
        </w:tc>
      </w:tr>
      <w:tr>
        <w:tc>
          <w:tcPr>
            <w:tcW w:type="dxa" w:w="2521"/>
            <w:shd w:fill="E8F5F2"/>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0F766E"/>
                <w:sz w:val="18"/>
              </w:rPr>
              <w:t>5. Analyse</w:t>
            </w:r>
          </w:p>
          <w:p>
            <w:pPr>
              <w:jc w:val="center"/>
            </w:pPr>
            <w:r>
              <w:rPr>
                <w:rFonts w:ascii="Lato" w:hAnsi="Lato"/>
                <w:color w:val="3F4A54"/>
                <w:sz w:val="16"/>
              </w:rPr>
              <w:t>Run audit, GST and Benford tests</w:t>
            </w:r>
          </w:p>
        </w:tc>
        <w:tc>
          <w:tcPr>
            <w:tcW w:type="dxa" w:w="2521"/>
            <w:shd w:fill="E8F5F2"/>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0F766E"/>
                <w:sz w:val="18"/>
              </w:rPr>
              <w:t>6. Investigate</w:t>
            </w:r>
          </w:p>
          <w:p>
            <w:pPr>
              <w:jc w:val="center"/>
            </w:pPr>
            <w:r>
              <w:rPr>
                <w:rFonts w:ascii="Lato" w:hAnsi="Lato"/>
                <w:color w:val="3F4A54"/>
                <w:sz w:val="16"/>
              </w:rPr>
              <w:t>Review transactions and linked patterns</w:t>
            </w:r>
          </w:p>
        </w:tc>
        <w:tc>
          <w:tcPr>
            <w:tcW w:type="dxa" w:w="2521"/>
            <w:shd w:fill="E8F5F2"/>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0F766E"/>
                <w:sz w:val="18"/>
              </w:rPr>
              <w:t>7. Collect evidence</w:t>
            </w:r>
          </w:p>
          <w:p>
            <w:pPr>
              <w:jc w:val="center"/>
            </w:pPr>
            <w:r>
              <w:rPr>
                <w:rFonts w:ascii="Lato" w:hAnsi="Lato"/>
                <w:color w:val="3F4A54"/>
                <w:sz w:val="16"/>
              </w:rPr>
              <w:t>Request, receive and assess documents</w:t>
            </w:r>
          </w:p>
        </w:tc>
        <w:tc>
          <w:tcPr>
            <w:tcW w:type="dxa" w:w="2521"/>
            <w:shd w:fill="E8F5F2"/>
            <w:tcMar>
              <w:top w:w="100" w:type="dxa"/>
              <w:start w:w="90" w:type="dxa"/>
              <w:bottom w:w="100" w:type="dxa"/>
              <w:end w:w="90" w:type="dxa"/>
            </w:tcMar>
            <w:tcBorders>
              <w:top w:val="single" w:sz="4" w:color="D9E0E6"/>
              <w:start w:val="single" w:sz="4" w:color="D9E0E6"/>
              <w:bottom w:val="single" w:sz="4" w:color="D9E0E6"/>
              <w:end w:val="single" w:sz="4" w:color="D9E0E6"/>
            </w:tcBorders>
          </w:tcPr>
          <w:p>
            <w:pPr>
              <w:jc w:val="center"/>
            </w:pPr>
            <w:r>
              <w:rPr>
                <w:rFonts w:ascii="Lato" w:hAnsi="Lato"/>
                <w:b/>
                <w:color w:val="0F766E"/>
                <w:sz w:val="18"/>
              </w:rPr>
              <w:t>8. Conclude</w:t>
            </w:r>
          </w:p>
          <w:p>
            <w:pPr>
              <w:jc w:val="center"/>
            </w:pPr>
            <w:r>
              <w:rPr>
                <w:rFonts w:ascii="Lato" w:hAnsi="Lato"/>
                <w:color w:val="3F4A54"/>
                <w:sz w:val="16"/>
              </w:rPr>
              <w:t>Sign off exceptions and generate workpapers</w:t>
            </w:r>
          </w:p>
        </w:tc>
      </w:tr>
    </w:tbl>
    <w:p>
      <w:pPr>
        <w:widowControl/>
        <w:spacing w:after="0"/>
      </w:pPr>
    </w:p>
    <w:p>
      <w:pPr>
        <w:pStyle w:val="Heading2"/>
        <w:keepNext/>
        <w:pageBreakBefore w:val="0"/>
        <w:widowControl/>
        <w:spacing w:before="140" w:after="60"/>
      </w:pPr>
      <w:r>
        <w:rPr>
          <w:rFonts w:ascii="Lato" w:hAnsi="Lato"/>
          <w:b/>
          <w:color w:val="0F766E"/>
          <w:sz w:val="26"/>
        </w:rPr>
        <w:t>3.3 Exception life cycle</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232"/>
            <w:shd w:fill="0F766E"/>
            <w:tcMar>
              <w:top w:w="70" w:type="dxa"/>
              <w:start w:w="70" w:type="dxa"/>
              <w:bottom w:w="70" w:type="dxa"/>
              <w:end w:w="70" w:type="dxa"/>
            </w:tcMar>
          </w:tcPr>
          <w:p>
            <w:pPr>
              <w:jc w:val="left"/>
            </w:pPr>
            <w:r>
              <w:rPr>
                <w:rFonts w:ascii="Lato" w:hAnsi="Lato"/>
                <w:b/>
                <w:color w:val="FFFFFF"/>
                <w:sz w:val="17"/>
              </w:rPr>
              <w:t>Status</w:t>
            </w:r>
          </w:p>
        </w:tc>
        <w:tc>
          <w:tcPr>
            <w:tcW w:type="dxa" w:w="7128"/>
            <w:shd w:fill="0F766E"/>
            <w:tcMar>
              <w:top w:w="70" w:type="dxa"/>
              <w:start w:w="70" w:type="dxa"/>
              <w:bottom w:w="70" w:type="dxa"/>
              <w:end w:w="70" w:type="dxa"/>
            </w:tcMar>
          </w:tcPr>
          <w:p>
            <w:pPr>
              <w:jc w:val="left"/>
            </w:pPr>
            <w:r>
              <w:rPr>
                <w:rFonts w:ascii="Lato" w:hAnsi="Lato"/>
                <w:b/>
                <w:color w:val="FFFFFF"/>
                <w:sz w:val="17"/>
              </w:rPr>
              <w:t>Meaning</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New</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The system has created the exception and no reviewer has opened it.</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Under review</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An audit team member is analysing the records.</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Information required</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The client must provide an explanation or document.</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Satisfactorily explained</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Evidence supports the transaction; no further action is required.</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Confirmed exception</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An error, non-compliance, unsupported entry or control issue has been confirmed.</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Not applicable</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The test does not apply to this business situation; reason is documented.</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Escalated</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Partner, specialist or management review is required.</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Closed</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The required action, conclusion and review are complete.</w:t>
            </w:r>
          </w:p>
        </w:tc>
      </w:tr>
    </w:tbl>
    <w:p>
      <w:pPr>
        <w:widowControl/>
        <w:spacing w:after="0"/>
      </w:pPr>
    </w:p>
    <w:p>
      <w:pPr>
        <w:pStyle w:val="Heading1"/>
        <w:keepNext/>
        <w:pageBreakBefore w:val="0"/>
        <w:widowControl/>
        <w:spacing w:before="240" w:after="100"/>
      </w:pPr>
      <w:r>
        <w:rPr>
          <w:rFonts w:ascii="Lato" w:hAnsi="Lato"/>
          <w:b/>
          <w:color w:val="17324D"/>
          <w:sz w:val="34"/>
        </w:rPr>
        <w:t>4. Scope, priorities and product boundaries</w:t>
      </w:r>
    </w:p>
    <w:p>
      <w:pPr>
        <w:pStyle w:val="Heading2"/>
        <w:keepNext/>
        <w:pageBreakBefore w:val="0"/>
        <w:widowControl/>
        <w:spacing w:before="140" w:after="60"/>
      </w:pPr>
      <w:r>
        <w:rPr>
          <w:rFonts w:ascii="Lato" w:hAnsi="Lato"/>
          <w:b/>
          <w:color w:val="0F766E"/>
          <w:sz w:val="26"/>
        </w:rPr>
        <w:t>4.1 MVP scope</w:t>
      </w:r>
    </w:p>
    <w:p>
      <w:pPr>
        <w:pStyle w:val="ListBullet"/>
        <w:widowControl/>
        <w:spacing w:after="30" w:line="247" w:lineRule="auto"/>
        <w:ind w:left="288" w:hanging="173"/>
      </w:pPr>
      <w:r>
        <w:rPr>
          <w:rFonts w:ascii="Lato" w:hAnsi="Lato"/>
          <w:color w:val="3F4A54"/>
          <w:sz w:val="19"/>
        </w:rPr>
        <w:t>Multi-client engagement setup for CA firms.</w:t>
      </w:r>
    </w:p>
    <w:p>
      <w:pPr>
        <w:pStyle w:val="ListBullet"/>
        <w:widowControl/>
        <w:spacing w:after="30" w:line="247" w:lineRule="auto"/>
        <w:ind w:left="288" w:hanging="173"/>
      </w:pPr>
      <w:r>
        <w:rPr>
          <w:rFonts w:ascii="Lato" w:hAnsi="Lato"/>
          <w:color w:val="3F4A54"/>
          <w:sz w:val="19"/>
        </w:rPr>
        <w:t>Excel, CSV and Tally XML import for core accounting data.</w:t>
      </w:r>
    </w:p>
    <w:p>
      <w:pPr>
        <w:pStyle w:val="ListBullet"/>
        <w:widowControl/>
        <w:spacing w:after="30" w:line="247" w:lineRule="auto"/>
        <w:ind w:left="288" w:hanging="173"/>
      </w:pPr>
      <w:r>
        <w:rPr>
          <w:rFonts w:ascii="Lato" w:hAnsi="Lato"/>
          <w:color w:val="3F4A54"/>
          <w:sz w:val="19"/>
        </w:rPr>
        <w:t>General-ledger and journal-entry testing.</w:t>
      </w:r>
    </w:p>
    <w:p>
      <w:pPr>
        <w:pStyle w:val="ListBullet"/>
        <w:widowControl/>
        <w:spacing w:after="30" w:line="247" w:lineRule="auto"/>
        <w:ind w:left="288" w:hanging="173"/>
      </w:pPr>
      <w:r>
        <w:rPr>
          <w:rFonts w:ascii="Lato" w:hAnsi="Lato"/>
          <w:color w:val="3F4A54"/>
          <w:sz w:val="19"/>
        </w:rPr>
        <w:t>Purchase register to GSTR-2B matching; sales register to GSTR-1 matching; GSTR-1 to GSTR-3B summary checks.</w:t>
      </w:r>
    </w:p>
    <w:p>
      <w:pPr>
        <w:pStyle w:val="ListBullet"/>
        <w:widowControl/>
        <w:spacing w:after="30" w:line="247" w:lineRule="auto"/>
        <w:ind w:left="288" w:hanging="173"/>
      </w:pPr>
      <w:r>
        <w:rPr>
          <w:rFonts w:ascii="Lato" w:hAnsi="Lato"/>
          <w:color w:val="3F4A54"/>
          <w:sz w:val="19"/>
        </w:rPr>
        <w:t>Vendor and duplicate-payment checks.</w:t>
      </w:r>
    </w:p>
    <w:p>
      <w:pPr>
        <w:pStyle w:val="ListBullet"/>
        <w:widowControl/>
        <w:spacing w:after="30" w:line="247" w:lineRule="auto"/>
        <w:ind w:left="288" w:hanging="173"/>
      </w:pPr>
      <w:r>
        <w:rPr>
          <w:rFonts w:ascii="Lato" w:hAnsi="Lato"/>
          <w:color w:val="3F4A54"/>
          <w:sz w:val="19"/>
        </w:rPr>
        <w:t>Bank statement to bank ledger reconciliation using structured files.</w:t>
      </w:r>
    </w:p>
    <w:p>
      <w:pPr>
        <w:pStyle w:val="ListBullet"/>
        <w:widowControl/>
        <w:spacing w:after="30" w:line="247" w:lineRule="auto"/>
        <w:ind w:left="288" w:hanging="173"/>
      </w:pPr>
      <w:r>
        <w:rPr>
          <w:rFonts w:ascii="Lato" w:hAnsi="Lato"/>
          <w:color w:val="3F4A54"/>
          <w:sz w:val="19"/>
        </w:rPr>
        <w:t>Period-end, management-override and Benford analysis.</w:t>
      </w:r>
    </w:p>
    <w:p>
      <w:pPr>
        <w:pStyle w:val="ListBullet"/>
        <w:widowControl/>
        <w:spacing w:after="30" w:line="247" w:lineRule="auto"/>
        <w:ind w:left="288" w:hanging="173"/>
      </w:pPr>
      <w:r>
        <w:rPr>
          <w:rFonts w:ascii="Lato" w:hAnsi="Lato"/>
          <w:color w:val="3F4A54"/>
          <w:sz w:val="19"/>
        </w:rPr>
        <w:t>Exception review, evidence request, response and sign-off workflow.</w:t>
      </w:r>
    </w:p>
    <w:p>
      <w:pPr>
        <w:pStyle w:val="ListBullet"/>
        <w:widowControl/>
        <w:spacing w:after="30" w:line="247" w:lineRule="auto"/>
        <w:ind w:left="288" w:hanging="173"/>
      </w:pPr>
      <w:r>
        <w:rPr>
          <w:rFonts w:ascii="Lato" w:hAnsi="Lato"/>
          <w:color w:val="3F4A54"/>
          <w:sz w:val="19"/>
        </w:rPr>
        <w:t>Excel and Word/PDF-ready workpaper exports.</w:t>
      </w:r>
    </w:p>
    <w:p>
      <w:pPr>
        <w:pStyle w:val="Heading2"/>
        <w:keepNext/>
        <w:pageBreakBefore w:val="0"/>
        <w:widowControl/>
        <w:spacing w:before="140" w:after="60"/>
      </w:pPr>
      <w:r>
        <w:rPr>
          <w:rFonts w:ascii="Lato" w:hAnsi="Lato"/>
          <w:b/>
          <w:color w:val="0F766E"/>
          <w:sz w:val="26"/>
        </w:rPr>
        <w:t>4.2 Later phases</w:t>
      </w:r>
    </w:p>
    <w:p>
      <w:pPr>
        <w:pStyle w:val="ListBullet"/>
        <w:widowControl/>
        <w:spacing w:after="30" w:line="247" w:lineRule="auto"/>
        <w:ind w:left="288" w:hanging="173"/>
      </w:pPr>
      <w:r>
        <w:rPr>
          <w:rFonts w:ascii="Lato" w:hAnsi="Lato"/>
          <w:color w:val="3F4A54"/>
          <w:sz w:val="19"/>
        </w:rPr>
        <w:t>Direct ERP, GST, e-invoice, e-way bill and bank integrations using authorised APIs.</w:t>
      </w:r>
    </w:p>
    <w:p>
      <w:pPr>
        <w:pStyle w:val="ListBullet"/>
        <w:widowControl/>
        <w:spacing w:after="30" w:line="247" w:lineRule="auto"/>
        <w:ind w:left="288" w:hanging="173"/>
      </w:pPr>
      <w:r>
        <w:rPr>
          <w:rFonts w:ascii="Lato" w:hAnsi="Lato"/>
          <w:color w:val="3F4A54"/>
          <w:sz w:val="19"/>
        </w:rPr>
        <w:t>Advanced audit-trail ingestion and change reconstruction.</w:t>
      </w:r>
    </w:p>
    <w:p>
      <w:pPr>
        <w:pStyle w:val="ListBullet"/>
        <w:widowControl/>
        <w:spacing w:after="30" w:line="247" w:lineRule="auto"/>
        <w:ind w:left="288" w:hanging="173"/>
      </w:pPr>
      <w:r>
        <w:rPr>
          <w:rFonts w:ascii="Lato" w:hAnsi="Lato"/>
          <w:color w:val="3F4A54"/>
          <w:sz w:val="19"/>
        </w:rPr>
        <w:t>Vendor and related-party network graphs.</w:t>
      </w:r>
    </w:p>
    <w:p>
      <w:pPr>
        <w:pStyle w:val="ListBullet"/>
        <w:widowControl/>
        <w:spacing w:after="30" w:line="247" w:lineRule="auto"/>
        <w:ind w:left="288" w:hanging="173"/>
      </w:pPr>
      <w:r>
        <w:rPr>
          <w:rFonts w:ascii="Lato" w:hAnsi="Lato"/>
          <w:color w:val="3F4A54"/>
          <w:sz w:val="19"/>
        </w:rPr>
        <w:t>Machine-learning calibration based on auditor-reviewed outcomes.</w:t>
      </w:r>
    </w:p>
    <w:p>
      <w:pPr>
        <w:pStyle w:val="ListBullet"/>
        <w:widowControl/>
        <w:spacing w:after="30" w:line="247" w:lineRule="auto"/>
        <w:ind w:left="288" w:hanging="173"/>
      </w:pPr>
      <w:r>
        <w:rPr>
          <w:rFonts w:ascii="Lato" w:hAnsi="Lato"/>
          <w:color w:val="3F4A54"/>
          <w:sz w:val="19"/>
        </w:rPr>
        <w:t>Financial-institution borrower monitoring edition.</w:t>
      </w:r>
    </w:p>
    <w:p>
      <w:pPr>
        <w:pStyle w:val="ListBullet"/>
        <w:widowControl/>
        <w:spacing w:after="30" w:line="247" w:lineRule="auto"/>
        <w:ind w:left="288" w:hanging="173"/>
      </w:pPr>
      <w:r>
        <w:rPr>
          <w:rFonts w:ascii="Lato" w:hAnsi="Lato"/>
          <w:color w:val="3F4A54"/>
          <w:sz w:val="19"/>
        </w:rPr>
        <w:t>Private-cloud and on-premise deployments for large regulated customers.</w:t>
      </w:r>
    </w:p>
    <w:p>
      <w:pPr>
        <w:pStyle w:val="Heading2"/>
        <w:keepNext/>
        <w:pageBreakBefore w:val="0"/>
        <w:widowControl/>
        <w:spacing w:before="140" w:after="60"/>
      </w:pPr>
      <w:r>
        <w:rPr>
          <w:rFonts w:ascii="Lato" w:hAnsi="Lato"/>
          <w:b/>
          <w:color w:val="0F766E"/>
          <w:sz w:val="26"/>
        </w:rPr>
        <w:t>4.3 Explicitly out of scope for MVP</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456"/>
            <w:shd w:fill="17324D"/>
            <w:tcMar>
              <w:top w:w="70" w:type="dxa"/>
              <w:start w:w="70" w:type="dxa"/>
              <w:bottom w:w="70" w:type="dxa"/>
              <w:end w:w="70" w:type="dxa"/>
            </w:tcMar>
          </w:tcPr>
          <w:p>
            <w:pPr>
              <w:jc w:val="left"/>
            </w:pPr>
            <w:r>
              <w:rPr>
                <w:rFonts w:ascii="Lato" w:hAnsi="Lato"/>
                <w:b/>
                <w:color w:val="FFFFFF"/>
                <w:sz w:val="17"/>
              </w:rPr>
              <w:t>Out-of-scope item</w:t>
            </w:r>
          </w:p>
        </w:tc>
        <w:tc>
          <w:tcPr>
            <w:tcW w:type="dxa" w:w="5904"/>
            <w:shd w:fill="17324D"/>
            <w:tcMar>
              <w:top w:w="70" w:type="dxa"/>
              <w:start w:w="70" w:type="dxa"/>
              <w:bottom w:w="70" w:type="dxa"/>
              <w:end w:w="70" w:type="dxa"/>
            </w:tcMar>
          </w:tcPr>
          <w:p>
            <w:pPr>
              <w:jc w:val="left"/>
            </w:pPr>
            <w:r>
              <w:rPr>
                <w:rFonts w:ascii="Lato" w:hAnsi="Lato"/>
                <w:b/>
                <w:color w:val="FFFFFF"/>
                <w:sz w:val="17"/>
              </w:rPr>
              <w:t>Reason</w:t>
            </w:r>
          </w:p>
        </w:tc>
      </w:tr>
      <w:tr>
        <w:trPr>
          <w:cantSplit/>
        </w:trPr>
        <w:tc>
          <w:tcPr>
            <w:tcW w:type="dxa" w:w="3456"/>
            <w:tcMar>
              <w:top w:w="60" w:type="dxa"/>
              <w:start w:w="70" w:type="dxa"/>
              <w:bottom w:w="60" w:type="dxa"/>
              <w:end w:w="70" w:type="dxa"/>
            </w:tcMar>
            <w:shd w:fill="FAFBFC"/>
            <w:vAlign w:val="top"/>
          </w:tcPr>
          <w:p>
            <w:pPr>
              <w:spacing w:after="0" w:line="240" w:lineRule="auto"/>
            </w:pPr>
            <w:r>
              <w:rPr>
                <w:rFonts w:ascii="Lato" w:hAnsi="Lato"/>
                <w:color w:val="3F4A54"/>
                <w:sz w:val="17"/>
              </w:rPr>
              <w:t>Automatic declaration that fraud occurred</w:t>
            </w:r>
          </w:p>
        </w:tc>
        <w:tc>
          <w:tcPr>
            <w:tcW w:type="dxa" w:w="5904"/>
            <w:tcMar>
              <w:top w:w="60" w:type="dxa"/>
              <w:start w:w="70" w:type="dxa"/>
              <w:bottom w:w="60" w:type="dxa"/>
              <w:end w:w="70" w:type="dxa"/>
            </w:tcMar>
            <w:shd w:fill="FAFBFC"/>
            <w:vAlign w:val="top"/>
          </w:tcPr>
          <w:p>
            <w:pPr>
              <w:spacing w:after="0" w:line="240" w:lineRule="auto"/>
            </w:pPr>
            <w:r>
              <w:rPr>
                <w:rFonts w:ascii="Lato" w:hAnsi="Lato"/>
                <w:color w:val="3F4A54"/>
                <w:sz w:val="17"/>
              </w:rPr>
              <w:t>Fraud conclusions require professional judgement and evidence.</w:t>
            </w:r>
          </w:p>
        </w:tc>
      </w:tr>
      <w:tr>
        <w:trPr>
          <w:cantSplit/>
        </w:trPr>
        <w:tc>
          <w:tcPr>
            <w:tcW w:type="dxa" w:w="3456"/>
            <w:tcMar>
              <w:top w:w="60" w:type="dxa"/>
              <w:start w:w="70" w:type="dxa"/>
              <w:bottom w:w="60" w:type="dxa"/>
              <w:end w:w="70" w:type="dxa"/>
            </w:tcMar>
            <w:vAlign w:val="top"/>
          </w:tcPr>
          <w:p>
            <w:pPr>
              <w:spacing w:after="0" w:line="240" w:lineRule="auto"/>
            </w:pPr>
            <w:r>
              <w:rPr>
                <w:rFonts w:ascii="Lato" w:hAnsi="Lato"/>
                <w:color w:val="3F4A54"/>
                <w:sz w:val="17"/>
              </w:rPr>
              <w:t>Automatic GST filing</w:t>
            </w:r>
          </w:p>
        </w:tc>
        <w:tc>
          <w:tcPr>
            <w:tcW w:type="dxa" w:w="5904"/>
            <w:tcMar>
              <w:top w:w="60" w:type="dxa"/>
              <w:start w:w="70" w:type="dxa"/>
              <w:bottom w:w="60" w:type="dxa"/>
              <w:end w:w="70" w:type="dxa"/>
            </w:tcMar>
            <w:vAlign w:val="top"/>
          </w:tcPr>
          <w:p>
            <w:pPr>
              <w:spacing w:after="0" w:line="240" w:lineRule="auto"/>
            </w:pPr>
            <w:r>
              <w:rPr>
                <w:rFonts w:ascii="Lato" w:hAnsi="Lato"/>
                <w:color w:val="3F4A54"/>
                <w:sz w:val="17"/>
              </w:rPr>
              <w:t>The MVP prepares differences and corrections; authorised users file through approved channels.</w:t>
            </w:r>
          </w:p>
        </w:tc>
      </w:tr>
      <w:tr>
        <w:trPr>
          <w:cantSplit/>
        </w:trPr>
        <w:tc>
          <w:tcPr>
            <w:tcW w:type="dxa" w:w="3456"/>
            <w:tcMar>
              <w:top w:w="60" w:type="dxa"/>
              <w:start w:w="70" w:type="dxa"/>
              <w:bottom w:w="60" w:type="dxa"/>
              <w:end w:w="70" w:type="dxa"/>
            </w:tcMar>
            <w:shd w:fill="FAFBFC"/>
            <w:vAlign w:val="top"/>
          </w:tcPr>
          <w:p>
            <w:pPr>
              <w:spacing w:after="0" w:line="240" w:lineRule="auto"/>
            </w:pPr>
            <w:r>
              <w:rPr>
                <w:rFonts w:ascii="Lato" w:hAnsi="Lato"/>
                <w:color w:val="3F4A54"/>
                <w:sz w:val="17"/>
              </w:rPr>
              <w:t>Editing the client's source books</w:t>
            </w:r>
          </w:p>
        </w:tc>
        <w:tc>
          <w:tcPr>
            <w:tcW w:type="dxa" w:w="5904"/>
            <w:tcMar>
              <w:top w:w="60" w:type="dxa"/>
              <w:start w:w="70" w:type="dxa"/>
              <w:bottom w:w="60" w:type="dxa"/>
              <w:end w:w="70" w:type="dxa"/>
            </w:tcMar>
            <w:shd w:fill="FAFBFC"/>
            <w:vAlign w:val="top"/>
          </w:tcPr>
          <w:p>
            <w:pPr>
              <w:spacing w:after="0" w:line="240" w:lineRule="auto"/>
            </w:pPr>
            <w:r>
              <w:rPr>
                <w:rFonts w:ascii="Lato" w:hAnsi="Lato"/>
                <w:color w:val="3F4A54"/>
                <w:sz w:val="17"/>
              </w:rPr>
              <w:t>The platform is an analysis and evidence system, not the accounting system of record.</w:t>
            </w:r>
          </w:p>
        </w:tc>
      </w:tr>
      <w:tr>
        <w:trPr>
          <w:cantSplit/>
        </w:trPr>
        <w:tc>
          <w:tcPr>
            <w:tcW w:type="dxa" w:w="3456"/>
            <w:tcMar>
              <w:top w:w="60" w:type="dxa"/>
              <w:start w:w="70" w:type="dxa"/>
              <w:bottom w:w="60" w:type="dxa"/>
              <w:end w:w="70" w:type="dxa"/>
            </w:tcMar>
            <w:vAlign w:val="top"/>
          </w:tcPr>
          <w:p>
            <w:pPr>
              <w:spacing w:after="0" w:line="240" w:lineRule="auto"/>
            </w:pPr>
            <w:r>
              <w:rPr>
                <w:rFonts w:ascii="Lato" w:hAnsi="Lato"/>
                <w:color w:val="3F4A54"/>
                <w:sz w:val="17"/>
              </w:rPr>
              <w:t>Storing permanent GST or bank passwords</w:t>
            </w:r>
          </w:p>
        </w:tc>
        <w:tc>
          <w:tcPr>
            <w:tcW w:type="dxa" w:w="5904"/>
            <w:tcMar>
              <w:top w:w="60" w:type="dxa"/>
              <w:start w:w="70" w:type="dxa"/>
              <w:bottom w:w="60" w:type="dxa"/>
              <w:end w:w="70" w:type="dxa"/>
            </w:tcMar>
            <w:vAlign w:val="top"/>
          </w:tcPr>
          <w:p>
            <w:pPr>
              <w:spacing w:after="0" w:line="240" w:lineRule="auto"/>
            </w:pPr>
            <w:r>
              <w:rPr>
                <w:rFonts w:ascii="Lato" w:hAnsi="Lato"/>
                <w:color w:val="3F4A54"/>
                <w:sz w:val="17"/>
              </w:rPr>
              <w:t>Use uploaded files or authorised, revocable integrations.</w:t>
            </w:r>
          </w:p>
        </w:tc>
      </w:tr>
      <w:tr>
        <w:trPr>
          <w:cantSplit/>
        </w:trPr>
        <w:tc>
          <w:tcPr>
            <w:tcW w:type="dxa" w:w="3456"/>
            <w:tcMar>
              <w:top w:w="60" w:type="dxa"/>
              <w:start w:w="70" w:type="dxa"/>
              <w:bottom w:w="60" w:type="dxa"/>
              <w:end w:w="70" w:type="dxa"/>
            </w:tcMar>
            <w:shd w:fill="FAFBFC"/>
            <w:vAlign w:val="top"/>
          </w:tcPr>
          <w:p>
            <w:pPr>
              <w:spacing w:after="0" w:line="240" w:lineRule="auto"/>
            </w:pPr>
            <w:r>
              <w:rPr>
                <w:rFonts w:ascii="Lato" w:hAnsi="Lato"/>
                <w:color w:val="3F4A54"/>
                <w:sz w:val="17"/>
              </w:rPr>
              <w:t>Autonomous audit opinion or tax advice</w:t>
            </w:r>
          </w:p>
        </w:tc>
        <w:tc>
          <w:tcPr>
            <w:tcW w:type="dxa" w:w="5904"/>
            <w:tcMar>
              <w:top w:w="60" w:type="dxa"/>
              <w:start w:w="70" w:type="dxa"/>
              <w:bottom w:w="60" w:type="dxa"/>
              <w:end w:w="70" w:type="dxa"/>
            </w:tcMar>
            <w:shd w:fill="FAFBFC"/>
            <w:vAlign w:val="top"/>
          </w:tcPr>
          <w:p>
            <w:pPr>
              <w:spacing w:after="0" w:line="240" w:lineRule="auto"/>
            </w:pPr>
            <w:r>
              <w:rPr>
                <w:rFonts w:ascii="Lato" w:hAnsi="Lato"/>
                <w:color w:val="3F4A54"/>
                <w:sz w:val="17"/>
              </w:rPr>
              <w:t>The professional remains accountable for conclusions and filings.</w:t>
            </w:r>
          </w:p>
        </w:tc>
      </w:tr>
      <w:tr>
        <w:trPr>
          <w:cantSplit/>
        </w:trPr>
        <w:tc>
          <w:tcPr>
            <w:tcW w:type="dxa" w:w="3456"/>
            <w:tcMar>
              <w:top w:w="60" w:type="dxa"/>
              <w:start w:w="70" w:type="dxa"/>
              <w:bottom w:w="60" w:type="dxa"/>
              <w:end w:w="70" w:type="dxa"/>
            </w:tcMar>
            <w:vAlign w:val="top"/>
          </w:tcPr>
          <w:p>
            <w:pPr>
              <w:spacing w:after="0" w:line="240" w:lineRule="auto"/>
            </w:pPr>
            <w:r>
              <w:rPr>
                <w:rFonts w:ascii="Lato" w:hAnsi="Lato"/>
                <w:color w:val="3F4A54"/>
                <w:sz w:val="17"/>
              </w:rPr>
              <w:t>Person-level credit denial decisions</w:t>
            </w:r>
          </w:p>
        </w:tc>
        <w:tc>
          <w:tcPr>
            <w:tcW w:type="dxa" w:w="5904"/>
            <w:tcMar>
              <w:top w:w="60" w:type="dxa"/>
              <w:start w:w="70" w:type="dxa"/>
              <w:bottom w:w="60" w:type="dxa"/>
              <w:end w:w="70" w:type="dxa"/>
            </w:tcMar>
            <w:vAlign w:val="top"/>
          </w:tcPr>
          <w:p>
            <w:pPr>
              <w:spacing w:after="0" w:line="240" w:lineRule="auto"/>
            </w:pPr>
            <w:r>
              <w:rPr>
                <w:rFonts w:ascii="Lato" w:hAnsi="Lato"/>
                <w:color w:val="3F4A54"/>
                <w:sz w:val="17"/>
              </w:rPr>
              <w:t>Future lender outputs are indicators for human review, not automatic adverse decisions.</w:t>
            </w:r>
          </w:p>
        </w:tc>
      </w:tr>
    </w:tbl>
    <w:p>
      <w:pPr>
        <w:widowControl/>
        <w:spacing w:after="0"/>
      </w:pPr>
    </w:p>
    <w:p>
      <w:pPr>
        <w:pStyle w:val="Heading1"/>
        <w:keepNext/>
        <w:pageBreakBefore w:val="0"/>
        <w:widowControl/>
        <w:spacing w:before="240" w:after="100"/>
      </w:pPr>
      <w:r>
        <w:rPr>
          <w:rFonts w:ascii="Lato" w:hAnsi="Lato"/>
          <w:b/>
          <w:color w:val="17324D"/>
          <w:sz w:val="34"/>
        </w:rPr>
        <w:t>5. Data inputs and minimum data fields</w:t>
      </w:r>
    </w:p>
    <w:p>
      <w:pPr>
        <w:widowControl/>
        <w:spacing w:after="80" w:line="259" w:lineRule="auto"/>
      </w:pPr>
      <w:r>
        <w:rPr>
          <w:rFonts w:ascii="Lato" w:hAnsi="Lato"/>
          <w:i w:val="0"/>
          <w:color w:val="3F4A54"/>
          <w:sz w:val="20"/>
        </w:rPr>
        <w:t>The product can only produce reliable results when it receives complete and correctly mapped data. Every import must therefore begin with a data-quality and completeness report.</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00"/>
            <w:shd w:fill="0F766E"/>
            <w:tcMar>
              <w:top w:w="70" w:type="dxa"/>
              <w:start w:w="70" w:type="dxa"/>
              <w:bottom w:w="70" w:type="dxa"/>
              <w:end w:w="70" w:type="dxa"/>
            </w:tcMar>
          </w:tcPr>
          <w:p>
            <w:pPr>
              <w:jc w:val="left"/>
            </w:pPr>
            <w:r>
              <w:rPr>
                <w:rFonts w:ascii="Lato" w:hAnsi="Lato"/>
                <w:b/>
                <w:color w:val="FFFFFF"/>
                <w:sz w:val="15"/>
              </w:rPr>
              <w:t>Source</w:t>
            </w:r>
          </w:p>
        </w:tc>
        <w:tc>
          <w:tcPr>
            <w:tcW w:type="dxa" w:w="4824"/>
            <w:shd w:fill="0F766E"/>
            <w:tcMar>
              <w:top w:w="70" w:type="dxa"/>
              <w:start w:w="70" w:type="dxa"/>
              <w:bottom w:w="70" w:type="dxa"/>
              <w:end w:w="70" w:type="dxa"/>
            </w:tcMar>
          </w:tcPr>
          <w:p>
            <w:pPr>
              <w:jc w:val="left"/>
            </w:pPr>
            <w:r>
              <w:rPr>
                <w:rFonts w:ascii="Lato" w:hAnsi="Lato"/>
                <w:b/>
                <w:color w:val="FFFFFF"/>
                <w:sz w:val="15"/>
              </w:rPr>
              <w:t>Minimum useful fields</w:t>
            </w:r>
          </w:p>
        </w:tc>
        <w:tc>
          <w:tcPr>
            <w:tcW w:type="dxa" w:w="2736"/>
            <w:shd w:fill="0F766E"/>
            <w:tcMar>
              <w:top w:w="70" w:type="dxa"/>
              <w:start w:w="70" w:type="dxa"/>
              <w:bottom w:w="70" w:type="dxa"/>
              <w:end w:w="70" w:type="dxa"/>
            </w:tcMar>
          </w:tcPr>
          <w:p>
            <w:pPr>
              <w:jc w:val="left"/>
            </w:pPr>
            <w:r>
              <w:rPr>
                <w:rFonts w:ascii="Lato" w:hAnsi="Lato"/>
                <w:b/>
                <w:color w:val="FFFFFF"/>
                <w:sz w:val="15"/>
              </w:rPr>
              <w:t>Why it is required</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5"/>
              </w:rPr>
              <w:t>General ledger / journals</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5"/>
              </w:rPr>
              <w:t>Entity, branch, financial year, voucher ID, voucher type, transaction date, posting/creation date, account code and name, debit, credit, narration, source module, user, approval, reversal link.</w:t>
            </w:r>
          </w:p>
        </w:tc>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5"/>
              </w:rPr>
              <w:t>Core source for journal, period-end, revenue, expense and management-override tests.</w:t>
            </w:r>
          </w:p>
        </w:tc>
      </w:tr>
      <w:tr>
        <w:trPr>
          <w:cantSplit/>
        </w:trPr>
        <w:tc>
          <w:tcPr>
            <w:tcW w:type="dxa" w:w="1800"/>
            <w:tcMar>
              <w:top w:w="60" w:type="dxa"/>
              <w:start w:w="70" w:type="dxa"/>
              <w:bottom w:w="60" w:type="dxa"/>
              <w:end w:w="70" w:type="dxa"/>
            </w:tcMar>
            <w:vAlign w:val="top"/>
          </w:tcPr>
          <w:p>
            <w:pPr>
              <w:spacing w:after="0" w:line="240" w:lineRule="auto"/>
            </w:pPr>
            <w:r>
              <w:rPr>
                <w:rFonts w:ascii="Lato" w:hAnsi="Lato"/>
                <w:color w:val="3F4A54"/>
                <w:sz w:val="15"/>
              </w:rPr>
              <w:t>Trial balance</w:t>
            </w:r>
          </w:p>
        </w:tc>
        <w:tc>
          <w:tcPr>
            <w:tcW w:type="dxa" w:w="4824"/>
            <w:tcMar>
              <w:top w:w="60" w:type="dxa"/>
              <w:start w:w="70" w:type="dxa"/>
              <w:bottom w:w="60" w:type="dxa"/>
              <w:end w:w="70" w:type="dxa"/>
            </w:tcMar>
            <w:vAlign w:val="top"/>
          </w:tcPr>
          <w:p>
            <w:pPr>
              <w:spacing w:after="0" w:line="240" w:lineRule="auto"/>
            </w:pPr>
            <w:r>
              <w:rPr>
                <w:rFonts w:ascii="Lato" w:hAnsi="Lato"/>
                <w:color w:val="3F4A54"/>
                <w:sz w:val="15"/>
              </w:rPr>
              <w:t>Account code, opening balance, debit movement, credit movement and closing balance.</w:t>
            </w:r>
          </w:p>
        </w:tc>
        <w:tc>
          <w:tcPr>
            <w:tcW w:type="dxa" w:w="2736"/>
            <w:tcMar>
              <w:top w:w="60" w:type="dxa"/>
              <w:start w:w="70" w:type="dxa"/>
              <w:bottom w:w="60" w:type="dxa"/>
              <w:end w:w="70" w:type="dxa"/>
            </w:tcMar>
            <w:vAlign w:val="top"/>
          </w:tcPr>
          <w:p>
            <w:pPr>
              <w:spacing w:after="0" w:line="240" w:lineRule="auto"/>
            </w:pPr>
            <w:r>
              <w:rPr>
                <w:rFonts w:ascii="Lato" w:hAnsi="Lato"/>
                <w:color w:val="3F4A54"/>
                <w:sz w:val="15"/>
              </w:rPr>
              <w:t>Confirms that imported ledger data is complete and balanced.</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5"/>
              </w:rPr>
              <w:t>Sales register</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5"/>
              </w:rPr>
              <w:t>Invoice number/date, customer, GSTIN, taxable value, tax amounts, HSN/SAC, place of supply, credit notes, IRN and branch.</w:t>
            </w:r>
          </w:p>
        </w:tc>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5"/>
              </w:rPr>
              <w:t>Supports GSTR-1, revenue, cut-off and e-invoice checks.</w:t>
            </w:r>
          </w:p>
        </w:tc>
      </w:tr>
      <w:tr>
        <w:trPr>
          <w:cantSplit/>
        </w:trPr>
        <w:tc>
          <w:tcPr>
            <w:tcW w:type="dxa" w:w="1800"/>
            <w:tcMar>
              <w:top w:w="60" w:type="dxa"/>
              <w:start w:w="70" w:type="dxa"/>
              <w:bottom w:w="60" w:type="dxa"/>
              <w:end w:w="70" w:type="dxa"/>
            </w:tcMar>
            <w:vAlign w:val="top"/>
          </w:tcPr>
          <w:p>
            <w:pPr>
              <w:spacing w:after="0" w:line="240" w:lineRule="auto"/>
            </w:pPr>
            <w:r>
              <w:rPr>
                <w:rFonts w:ascii="Lato" w:hAnsi="Lato"/>
                <w:color w:val="3F4A54"/>
                <w:sz w:val="15"/>
              </w:rPr>
              <w:t>Purchase register</w:t>
            </w:r>
          </w:p>
        </w:tc>
        <w:tc>
          <w:tcPr>
            <w:tcW w:type="dxa" w:w="4824"/>
            <w:tcMar>
              <w:top w:w="60" w:type="dxa"/>
              <w:start w:w="70" w:type="dxa"/>
              <w:bottom w:w="60" w:type="dxa"/>
              <w:end w:w="70" w:type="dxa"/>
            </w:tcMar>
            <w:vAlign w:val="top"/>
          </w:tcPr>
          <w:p>
            <w:pPr>
              <w:spacing w:after="0" w:line="240" w:lineRule="auto"/>
            </w:pPr>
            <w:r>
              <w:rPr>
                <w:rFonts w:ascii="Lato" w:hAnsi="Lato"/>
                <w:color w:val="3F4A54"/>
                <w:sz w:val="15"/>
              </w:rPr>
              <w:t>Invoice number/date, supplier, GSTIN, taxable value, tax amounts, HSN/SAC, reverse-charge flag, credit notes and branch.</w:t>
            </w:r>
          </w:p>
        </w:tc>
        <w:tc>
          <w:tcPr>
            <w:tcW w:type="dxa" w:w="2736"/>
            <w:tcMar>
              <w:top w:w="60" w:type="dxa"/>
              <w:start w:w="70" w:type="dxa"/>
              <w:bottom w:w="60" w:type="dxa"/>
              <w:end w:w="70" w:type="dxa"/>
            </w:tcMar>
            <w:vAlign w:val="top"/>
          </w:tcPr>
          <w:p>
            <w:pPr>
              <w:spacing w:after="0" w:line="240" w:lineRule="auto"/>
            </w:pPr>
            <w:r>
              <w:rPr>
                <w:rFonts w:ascii="Lato" w:hAnsi="Lato"/>
                <w:color w:val="3F4A54"/>
                <w:sz w:val="15"/>
              </w:rPr>
              <w:t>Supports GSTR-2B, ITC, vendor and duplicate-invoice checks.</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5"/>
              </w:rPr>
              <w:t>Vendor/customer master</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5"/>
              </w:rPr>
              <w:t>ID, name, GSTIN, PAN where authorised, address, phone/email, bank account, IFSC, creation date, created by, status and related-party flag.</w:t>
            </w:r>
          </w:p>
        </w:tc>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5"/>
              </w:rPr>
              <w:t>Identifies duplicate, related, dormant, new and shared-detail entities.</w:t>
            </w:r>
          </w:p>
        </w:tc>
      </w:tr>
      <w:tr>
        <w:trPr>
          <w:cantSplit/>
        </w:trPr>
        <w:tc>
          <w:tcPr>
            <w:tcW w:type="dxa" w:w="1800"/>
            <w:tcMar>
              <w:top w:w="60" w:type="dxa"/>
              <w:start w:w="70" w:type="dxa"/>
              <w:bottom w:w="60" w:type="dxa"/>
              <w:end w:w="70" w:type="dxa"/>
            </w:tcMar>
            <w:vAlign w:val="top"/>
          </w:tcPr>
          <w:p>
            <w:pPr>
              <w:spacing w:after="0" w:line="240" w:lineRule="auto"/>
            </w:pPr>
            <w:r>
              <w:rPr>
                <w:rFonts w:ascii="Lato" w:hAnsi="Lato"/>
                <w:color w:val="3F4A54"/>
                <w:sz w:val="15"/>
              </w:rPr>
              <w:t>GST data</w:t>
            </w:r>
          </w:p>
        </w:tc>
        <w:tc>
          <w:tcPr>
            <w:tcW w:type="dxa" w:w="4824"/>
            <w:tcMar>
              <w:top w:w="60" w:type="dxa"/>
              <w:start w:w="70" w:type="dxa"/>
              <w:bottom w:w="60" w:type="dxa"/>
              <w:end w:w="70" w:type="dxa"/>
            </w:tcMar>
            <w:vAlign w:val="top"/>
          </w:tcPr>
          <w:p>
            <w:pPr>
              <w:spacing w:after="0" w:line="240" w:lineRule="auto"/>
            </w:pPr>
            <w:r>
              <w:rPr>
                <w:rFonts w:ascii="Lato" w:hAnsi="Lato"/>
                <w:color w:val="3F4A54"/>
                <w:sz w:val="15"/>
              </w:rPr>
              <w:t>GSTR-1, GSTR-2B, GSTR-3B, e-invoice/e-way bill data where available, tax period and filing status.</w:t>
            </w:r>
          </w:p>
        </w:tc>
        <w:tc>
          <w:tcPr>
            <w:tcW w:type="dxa" w:w="2736"/>
            <w:tcMar>
              <w:top w:w="60" w:type="dxa"/>
              <w:start w:w="70" w:type="dxa"/>
              <w:bottom w:w="60" w:type="dxa"/>
              <w:end w:w="70" w:type="dxa"/>
            </w:tcMar>
            <w:vAlign w:val="top"/>
          </w:tcPr>
          <w:p>
            <w:pPr>
              <w:spacing w:after="0" w:line="240" w:lineRule="auto"/>
            </w:pPr>
            <w:r>
              <w:rPr>
                <w:rFonts w:ascii="Lato" w:hAnsi="Lato"/>
                <w:color w:val="3F4A54"/>
                <w:sz w:val="15"/>
              </w:rPr>
              <w:t>Supports books-to-return and return-to-return reconciliation.</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5"/>
              </w:rPr>
              <w:t>Bank statement</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5"/>
              </w:rPr>
              <w:t>Account, transaction date, value date, debit/credit, amount, reference, narration and running balance.</w:t>
            </w:r>
          </w:p>
        </w:tc>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5"/>
              </w:rPr>
              <w:t>Supports bank-to-books matching and unexplained movement detection.</w:t>
            </w:r>
          </w:p>
        </w:tc>
      </w:tr>
      <w:tr>
        <w:trPr>
          <w:cantSplit/>
        </w:trPr>
        <w:tc>
          <w:tcPr>
            <w:tcW w:type="dxa" w:w="1800"/>
            <w:tcMar>
              <w:top w:w="60" w:type="dxa"/>
              <w:start w:w="70" w:type="dxa"/>
              <w:bottom w:w="60" w:type="dxa"/>
              <w:end w:w="70" w:type="dxa"/>
            </w:tcMar>
            <w:vAlign w:val="top"/>
          </w:tcPr>
          <w:p>
            <w:pPr>
              <w:spacing w:after="0" w:line="240" w:lineRule="auto"/>
            </w:pPr>
            <w:r>
              <w:rPr>
                <w:rFonts w:ascii="Lato" w:hAnsi="Lato"/>
                <w:color w:val="3F4A54"/>
                <w:sz w:val="15"/>
              </w:rPr>
              <w:t>Audit trail / user log</w:t>
            </w:r>
          </w:p>
        </w:tc>
        <w:tc>
          <w:tcPr>
            <w:tcW w:type="dxa" w:w="4824"/>
            <w:tcMar>
              <w:top w:w="60" w:type="dxa"/>
              <w:start w:w="70" w:type="dxa"/>
              <w:bottom w:w="60" w:type="dxa"/>
              <w:end w:w="70" w:type="dxa"/>
            </w:tcMar>
            <w:vAlign w:val="top"/>
          </w:tcPr>
          <w:p>
            <w:pPr>
              <w:spacing w:after="0" w:line="240" w:lineRule="auto"/>
            </w:pPr>
            <w:r>
              <w:rPr>
                <w:rFonts w:ascii="Lato" w:hAnsi="Lato"/>
                <w:color w:val="3F4A54"/>
                <w:sz w:val="15"/>
              </w:rPr>
              <w:t>Object changed, old value, new value, user, timestamp, action, role, approval, source device/IP where lawfully available.</w:t>
            </w:r>
          </w:p>
        </w:tc>
        <w:tc>
          <w:tcPr>
            <w:tcW w:type="dxa" w:w="2736"/>
            <w:tcMar>
              <w:top w:w="60" w:type="dxa"/>
              <w:start w:w="70" w:type="dxa"/>
              <w:bottom w:w="60" w:type="dxa"/>
              <w:end w:w="70" w:type="dxa"/>
            </w:tcMar>
            <w:vAlign w:val="top"/>
          </w:tcPr>
          <w:p>
            <w:pPr>
              <w:spacing w:after="0" w:line="240" w:lineRule="auto"/>
            </w:pPr>
            <w:r>
              <w:rPr>
                <w:rFonts w:ascii="Lato" w:hAnsi="Lato"/>
                <w:color w:val="3F4A54"/>
                <w:sz w:val="15"/>
              </w:rPr>
              <w:t>Supports change history, override and deletion analysis.</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5"/>
              </w:rPr>
              <w:t>Supporting documents</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5"/>
              </w:rPr>
              <w:t>Document type, invoice/transaction link, upload date, version, uploader, hash and reviewer decision.</w:t>
            </w:r>
          </w:p>
        </w:tc>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5"/>
              </w:rPr>
              <w:t>Supports evidence-based closure and workpapers.</w:t>
            </w:r>
          </w:p>
        </w:tc>
      </w:tr>
    </w:tbl>
    <w:p>
      <w:pPr>
        <w:widowControl/>
        <w:spacing w:after="0"/>
      </w:pPr>
    </w:p>
    <w:p>
      <w:pPr>
        <w:pStyle w:val="Heading2"/>
        <w:keepNext/>
        <w:pageBreakBefore w:val="0"/>
        <w:widowControl/>
        <w:spacing w:before="140" w:after="60"/>
      </w:pPr>
      <w:r>
        <w:rPr>
          <w:rFonts w:ascii="Lato" w:hAnsi="Lato"/>
          <w:b/>
          <w:color w:val="0F766E"/>
          <w:sz w:val="26"/>
        </w:rPr>
        <w:t>5.1 Mandatory import controls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DAT-001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preserve the original uploaded file and create a checksum so the analysed population can be reproduced.</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same source file and rule version recreate the same results.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DAT-002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reconcile journal debits and credits and compare ledger totals with the trial balance.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Unexplained differences are shown before analysis starts.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DAT-003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show missing fields, invalid dates, duplicate IDs, non-numeric amounts and unmapped accounts.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A downloadable data-quality report is produced for every import.</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DAT-004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user shall map source columns to standard platform fields and save reusable mappings by client/system.</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 repeat file can be imported with the approved mapping.</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DAT-005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retain source row number, file name and source record ID for every normalised transaction.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Every exception can be traced to its original record.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DAT-006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should support delta imports without duplicating previously loaded records.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 later-period upload adds only new or changed records.</w:t>
            </w:r>
          </w:p>
        </w:tc>
      </w:tr>
    </w:tbl>
    <w:p>
      <w:pPr>
        <w:widowControl/>
        <w:spacing w:after="0"/>
      </w:pPr>
    </w:p>
    <w:p>
      <w:pPr>
        <w:pStyle w:val="Heading1"/>
        <w:keepNext/>
        <w:pageBreakBefore w:val="0"/>
        <w:widowControl/>
        <w:spacing w:before="240" w:after="100"/>
      </w:pPr>
      <w:r>
        <w:rPr>
          <w:rFonts w:ascii="Lato" w:hAnsi="Lato"/>
          <w:b/>
          <w:color w:val="17324D"/>
          <w:sz w:val="34"/>
        </w:rPr>
        <w:t>6. Journal-entry testing</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Journal-entry testing looks for accounting entries that are unusual because of who posted them, when they were posted, which accounts were used, the amount, the explanation or what happened immediately afterwards.</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company can have thousands or millions of journal lines. Manual sampling may miss entries posted by senior users, backdated after closing, reversed quickly or recorded in unusual accounts.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audit team receives a short, risk-ranked list instead of manually reviewing every line.</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General ledger, journal header and line data, user and approval fields, source module, timestamps, account master, materiality and prior-year data.</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Risk-ranked journal exceptions, transaction drill-down, linked documents, management questions and a journal-testing workpaper.</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Rs. 49 lakh expense entry is created after year-end by an administrator, posted to the prior period and reversed seven days later. The system combines all four facts into one high-priority case.</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Manual versus system-generated entries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Manual entries generally deserve more attention because a person chose the accounts and amount.</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Period-end and post-close entries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entries created near closing or after closing but posted into the earlier period.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Privileged-user postings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Identify entries made by administrators, finance heads or users with broad rights.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Backdating</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Compare transaction date, posting date and creation timestamp.</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Unusual account combinations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debit-credit account pairs that are rare for the client or industry.</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Duplicates and near-duplicates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repeated amounts, dates, accounts or narrations even when the voucher number differs.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Quick reversal</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entries reversed shortly after reporting date or audit review.</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Blank or vague narration</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Identify entries without enough explanation.</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Round amounts and threshold proximity</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manually constructed values and amounts just below approval or materiality levels.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Dormant or rarely used accounts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Highlight unexpected use of accounts that were inactive for a long period.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Benford and digit patterns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Use statistical digit analysis only when the selected population is suitable.</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JET-001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user shall define the journal population by period, branch, account, source, user and amount.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Filters produce a clearly labelled population count and value.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JET-002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identify manual, system and imported journals where source metadata is available.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Each entry shows its source classification and confidence.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JET-003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compare transaction, posting, creation, approval and modification timestamps.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Backdated and late-approved entries are separately visible.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JET-004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detect duplicate and near-duplicate journal patterns.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user can open the matched group and compare lines.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JET-005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flag unusual account combinations using client history and configurable rules.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explanation shows why the combination is unusual.</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JET-006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link original entries to reversals where identifiers or matching evidence exist.</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case shows reversal date, amount and remaining difference.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JET-007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support configurable period-end windows, amount thresholds and privileged-user lists.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engagement retains the exact settings used.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JET-008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user shall be able to select risk-ranked samples and random control samples.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Both sample types are documented in the workpaper.</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JET-009</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Every journal exception shall show source rows, triggering rules, related entries and monetary exposure.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A reviewer can reproduce the flag without external calculations.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JET-010</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platform shall generate a journal-entry testing workpaper with population, procedures, exceptions and conclusions.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export contains reviewer sign-off and rule versions.</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A high-risk journal is not automatically an incorrect journal.</w:t>
      </w:r>
    </w:p>
    <w:p>
      <w:pPr>
        <w:pStyle w:val="ListBullet"/>
        <w:widowControl/>
        <w:spacing w:after="30" w:line="247" w:lineRule="auto"/>
        <w:ind w:left="288" w:hanging="173"/>
      </w:pPr>
      <w:r>
        <w:rPr>
          <w:rFonts w:ascii="Lato" w:hAnsi="Lato"/>
          <w:color w:val="3F4A54"/>
          <w:sz w:val="19"/>
        </w:rPr>
        <w:t>Materiality alone must not exclude small repeated entries that together become significant.</w:t>
      </w:r>
    </w:p>
    <w:p>
      <w:pPr>
        <w:pStyle w:val="ListBullet"/>
        <w:widowControl/>
        <w:spacing w:after="30" w:line="247" w:lineRule="auto"/>
        <w:ind w:left="288" w:hanging="173"/>
      </w:pPr>
      <w:r>
        <w:rPr>
          <w:rFonts w:ascii="Lato" w:hAnsi="Lato"/>
          <w:color w:val="3F4A54"/>
          <w:sz w:val="19"/>
        </w:rPr>
        <w:t>Account combinations vary by industry; firm-level and client-level configuration is required.</w:t>
      </w:r>
    </w:p>
    <w:p>
      <w:pPr>
        <w:pStyle w:val="Heading1"/>
        <w:keepNext/>
        <w:pageBreakBefore/>
        <w:widowControl/>
        <w:spacing w:before="240" w:after="100"/>
      </w:pPr>
      <w:r>
        <w:rPr>
          <w:rFonts w:ascii="Lato" w:hAnsi="Lato"/>
          <w:b/>
          <w:color w:val="17324D"/>
          <w:sz w:val="34"/>
        </w:rPr>
        <w:t>7. GST reconciliation and pre-filing checks</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GST reconciliation compares the company's sales and purchase records with GST returns and statements so differences can be corrected before filing or explained during review.</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Invoice numbers, dates, GSTINs, taxable values and tax amounts often differ across books and GST files. Spreadsheet matching is slow and can miss duplicate, missing or wrongly classified invoices.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GST reviewer sees one filing-readiness dashboard with exact mismatches, likely reasons and a correction schedule.</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Sales register, purchase register, GSTR-1, GSTR-2B, GSTR-3B, GSTIN master, e-invoice/e-way bill data where available and prior-period adjustments.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Matched and unmatched invoice groups, ITC and liability differences, correction actions, client queries and pre-filing sign-off.</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supplier invoice appears in the purchase register but not in GSTR-2B. The platform classifies it as "books only", calculates the potential ITC exposure and requests the supplier filing evidence.</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Purchase register versus GSTR-2B</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invoices present in both, books only, 2B only, value mismatch, tax mismatch, date mismatch and credit-note mismatch.</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Sales register versus GSTR-1</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Check that outward-supply invoices and notes are reported completely and accurately.</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GSTR-1 versus GSTR-3B</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Compare detailed outward supplies with the summary tax liability declared.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Purchase register / 2B versus GSTR-3B ITC</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Compare available or reviewable input tax with the amount claimed, while leaving legal eligibility to the GST professional.</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E-invoice and IRN checks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Check whether required invoice references exist and match the books when data is supplied.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GSTIN, place-of-supply and tax-type checks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Identify inconsistencies that may affect IGST versus CGST/SGST treatment.</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HSN/SAC and rate checks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unusual or inconsistent classification and rate usage.</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Invoice sequence and cancellation</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gaps, duplicate invoice numbers and unexplained cancellations.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Credit and debit notes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Trace notes to original invoices and review unusual concentration near period end.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Timing and amendment checks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Track invoices reported in later periods, amendments and reversals.</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GST-001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import standard GST portal downloads and structured client registers.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file type, tax period and GSTIN are validated before matching.</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GST-002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support exact and configurable fuzzy invoice matching using GSTIN, invoice number, date and value.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Each match displays a confidence score and matched fields.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GST-003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classify differences into clear business categories rather than a single unmatched list.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Every invoice receives one primary status and reason.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GST-004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calculate potential tax exposure but mark legal eligibility and filing decisions for professional approval.</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No item is automatically treated as admissible or inadmissible ITC.</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GST-005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reconcile sales register to GSTR-1 and GSTR-1 to GSTR-3B by tax period and rate.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summary agrees or lists exact unresolved differences.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GST-006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maintain prior-period carry-forward, amendment and resolution status.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 mismatch does not reappear as new after being resolved or carried forward.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GST-007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user shall be able to approve, reject or manually link suggested invoice matches with a reason.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Manual decisions are logged and reviewable.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GST-008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generate a pre-filing checklist and correction schedule.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schedule identifies owner, action, due date and financial effect.</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GST-009</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should support multiple GSTINs, branches and registrations in one legal entity.</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Users can view entity-level and GSTIN-level reconciliation.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GST-010</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preserve the source GST files and matching version used for sign-off.</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filing-readiness report is reproducible.</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The platform supports the GST professional; it does not independently determine legal ITC eligibility.</w:t>
      </w:r>
    </w:p>
    <w:p>
      <w:pPr>
        <w:pStyle w:val="ListBullet"/>
        <w:widowControl/>
        <w:spacing w:after="30" w:line="247" w:lineRule="auto"/>
        <w:ind w:left="288" w:hanging="173"/>
      </w:pPr>
      <w:r>
        <w:rPr>
          <w:rFonts w:ascii="Lato" w:hAnsi="Lato"/>
          <w:color w:val="3F4A54"/>
          <w:sz w:val="19"/>
        </w:rPr>
        <w:t>Portal data can change through amendments and later filings; tax-period versioning is mandatory.</w:t>
      </w:r>
    </w:p>
    <w:p>
      <w:pPr>
        <w:pStyle w:val="ListBullet"/>
        <w:widowControl/>
        <w:spacing w:after="30" w:line="247" w:lineRule="auto"/>
        <w:ind w:left="288" w:hanging="173"/>
      </w:pPr>
      <w:r>
        <w:rPr>
          <w:rFonts w:ascii="Lato" w:hAnsi="Lato"/>
          <w:color w:val="3F4A54"/>
          <w:sz w:val="19"/>
        </w:rPr>
        <w:t>MVP produces a correction schedule but does not submit returns automatically.</w:t>
      </w:r>
    </w:p>
    <w:p>
      <w:pPr>
        <w:pStyle w:val="Heading1"/>
        <w:keepNext/>
        <w:pageBreakBefore/>
        <w:widowControl/>
        <w:spacing w:before="240" w:after="100"/>
      </w:pPr>
      <w:r>
        <w:rPr>
          <w:rFonts w:ascii="Lato" w:hAnsi="Lato"/>
          <w:b/>
          <w:color w:val="17324D"/>
          <w:sz w:val="34"/>
        </w:rPr>
        <w:t>8. Vendor and payment anomaly analysis</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Vendor and payment anomaly analysis checks whether suppliers, invoices and payments behave like normal business activity or show signs that deserve verification.</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Duplicate suppliers, changed bank accounts, split invoices, repeated payments and newly created vendors can be difficult to find when master data and transactions are reviewed separately.</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audit team sees the vendor, invoices, payments, GST status, bank details and user activity together.</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Vendor master, purchase register, payment ledger, bank statement, approvals, purchase orders, goods receipts, GST data and employee master where authorised.</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Duplicate-vendor groups, duplicate/split-payment cases, shared-detail relationships, high-risk vendor profiles and evidence requests.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Two vendor names are slightly different but use the same bank account and address. Both were created by one user and paid within three days. The platform presents them as one linked case.</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Duplicate and fuzzy duplicate vendors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Compare names, GSTINs, PANs, bank accounts, addresses, phones and emails.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Shared bank or contact details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different vendors linked through the same account, address, phone or email.</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New or dormant vendor activity</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Highlight large or frequent transactions soon after creation or after long inactivity.</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Duplicate and near-duplicate invoices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exact repeats and altered invoice formats.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Split invoices and payments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several smaller transactions that may avoid an approval threshold.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Bank detail changes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changes shortly before payment and whether independent approval occurred.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Payment before invoice/approval</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Identify control bypass or timing inconsistencies.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Purchase order / receipt mismatch</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Compare invoice to approved order and evidence that goods or services were received.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Unusual payment timing</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weekend, holiday, after-hours or accelerated payments.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Vendor concentration and round amounts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Identify unusual dependence or repeated manually constructed amounts.</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VPA-001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create a consolidated vendor profile across master, invoice, GST, payment and bank data.</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A user can view all linked records without leaving the case.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VPA-002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identify exact and fuzzy duplicate vendors and show the matching attributes.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reviewer can merge for analysis without changing source masters.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VPA-003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detect duplicate and near-duplicate invoice/payment patterns.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Matched groups show amount, date, reference and source differences.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VPA-004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flag shared bank accounts and other shared identifiers subject to authorised data use.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relationship and source field are clearly displayed.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VPA-005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identify vendor bank-detail changes and payments made soon afterwards.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elapsed time and approval evidence are shown.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VPA-006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detect transactions structured below configurable approval thresholds.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group total and individual components are displayed.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VPA-007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should build a relationship graph linking vendors, users, bank accounts, invoices and payments.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A reviewer can trace each edge to a source record.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VPA-008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platform shall support evidence requests for onboarding, invoice, PO, receipt, approval and bank proof.</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Each request is linked to the relevant vendor case.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VPA-009</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allow legitimate shared-service and group-company relationships to be whitelisted with approval.</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exception retains the reason, approver and effective period.</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Shared details can be legitimate for group companies, marketplaces or common service providers.</w:t>
      </w:r>
    </w:p>
    <w:p>
      <w:pPr>
        <w:pStyle w:val="ListBullet"/>
        <w:widowControl/>
        <w:spacing w:after="30" w:line="247" w:lineRule="auto"/>
        <w:ind w:left="288" w:hanging="173"/>
      </w:pPr>
      <w:r>
        <w:rPr>
          <w:rFonts w:ascii="Lato" w:hAnsi="Lato"/>
          <w:color w:val="3F4A54"/>
          <w:sz w:val="19"/>
        </w:rPr>
        <w:t>The system must never expose personal or employee identifiers beyond authorised roles.</w:t>
      </w:r>
    </w:p>
    <w:p>
      <w:pPr>
        <w:pStyle w:val="ListBullet"/>
        <w:widowControl/>
        <w:spacing w:after="30" w:line="247" w:lineRule="auto"/>
        <w:ind w:left="288" w:hanging="173"/>
      </w:pPr>
      <w:r>
        <w:rPr>
          <w:rFonts w:ascii="Lato" w:hAnsi="Lato"/>
          <w:color w:val="3F4A54"/>
          <w:sz w:val="19"/>
        </w:rPr>
        <w:t>Fuzzy matches are suggestions, not automatic duplicate-vendor conclusions.</w:t>
      </w:r>
    </w:p>
    <w:p>
      <w:pPr>
        <w:pStyle w:val="Heading1"/>
        <w:keepNext/>
        <w:pageBreakBefore/>
        <w:widowControl/>
        <w:spacing w:before="240" w:after="100"/>
      </w:pPr>
      <w:r>
        <w:rPr>
          <w:rFonts w:ascii="Lato" w:hAnsi="Lato"/>
          <w:b/>
          <w:color w:val="17324D"/>
          <w:sz w:val="34"/>
        </w:rPr>
        <w:t>9. Revenue and expense manipulation screening</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Revenue and expense manipulation screening looks for transactions that may have been recorded in the wrong amount, wrong period, wrong account or without a real underlying business event.</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Reported profit can be changed by recording revenue too early, delaying expenses, creating unsupported sales, issuing credit notes later or moving normal costs into assets.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platform converts broad financial-statement risks into specific transaction groups that can be tested.</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General ledger, sales and purchase registers, customer/vendor masters, dispatch/service evidence, credit notes, inventory, fixed assets, bank data and prior-period results.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Revenue and expense risk cases, period and customer/vendor trends, unusual margin movements, cut-off samples and evidence requests.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Sales rise sharply in the final three days of the year, most invoices are unpaid and many are reversed through credit notes in April. The platform groups the invoices and calculates their effect on revenue and profit.</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Revenue cut-off</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sales recorded before delivery/service completion or posted into the wrong period.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Post-period credit notes and reversals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Identify year-end revenue later cancelled or reduced.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Unsupported or unusual customers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new, dormant, related or incomplete customer records with high sales.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Revenue concentration and spikes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Compare end-period sales, channels, products, branches and customers with normal patterns.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Cash and bank support</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Compare collections with recorded sales and receivables.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Expense completeness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expenses that may be omitted, delayed or recorded through unusual accounts.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Capitalisation risk</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Identify normal operating expenses moved to fixed assets or projects.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Accrual and provision reversals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estimates recorded at year end and reversed soon after.</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Margin and ratio outliers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unusual gross margin, expense ratio or account relationships.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Document and operational mismatch</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Compare invoice activity with dispatch, receipt, service, inventory or other available evidence.</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REM-001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provide configurable revenue and expense risk tests by industry and engagement.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Rules are versioned and the active version is shown.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REM-002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analyse transactions around configurable cut-off windows before and after period end.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user can compare pre-close and post-close activity.</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REM-003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link sales invoices to subsequent credit notes, receipts and reversals where data permits.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full life cycle is visible in one case.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REM-004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identify unusual customer/vendor, product, branch and account concentrations.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benchmark and period used are explained.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REM-005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test potential operating-expense capitalisation using account patterns and master data.</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Flagged items show original and capitalised account context.</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REM-006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compare current activity with prior periods and normal seasonality where history exists.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output distinguishes absolute size from unusual change.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REM-007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reviewer shall be able to relate an exception to audit assertions such as occurrence, completeness, cut-off, accuracy and classification.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assertion appears in the workpaper.</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REM-008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calculate the potential financial-statement effect without asserting that misstatement occurred.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Exposure is labelled estimated and reviewable.</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Accounting estimates and unusual transactions can be legitimate and require context.</w:t>
      </w:r>
    </w:p>
    <w:p>
      <w:pPr>
        <w:pStyle w:val="ListBullet"/>
        <w:widowControl/>
        <w:spacing w:after="30" w:line="247" w:lineRule="auto"/>
        <w:ind w:left="288" w:hanging="173"/>
      </w:pPr>
      <w:r>
        <w:rPr>
          <w:rFonts w:ascii="Lato" w:hAnsi="Lato"/>
          <w:color w:val="3F4A54"/>
          <w:sz w:val="19"/>
        </w:rPr>
        <w:t>Industry seasonality must be considered before treating a spike as unusual.</w:t>
      </w:r>
    </w:p>
    <w:p>
      <w:pPr>
        <w:pStyle w:val="ListBullet"/>
        <w:widowControl/>
        <w:spacing w:after="30" w:line="247" w:lineRule="auto"/>
        <w:ind w:left="288" w:hanging="173"/>
      </w:pPr>
      <w:r>
        <w:rPr>
          <w:rFonts w:ascii="Lato" w:hAnsi="Lato"/>
          <w:color w:val="3F4A54"/>
          <w:sz w:val="19"/>
        </w:rPr>
        <w:t>The system estimates exposure but the auditor decides whether a misstatement exists.</w:t>
      </w:r>
    </w:p>
    <w:p>
      <w:pPr>
        <w:pStyle w:val="Heading1"/>
        <w:keepNext/>
        <w:pageBreakBefore/>
        <w:widowControl/>
        <w:spacing w:before="240" w:after="100"/>
      </w:pPr>
      <w:r>
        <w:rPr>
          <w:rFonts w:ascii="Lato" w:hAnsi="Lato"/>
          <w:b/>
          <w:color w:val="17324D"/>
          <w:sz w:val="34"/>
        </w:rPr>
        <w:t>10. Audit-trail review</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Audit-trail review checks the history of changes in accounting software: who created, changed or deleted a record, when it happened and what the value was before and after the change.</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final ledger may look reasonable even when entries, masters or dates were changed after approval. Without a usable change log, the auditor cannot see that history.</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auditor can identify missing logs, disabled logging, unusual changes and high-risk user activity without manually reading millions of log rows.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Accounting/ERP audit logs, user and role master, transaction master, approval log, system configuration and closing calendar.</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Audit-trail completeness report, change cases, user activity summary, gap periods, deleted-record register and reporting support.</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vendor bank account is changed at 10:42 PM by an administrator, a payment is released the next morning, and the bank detail is changed back later. The platform shows the complete sequence.</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Logging availability and continuity</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Check whether logs exist for the complete period and whether there are unexplained gaps.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Audit-trail disablement or configuration changes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attempts to switch off, bypass or weaken logging.</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Create, modify and delete events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Show the old value, new value, user and time.</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Master-data changes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Review vendor, customer, account, tax, bank and approval-master changes.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Backdated and post-close changes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records changed after close or approval while affecting the prior period.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User-role and privilege changes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Identify elevation of access before high-risk activity.</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Mass updates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large numbers of records changed in a short period.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Failed or unusual access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Where legally and technically available, identify unusual logins or access patterns.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Current record versus change history</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Confirm that the current record can be reconstructed from the trail.</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ATR-001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import and normalise audit logs from supported accounting systems.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Each event maps to user, object, action, time and before/after values where available.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ATR-002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identify gaps in log coverage and state which dates, modules or users are affected.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completeness report is exportable and reviewable.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ATR-003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detect configuration events that affect audit-trail operation where provided by the source system.</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event and effective time are shown.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ATR-004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link high-risk master changes to subsequent transactions and payments.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 timeline shows cause-and-effect sequence.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ATR-005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identify transactions changed after approval, closing or filing cut-off.</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original and amended values are visible.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ATR-006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preserve raw logs and source references and prevent users from overwriting them.</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analysis is reproducible from the retained log snapshot.</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ATR-007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should provide an audit-trail reporting pack aligned to the firm's approved methodology.</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pack includes coverage, exceptions, procedures and sign-off.</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Different accounting systems expose different levels of audit-trail detail.</w:t>
      </w:r>
    </w:p>
    <w:p>
      <w:pPr>
        <w:pStyle w:val="ListBullet"/>
        <w:widowControl/>
        <w:spacing w:after="30" w:line="247" w:lineRule="auto"/>
        <w:ind w:left="288" w:hanging="173"/>
      </w:pPr>
      <w:r>
        <w:rPr>
          <w:rFonts w:ascii="Lato" w:hAnsi="Lato"/>
          <w:color w:val="3F4A54"/>
          <w:sz w:val="19"/>
        </w:rPr>
        <w:t>Absence of a field in an export is not automatically proof that logging was disabled.</w:t>
      </w:r>
    </w:p>
    <w:p>
      <w:pPr>
        <w:pStyle w:val="ListBullet"/>
        <w:widowControl/>
        <w:spacing w:after="30" w:line="247" w:lineRule="auto"/>
        <w:ind w:left="288" w:hanging="173"/>
      </w:pPr>
      <w:r>
        <w:rPr>
          <w:rFonts w:ascii="Lato" w:hAnsi="Lato"/>
          <w:color w:val="3F4A54"/>
          <w:sz w:val="19"/>
        </w:rPr>
        <w:t>Access and device data must be processed only when authorised and necessary.</w:t>
      </w:r>
    </w:p>
    <w:p>
      <w:pPr>
        <w:pStyle w:val="Heading1"/>
        <w:keepNext/>
        <w:pageBreakBefore/>
        <w:widowControl/>
        <w:spacing w:before="240" w:after="100"/>
      </w:pPr>
      <w:r>
        <w:rPr>
          <w:rFonts w:ascii="Lato" w:hAnsi="Lato"/>
          <w:b/>
          <w:color w:val="17324D"/>
          <w:sz w:val="34"/>
        </w:rPr>
        <w:t>11. Bank-to-books reconciliation</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Bank-to-books reconciliation matches the bank statement with the bank ledger in the accounts and explains what remains unmatched.</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large number of transactions, different dates, grouped deposits, bank charges and inconsistent narrations make manual reconciliation slow and error-prone.</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team receives automatic match suggestions, a confidence score and a focused list of unreconciled items.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Structured bank statements, bank ledger, receipt/payment references, customer/vendor data, cheque information and prior reconciliation status.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Exact and suggested matches, one-to-many/many-to-one groups, outstanding items, unexplained receipts/payments and reconciliation workpaper.</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One bank credit of Rs. 3,00,000 matches three customer receipts of Rs. 1,00,000 each. The system proposes the group match and shows the supporting customer references.</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Exact matches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Same amount, date and reference.</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Date-tolerance matches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Same amount but bank and book dates differ within an approved window.</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One-to-many / many-to-one</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A single deposit or payment represents several ledger items, or vice versa.</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Reference and narration similarity</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Use cheque, UTR, invoice and party references to improve matching.</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Outstanding cheques and deposits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Track old unmatched items and stale balances.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Bank-only entries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charges, interest, direct debits, unknown receipts or missing book entries.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Book-only entries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recorded transactions that never reached the bank.</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Duplicates and unusual transfers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repeated amounts, self-transfers, round values and unusual related accounts.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Closing balance reconciliation</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Agree the book balance to bank balance after recognised reconciling items.</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BKR-001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import structured bank statements and validate opening/closing balances where present.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Balance continuity issues are reported before matching.</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BKR-002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support exact, tolerance, one-to-many and many-to-one matching.</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Each suggested match shows confidence and matching logic.</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BKR-003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user shall approve or reject suggested matches and record reasons for manual matches.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audit log preserves the decision and reviewer.</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BKR-004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age unreconciled items and highlight stale or repeated items.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Ageing bands and prior-period carry-forward are visible.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BKR-005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identify bank-only and books-only items and suggest follow-up categories.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reconciliation schedule is grouped by cause.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BKR-006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reconcile the adjusted closing balance and prevent sign-off while unexplained differences remain unless approved.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An override requires authorised reason and reviewer.</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BKR-007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PDF bank statement extraction may be supported later but must display extraction confidence and require verification.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Could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Low-confidence rows cannot be auto-matched without review.</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A suggested match is not final until accepted under the engagement workflow.</w:t>
      </w:r>
    </w:p>
    <w:p>
      <w:pPr>
        <w:pStyle w:val="ListBullet"/>
        <w:widowControl/>
        <w:spacing w:after="30" w:line="247" w:lineRule="auto"/>
        <w:ind w:left="288" w:hanging="173"/>
      </w:pPr>
      <w:r>
        <w:rPr>
          <w:rFonts w:ascii="Lato" w:hAnsi="Lato"/>
          <w:color w:val="3F4A54"/>
          <w:sz w:val="19"/>
        </w:rPr>
        <w:t>Date tolerances and grouping rules must be configurable by bank account and client.</w:t>
      </w:r>
    </w:p>
    <w:p>
      <w:pPr>
        <w:pStyle w:val="ListBullet"/>
        <w:widowControl/>
        <w:spacing w:after="30" w:line="247" w:lineRule="auto"/>
        <w:ind w:left="288" w:hanging="173"/>
      </w:pPr>
      <w:r>
        <w:rPr>
          <w:rFonts w:ascii="Lato" w:hAnsi="Lato"/>
          <w:color w:val="3F4A54"/>
          <w:sz w:val="19"/>
        </w:rPr>
        <w:t>MVP should prioritise structured files; PDF extraction introduces higher error risk.</w:t>
      </w:r>
    </w:p>
    <w:p>
      <w:pPr>
        <w:pStyle w:val="Heading1"/>
        <w:keepNext/>
        <w:pageBreakBefore/>
        <w:widowControl/>
        <w:spacing w:before="240" w:after="100"/>
      </w:pPr>
      <w:r>
        <w:rPr>
          <w:rFonts w:ascii="Lato" w:hAnsi="Lato"/>
          <w:b/>
          <w:color w:val="17324D"/>
          <w:sz w:val="34"/>
        </w:rPr>
        <w:t>12. Period-end testing</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Period-end testing focuses on transactions close to the reporting date because management pressure, cut-off mistakes and late adjustments often occur during this window.</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Entries around month-end or year-end can materially change revenue, expenses, assets and liabilities even when they are small in number.</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platform creates a focused closing-period review across journals, invoices, credit notes, payments, accruals and subsequent reversals.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Ledger and sub-ledgers, close calendar, creation/modification timestamps, invoices, dispatch/receipt dates, bank data, accruals, provisions and subsequent-period transactions.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Period-end risk dashboard, cut-off samples, late-entry register, reversal analysis and closing workpaper.</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 large provision is posted on 31 March and fully reversed on 2 April without supporting calculation. The system flags the timing, amount, user and reversal pattern.</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Configurable close windows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Review the last 30/15/7 days and the first days after close.</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Created after close but posted before close</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Identify backdated transactions.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Unusual end-period volume and value</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Compare closing activity with normal days and prior periods.</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Cut-off mismatch</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Compare invoice, dispatch, service, receipt and accounting dates.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Accruals, provisions and estimates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large or unusual estimates and their subsequent use/reversal.</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Subsequent reversals and credit notes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Trace transactions cancelled after the reporting date.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Weekend/after-hours postings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Highlight unusual closing activity.</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Suspense and clearing accounts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Find unresolved balances used during close.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Threshold and round-number clustering</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Find values shaped around approval or reporting limits.</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PET-001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let the engagement define financial close dates and review windows.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selected dates appear in every result and workpaper.</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PET-002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distinguish transaction date from creation, modification and approval dates.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Late and backdated activity is separately classified.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PET-003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compare period-end activity with a normal baseline and prior periods.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benchmark is visible and configurable.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PET-004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link entries to subsequent reversals, settlements, credit notes and receipts.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reviewer can follow the full post-close outcome.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PET-005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provide dedicated tests for accruals, provisions, suspense and closing journals.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Each test has a clear objective and output.</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PET-006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platform shall create a period-end workpaper and unresolved close-issue list.</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Partner review can focus on open high-risk items.</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Period-end activity is expected to be higher; unusual does not mean wrong.</w:t>
      </w:r>
    </w:p>
    <w:p>
      <w:pPr>
        <w:pStyle w:val="ListBullet"/>
        <w:widowControl/>
        <w:spacing w:after="30" w:line="247" w:lineRule="auto"/>
        <w:ind w:left="288" w:hanging="173"/>
      </w:pPr>
      <w:r>
        <w:rPr>
          <w:rFonts w:ascii="Lato" w:hAnsi="Lato"/>
          <w:color w:val="3F4A54"/>
          <w:sz w:val="19"/>
        </w:rPr>
        <w:t>Different industries have different closing cycles and seasonality.</w:t>
      </w:r>
    </w:p>
    <w:p>
      <w:pPr>
        <w:pStyle w:val="ListBullet"/>
        <w:widowControl/>
        <w:spacing w:after="30" w:line="247" w:lineRule="auto"/>
        <w:ind w:left="288" w:hanging="173"/>
      </w:pPr>
      <w:r>
        <w:rPr>
          <w:rFonts w:ascii="Lato" w:hAnsi="Lato"/>
          <w:color w:val="3F4A54"/>
          <w:sz w:val="19"/>
        </w:rPr>
        <w:t>The close calendar and approved late-posting process must be captured.</w:t>
      </w:r>
    </w:p>
    <w:p>
      <w:pPr>
        <w:pStyle w:val="Heading1"/>
        <w:keepNext/>
        <w:pageBreakBefore/>
        <w:widowControl/>
        <w:spacing w:before="240" w:after="100"/>
      </w:pPr>
      <w:r>
        <w:rPr>
          <w:rFonts w:ascii="Lato" w:hAnsi="Lato"/>
          <w:b/>
          <w:color w:val="17324D"/>
          <w:sz w:val="34"/>
        </w:rPr>
        <w:t>13. Management-override testing</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Management-override testing looks for situations where a person with authority bypassed or changed the normal control process.</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Even a well-designed approval system can be bypassed by senior or privileged users. The risk is not limited to unauthorised transactions; an authorised override can still require audit attention.</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platform brings together user rights, approvals, master changes, journal postings and payments to show whether normal separation of duties was bypassed.</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User/role master, approval workflow, audit trail, journal data, vendor/customer changes, purchase/payment data and firm-defined segregation-of-duties rules.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Override timeline, conflicting-role cases, approval-bypass exceptions, privileged-user activity and management queries.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The finance administrator creates a vendor, changes its bank account, posts an invoice, approves it and releases payment. The system identifies that one person performed all critical steps.</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Create-and-approve conflict</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Same person creates and approves a transaction or master.</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Create-vendor-and-pay conflict</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Same user creates/changes supplier data and participates in payment.</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Privileged direct posting</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Senior or admin users post directly without normal workflow.</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Approval after posting/payment</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Approval exists but occurred too late to be preventive.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Threshold splitting</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Several entries avoid a higher approval level.</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Override reason and evidence</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Check whether a documented reason and independent review exist.</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Temporary role elevation</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User gains broad access shortly before high-risk activity.</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Control configuration change</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Approval or limit settings change near a transaction.</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Override concentration</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One manager, branch or period has unusually high override activity.</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MOT-001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import user roles, approval paths and relevant control configurations where available.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effective role at the transaction time can be determined.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MOT-002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support configurable segregation-of-duties conflict rules.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firm can define prohibited and review-required combinations.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MOT-003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identify approvals that occurred after posting, payment or master change.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timeline shows the sequence and elapsed time.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MOT-004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detect threshold splitting across related transactions, vendors, dates and users.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grouped total and avoided level are shown.</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MOT-005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combine related override events into one investigation case.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case avoids duplicate flags for the same underlying event.</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MOT-006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Authorised users shall record whether an override was permitted, justified, independently reviewed and supported.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four conclusions are captured separately.</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MOT-007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never label an override as fraud without auditor conclusion.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System wording remains neutral and evidence-based.</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An override can be legitimate during emergencies or exceptional transactions.</w:t>
      </w:r>
    </w:p>
    <w:p>
      <w:pPr>
        <w:pStyle w:val="ListBullet"/>
        <w:widowControl/>
        <w:spacing w:after="30" w:line="247" w:lineRule="auto"/>
        <w:ind w:left="288" w:hanging="173"/>
      </w:pPr>
      <w:r>
        <w:rPr>
          <w:rFonts w:ascii="Lato" w:hAnsi="Lato"/>
          <w:color w:val="3F4A54"/>
          <w:sz w:val="19"/>
        </w:rPr>
        <w:t>The key question is whether the override was justified, documented and independently reviewed.</w:t>
      </w:r>
    </w:p>
    <w:p>
      <w:pPr>
        <w:pStyle w:val="ListBullet"/>
        <w:widowControl/>
        <w:spacing w:after="30" w:line="247" w:lineRule="auto"/>
        <w:ind w:left="288" w:hanging="173"/>
      </w:pPr>
      <w:r>
        <w:rPr>
          <w:rFonts w:ascii="Lato" w:hAnsi="Lato"/>
          <w:color w:val="3F4A54"/>
          <w:sz w:val="19"/>
        </w:rPr>
        <w:t>Complete results depend on reliable user, role and approval data.</w:t>
      </w:r>
    </w:p>
    <w:p>
      <w:pPr>
        <w:pStyle w:val="Heading1"/>
        <w:keepNext/>
        <w:pageBreakBefore/>
        <w:widowControl/>
        <w:spacing w:before="240" w:after="100"/>
      </w:pPr>
      <w:r>
        <w:rPr>
          <w:rFonts w:ascii="Lato" w:hAnsi="Lato"/>
          <w:b/>
          <w:color w:val="17324D"/>
          <w:sz w:val="34"/>
        </w:rPr>
        <w:t>14. Client-document collection</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Client-document collection is a secure evidence-request workspace that replaces scattered email attachments and messaging threads.</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Audit teams lose time following up, renaming files, checking versions and connecting documents to the correct transaction or audit question.</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Clients see a simple request list; auditors receive documents already linked to the relevant exception and workpaper.</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Exception list, standard evidence templates, client contacts, due dates, uploaded files, explanations and reviewer decisions.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Request tracker, secure evidence library, reminders, missing-document report, version history and linked audit evidence.</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The client uploads an invoice but not the purchase order. The request remains partially open and the auditor can ask a follow-up without creating a new email chain.</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Request completeness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State exactly what document or explanation is needed and why.</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Transaction linking</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Attach the request to one or more specific exceptions.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Ownership and due date</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Identify the client owner, audit owner and expected date.</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Secure upload and access</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Limit documents to authorised engagement users.</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Version control</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Keep prior versions and show which one was reviewed.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Partial response</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Allow some requested items to be received while others remain open.</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Reminders and escalation</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Notify owners without duplicate manual follow-up.</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Evidence sufficiency decision</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Auditor records whether the response fully resolves the matter.</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CDC-001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auditor shall create evidence requests from an exception, template or bulk selection.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request retains links to all relevant records.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CDC-002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client shall have a simplified portal showing only authorised requests and uploads.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Client users cannot see internal risk scores or other clients.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CDC-003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support documents, structured explanations and multi-file responses.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request shows received, missing and rejected items.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CDC-004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maintain version, uploader, timestamp and checksum for every file.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reviewed version is unambiguous.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CDC-005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support reminders, due dates and escalation rules.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Overdue and high-priority requests are visible.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CDC-006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auditor shall record evidence sufficiency and the reason for accepting or rejecting a response.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Closure requires a documented professional decision.</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CDC-007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should allow secure bulk upload and automatic document-to-invoice suggestions.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Suggestions require user confirmation.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CDC-008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apply engagement retention and deletion policies to evidence.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Policy execution is logged and reviewable.</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The platform should minimise collection of unnecessary personal data.</w:t>
      </w:r>
    </w:p>
    <w:p>
      <w:pPr>
        <w:pStyle w:val="ListBullet"/>
        <w:widowControl/>
        <w:spacing w:after="30" w:line="247" w:lineRule="auto"/>
        <w:ind w:left="288" w:hanging="173"/>
      </w:pPr>
      <w:r>
        <w:rPr>
          <w:rFonts w:ascii="Lato" w:hAnsi="Lato"/>
          <w:color w:val="3F4A54"/>
          <w:sz w:val="19"/>
        </w:rPr>
        <w:t>Documents must not be shared across engagements without explicit authority.</w:t>
      </w:r>
    </w:p>
    <w:p>
      <w:pPr>
        <w:pStyle w:val="ListBullet"/>
        <w:widowControl/>
        <w:spacing w:after="30" w:line="247" w:lineRule="auto"/>
        <w:ind w:left="288" w:hanging="173"/>
      </w:pPr>
      <w:r>
        <w:rPr>
          <w:rFonts w:ascii="Lato" w:hAnsi="Lato"/>
          <w:color w:val="3F4A54"/>
          <w:sz w:val="19"/>
        </w:rPr>
        <w:t>Automatic document matching is a suggestion; the auditor confirms the linkage.</w:t>
      </w:r>
    </w:p>
    <w:p>
      <w:pPr>
        <w:pStyle w:val="Heading1"/>
        <w:keepNext/>
        <w:pageBreakBefore/>
        <w:widowControl/>
        <w:spacing w:before="240" w:after="100"/>
      </w:pPr>
      <w:r>
        <w:rPr>
          <w:rFonts w:ascii="Lato" w:hAnsi="Lato"/>
          <w:b/>
          <w:color w:val="17324D"/>
          <w:sz w:val="34"/>
        </w:rPr>
        <w:t>15. Audit-workpaper preparation</w:t>
      </w: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In simple terms</w:t>
            </w:r>
          </w:p>
          <w:p>
            <w:pPr>
              <w:spacing w:after="0" w:line="252" w:lineRule="auto"/>
            </w:pPr>
            <w:r>
              <w:rPr>
                <w:rFonts w:ascii="Lato" w:hAnsi="Lato"/>
                <w:color w:val="3F4A54"/>
                <w:sz w:val="19"/>
              </w:rPr>
              <w:t>Audit-workpaper preparation converts the work already performed in the platform into a structured record of the objective, data, procedure, exceptions, evidence, judgement and review.</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17324D"/>
            <w:tcMar>
              <w:top w:w="70" w:type="dxa"/>
              <w:start w:w="70" w:type="dxa"/>
              <w:bottom w:w="70" w:type="dxa"/>
              <w:end w:w="70" w:type="dxa"/>
            </w:tcMar>
          </w:tcPr>
          <w:p>
            <w:pPr>
              <w:jc w:val="left"/>
            </w:pPr>
            <w:r>
              <w:rPr>
                <w:rFonts w:ascii="Lato" w:hAnsi="Lato"/>
                <w:b/>
                <w:color w:val="FFFFFF"/>
                <w:sz w:val="17"/>
              </w:rPr>
              <w:t>Topic</w:t>
            </w:r>
          </w:p>
        </w:tc>
        <w:tc>
          <w:tcPr>
            <w:tcW w:type="dxa" w:w="7272"/>
            <w:shd w:fill="17324D"/>
            <w:tcMar>
              <w:top w:w="70" w:type="dxa"/>
              <w:start w:w="70" w:type="dxa"/>
              <w:bottom w:w="70" w:type="dxa"/>
              <w:end w:w="70" w:type="dxa"/>
            </w:tcMar>
          </w:tcPr>
          <w:p>
            <w:pPr>
              <w:jc w:val="left"/>
            </w:pPr>
            <w:r>
              <w:rPr>
                <w:rFonts w:ascii="Lato" w:hAnsi="Lato"/>
                <w:b/>
                <w:color w:val="FFFFFF"/>
                <w:sz w:val="17"/>
              </w:rPr>
              <w:t>Explanation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Business problem</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Teams often repeat analysis in spreadsheets and then manually rewrite the same information into a working-paper template.</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Why the customer pays</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The workpaper is built as the audit progresses, reducing duplication and improving consistency and partner review.</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Main information required</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Engagement settings, source manifests, data-quality results, test parameters, exceptions, evidence, user conclusions and reviewer notes.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Main output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Versioned workpaper, exception schedules, evidence index, reviewer sign-off and export package.</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Illustrative example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The journal-testing workpaper automatically states the population, total value, date range, rules run, samples selected, exceptions resolved and final reviewer conclusion.</w:t>
            </w:r>
          </w:p>
        </w:tc>
      </w:tr>
    </w:tbl>
    <w:p>
      <w:pPr>
        <w:widowControl/>
        <w:spacing w:after="0"/>
      </w:pPr>
    </w:p>
    <w:p>
      <w:pPr>
        <w:pStyle w:val="Heading2"/>
        <w:keepNext/>
        <w:pageBreakBefore w:val="0"/>
        <w:widowControl/>
        <w:spacing w:before="140" w:after="60"/>
      </w:pPr>
      <w:r>
        <w:rPr>
          <w:rFonts w:ascii="Lato" w:hAnsi="Lato"/>
          <w:b/>
          <w:color w:val="0F766E"/>
          <w:sz w:val="26"/>
        </w:rPr>
        <w:t>What the platform should check</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2F6690"/>
            <w:tcMar>
              <w:top w:w="70" w:type="dxa"/>
              <w:start w:w="70" w:type="dxa"/>
              <w:bottom w:w="70" w:type="dxa"/>
              <w:end w:w="70" w:type="dxa"/>
            </w:tcMar>
          </w:tcPr>
          <w:p>
            <w:pPr>
              <w:jc w:val="left"/>
            </w:pPr>
            <w:r>
              <w:rPr>
                <w:rFonts w:ascii="Lato" w:hAnsi="Lato"/>
                <w:b/>
                <w:color w:val="FFFFFF"/>
                <w:sz w:val="17"/>
              </w:rPr>
              <w:t>Check</w:t>
            </w:r>
          </w:p>
        </w:tc>
        <w:tc>
          <w:tcPr>
            <w:tcW w:type="dxa" w:w="6264"/>
            <w:shd w:fill="2F6690"/>
            <w:tcMar>
              <w:top w:w="70" w:type="dxa"/>
              <w:start w:w="70" w:type="dxa"/>
              <w:bottom w:w="70" w:type="dxa"/>
              <w:end w:w="70" w:type="dxa"/>
            </w:tcMar>
          </w:tcPr>
          <w:p>
            <w:pPr>
              <w:jc w:val="left"/>
            </w:pPr>
            <w:r>
              <w:rPr>
                <w:rFonts w:ascii="Lato" w:hAnsi="Lato"/>
                <w:b/>
                <w:color w:val="FFFFFF"/>
                <w:sz w:val="17"/>
              </w:rPr>
              <w:t>Plain-language purpose</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Objective and scope</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Why the procedure was performed and which population it covered.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Data completeness and lineage</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What files were used and whether totals reconciled.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Procedure and parameters</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Which rules, thresholds, dates and versions were applied.</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Results and exception schedule</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What was found, reviewed and unresolved.</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Evidence and judgement</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Documents reviewed and reasons for each conclusion.</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Preparation and review</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Who performed, reviewed and approved the work and when.</w:t>
            </w:r>
          </w:p>
        </w:tc>
      </w:tr>
      <w:tr>
        <w:trPr>
          <w:cantSplit/>
        </w:trPr>
        <w:tc>
          <w:tcPr>
            <w:tcW w:type="dxa" w:w="3096"/>
            <w:tcMar>
              <w:top w:w="60" w:type="dxa"/>
              <w:start w:w="70" w:type="dxa"/>
              <w:bottom w:w="60" w:type="dxa"/>
              <w:end w:w="70" w:type="dxa"/>
            </w:tcMar>
            <w:shd w:fill="FAFBFC"/>
            <w:vAlign w:val="top"/>
          </w:tcPr>
          <w:p>
            <w:pPr>
              <w:spacing w:after="0" w:line="240" w:lineRule="auto"/>
            </w:pPr>
            <w:r>
              <w:rPr>
                <w:rFonts w:ascii="Lato" w:hAnsi="Lato"/>
                <w:color w:val="3F4A54"/>
                <w:sz w:val="17"/>
              </w:rPr>
              <w:t>Changes after sign-off</w:t>
            </w:r>
          </w:p>
        </w:tc>
        <w:tc>
          <w:tcPr>
            <w:tcW w:type="dxa" w:w="6264"/>
            <w:tcMar>
              <w:top w:w="60" w:type="dxa"/>
              <w:start w:w="70" w:type="dxa"/>
              <w:bottom w:w="60" w:type="dxa"/>
              <w:end w:w="70" w:type="dxa"/>
            </w:tcMar>
            <w:shd w:fill="FAFBFC"/>
            <w:vAlign w:val="top"/>
          </w:tcPr>
          <w:p>
            <w:pPr>
              <w:spacing w:after="0" w:line="240" w:lineRule="auto"/>
            </w:pPr>
            <w:r>
              <w:rPr>
                <w:rFonts w:ascii="Lato" w:hAnsi="Lato"/>
                <w:color w:val="3F4A54"/>
                <w:sz w:val="17"/>
              </w:rPr>
              <w:t>Any later modification creates a new version or reopens review.</w:t>
            </w:r>
          </w:p>
        </w:tc>
      </w:tr>
      <w:tr>
        <w:trPr>
          <w:cantSplit/>
        </w:trPr>
        <w:tc>
          <w:tcPr>
            <w:tcW w:type="dxa" w:w="3096"/>
            <w:tcMar>
              <w:top w:w="60" w:type="dxa"/>
              <w:start w:w="70" w:type="dxa"/>
              <w:bottom w:w="60" w:type="dxa"/>
              <w:end w:w="70" w:type="dxa"/>
            </w:tcMar>
            <w:vAlign w:val="top"/>
          </w:tcPr>
          <w:p>
            <w:pPr>
              <w:spacing w:after="0" w:line="240" w:lineRule="auto"/>
            </w:pPr>
            <w:r>
              <w:rPr>
                <w:rFonts w:ascii="Lato" w:hAnsi="Lato"/>
                <w:color w:val="3F4A54"/>
                <w:sz w:val="17"/>
              </w:rPr>
              <w:t>Export integrity</w:t>
            </w:r>
          </w:p>
        </w:tc>
        <w:tc>
          <w:tcPr>
            <w:tcW w:type="dxa" w:w="6264"/>
            <w:tcMar>
              <w:top w:w="60" w:type="dxa"/>
              <w:start w:w="70" w:type="dxa"/>
              <w:bottom w:w="60" w:type="dxa"/>
              <w:end w:w="70" w:type="dxa"/>
            </w:tcMar>
            <w:vAlign w:val="top"/>
          </w:tcPr>
          <w:p>
            <w:pPr>
              <w:spacing w:after="0" w:line="240" w:lineRule="auto"/>
            </w:pPr>
            <w:r>
              <w:rPr>
                <w:rFonts w:ascii="Lato" w:hAnsi="Lato"/>
                <w:color w:val="3F4A54"/>
                <w:sz w:val="17"/>
              </w:rPr>
              <w:t>Exported schedules agree to the signed-off platform state.</w:t>
            </w:r>
          </w:p>
        </w:tc>
      </w:tr>
    </w:tbl>
    <w:p>
      <w:pPr>
        <w:widowControl/>
        <w:spacing w:after="0"/>
      </w:pPr>
    </w:p>
    <w:p>
      <w:pPr>
        <w:pStyle w:val="Heading2"/>
        <w:keepNext/>
        <w:pageBreakBefore/>
        <w:widowControl/>
        <w:spacing w:before="140" w:after="60"/>
      </w:pPr>
      <w:r>
        <w:rPr>
          <w:rFonts w:ascii="Lato" w:hAnsi="Lato"/>
          <w:b/>
          <w:color w:val="0F766E"/>
          <w:sz w:val="26"/>
        </w:rPr>
        <w:t>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AWP-001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generate workpapers from approved firm templates.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Required sections and terminology follow the selected template.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AWP-002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workpaper shall include source files, checksums, population totals and data-quality exceptions.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 reviewer can understand what data was analysed.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AWP-003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workpaper shall record every material rule, parameter, threshold and model version.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analysis can be reproduced.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AWP-004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include exception status, evidence, preparer conclusion and reviewer decision.</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Open items are clearly separated from closed items.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AWP-005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support preparer, manager and partner sign-off with role-based authority.</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A user cannot approve their own restricted step where policy forbids it.</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AWP-006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A signed-off workpaper shall be locked; later changes shall create a controlled version or reopen workflow.</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Change history is visible and immutable.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AWP-007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export workpapers and schedules in common office formats.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Exports retain headings, references and totals.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AWP-008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should provide cross-references between workpapers, exceptions and evidence.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Links remain valid within the platform and are represented in export indexes.</w:t>
            </w:r>
          </w:p>
        </w:tc>
      </w:tr>
    </w:tbl>
    <w:p>
      <w:pPr>
        <w:widowControl/>
        <w:spacing w:after="0"/>
      </w:pPr>
    </w:p>
    <w:p>
      <w:pPr>
        <w:pStyle w:val="Heading2"/>
        <w:keepNext/>
        <w:pageBreakBefore w:val="0"/>
        <w:widowControl/>
        <w:spacing w:before="140" w:after="60"/>
      </w:pPr>
      <w:r>
        <w:rPr>
          <w:rFonts w:ascii="Lato" w:hAnsi="Lato"/>
          <w:b/>
          <w:color w:val="0F766E"/>
          <w:sz w:val="26"/>
        </w:rPr>
        <w:t>Important boundaries</w:t>
      </w:r>
    </w:p>
    <w:p>
      <w:pPr>
        <w:pStyle w:val="ListBullet"/>
        <w:widowControl/>
        <w:spacing w:after="30" w:line="247" w:lineRule="auto"/>
        <w:ind w:left="288" w:hanging="173"/>
      </w:pPr>
      <w:r>
        <w:rPr>
          <w:rFonts w:ascii="Lato" w:hAnsi="Lato"/>
          <w:color w:val="3F4A54"/>
          <w:sz w:val="19"/>
        </w:rPr>
        <w:t>The workpaper documents professional judgement; it cannot manufacture judgement that was never performed.</w:t>
      </w:r>
    </w:p>
    <w:p>
      <w:pPr>
        <w:pStyle w:val="ListBullet"/>
        <w:widowControl/>
        <w:spacing w:after="30" w:line="247" w:lineRule="auto"/>
        <w:ind w:left="288" w:hanging="173"/>
      </w:pPr>
      <w:r>
        <w:rPr>
          <w:rFonts w:ascii="Lato" w:hAnsi="Lato"/>
          <w:color w:val="3F4A54"/>
          <w:sz w:val="19"/>
        </w:rPr>
        <w:t>Firm templates and reviewer responsibilities must be approved by the methodology owner.</w:t>
      </w:r>
    </w:p>
    <w:p>
      <w:pPr>
        <w:pStyle w:val="ListBullet"/>
        <w:widowControl/>
        <w:spacing w:after="30" w:line="247" w:lineRule="auto"/>
        <w:ind w:left="288" w:hanging="173"/>
      </w:pPr>
      <w:r>
        <w:rPr>
          <w:rFonts w:ascii="Lato" w:hAnsi="Lato"/>
          <w:color w:val="3F4A54"/>
          <w:sz w:val="19"/>
        </w:rPr>
        <w:t>Exports are controlled copies; the platform retains the authoritative signed version.</w:t>
      </w:r>
    </w:p>
    <w:p>
      <w:pPr>
        <w:pStyle w:val="Heading1"/>
        <w:keepNext/>
        <w:pageBreakBefore/>
        <w:widowControl/>
        <w:spacing w:before="240" w:after="100"/>
      </w:pPr>
      <w:r>
        <w:rPr>
          <w:rFonts w:ascii="Lato" w:hAnsi="Lato"/>
          <w:b/>
          <w:color w:val="17324D"/>
          <w:sz w:val="34"/>
        </w:rPr>
        <w:t>16. How Benford's Law should operate inside the product</w:t>
      </w:r>
    </w:p>
    <w:tbl>
      <w:tblPr>
        <w:tblW w:type="auto" w:w="0"/>
        <w:jc w:val="center"/>
        <w:tblLayout w:type="fixed"/>
        <w:tblLook w:firstColumn="1" w:firstRow="1" w:lastColumn="0" w:lastRow="0" w:noHBand="0" w:noVBand="1" w:val="04A0"/>
      </w:tblPr>
      <w:tblGrid>
        <w:gridCol w:w="10086"/>
      </w:tblGrid>
      <w:tr>
        <w:tc>
          <w:tcPr>
            <w:tcW w:type="dxa" w:w="9360"/>
            <w:shd w:fill="FFF3CD"/>
            <w:tcMar>
              <w:top w:w="110" w:type="dxa"/>
              <w:start w:w="150" w:type="dxa"/>
              <w:bottom w:w="110" w:type="dxa"/>
              <w:end w:w="150" w:type="dxa"/>
            </w:tcMar>
            <w:tcBorders>
              <w:top w:val="single" w:sz="2" w:color="FFF3CD"/>
              <w:start w:val="single" w:sz="18" w:color="8A5A00"/>
              <w:bottom w:val="single" w:sz="2" w:color="FFF3CD"/>
              <w:end w:val="single" w:sz="2" w:color="FFF3CD"/>
            </w:tcBorders>
          </w:tcPr>
          <w:p>
            <w:pPr>
              <w:spacing w:after="40"/>
            </w:pPr>
            <w:r>
              <w:rPr>
                <w:rFonts w:ascii="Lato" w:hAnsi="Lato"/>
                <w:b/>
                <w:color w:val="8A5A00"/>
                <w:sz w:val="21"/>
              </w:rPr>
              <w:t>Layman explanation</w:t>
            </w:r>
          </w:p>
          <w:p>
            <w:pPr>
              <w:spacing w:after="0" w:line="252" w:lineRule="auto"/>
            </w:pPr>
            <w:r>
              <w:rPr>
                <w:rFonts w:ascii="Lato" w:hAnsi="Lato"/>
                <w:color w:val="3F4A54"/>
                <w:sz w:val="19"/>
              </w:rPr>
              <w:t>Benford's Law is like a pattern check for naturally occurring numbers. In many suitable datasets, amounts beginning with 1 appear more often than amounts beginning with 9. When the observed pattern is unusually different, the system identifies which transactions created the difference. It is a clue - not proof of fraud.</w:t>
            </w:r>
          </w:p>
        </w:tc>
      </w:tr>
    </w:tbl>
    <w:p>
      <w:pPr>
        <w:widowControl/>
        <w:spacing w:after="0"/>
      </w:pPr>
    </w:p>
    <w:p>
      <w:pPr>
        <w:pStyle w:val="Heading2"/>
        <w:keepNext/>
        <w:pageBreakBefore w:val="0"/>
        <w:widowControl/>
        <w:spacing w:before="140" w:after="60"/>
      </w:pPr>
      <w:r>
        <w:rPr>
          <w:rFonts w:ascii="Lato" w:hAnsi="Lato"/>
          <w:b/>
          <w:color w:val="0F766E"/>
          <w:sz w:val="26"/>
        </w:rPr>
        <w:t>16.1 Product purpose</w:t>
      </w:r>
    </w:p>
    <w:p>
      <w:pPr>
        <w:widowControl/>
        <w:spacing w:after="80" w:line="259" w:lineRule="auto"/>
      </w:pPr>
      <w:r>
        <w:rPr>
          <w:rFonts w:ascii="Lato" w:hAnsi="Lato"/>
          <w:i w:val="0"/>
          <w:color w:val="3F4A54"/>
          <w:sz w:val="20"/>
        </w:rPr>
        <w:t>The Benford module should not be sold as an automatic fraud detector. Its business purpose is to identify unusual numerical populations and direct the auditor to the users, accounts, vendors, periods and transactions that explain the deviation. It should operate as one sensor inside the wider risk engine.</w:t>
      </w:r>
    </w:p>
    <w:p>
      <w:pPr>
        <w:pStyle w:val="Heading2"/>
        <w:keepNext/>
        <w:pageBreakBefore w:val="0"/>
        <w:widowControl/>
        <w:spacing w:before="140" w:after="60"/>
      </w:pPr>
      <w:r>
        <w:rPr>
          <w:rFonts w:ascii="Lato" w:hAnsi="Lato"/>
          <w:b/>
          <w:color w:val="0F766E"/>
          <w:sz w:val="26"/>
        </w:rPr>
        <w:t>16.2 Suitable and unsuitable examples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4680"/>
            <w:shd w:fill="17324D"/>
            <w:tcMar>
              <w:top w:w="70" w:type="dxa"/>
              <w:start w:w="70" w:type="dxa"/>
              <w:bottom w:w="70" w:type="dxa"/>
              <w:end w:w="70" w:type="dxa"/>
            </w:tcMar>
          </w:tcPr>
          <w:p>
            <w:pPr>
              <w:jc w:val="left"/>
            </w:pPr>
            <w:r>
              <w:rPr>
                <w:rFonts w:ascii="Lato" w:hAnsi="Lato"/>
                <w:b/>
                <w:color w:val="FFFFFF"/>
                <w:sz w:val="17"/>
              </w:rPr>
              <w:t>Usually more suitable</w:t>
            </w:r>
          </w:p>
        </w:tc>
        <w:tc>
          <w:tcPr>
            <w:tcW w:type="dxa" w:w="4680"/>
            <w:shd w:fill="17324D"/>
            <w:tcMar>
              <w:top w:w="70" w:type="dxa"/>
              <w:start w:w="70" w:type="dxa"/>
              <w:bottom w:w="70" w:type="dxa"/>
              <w:end w:w="70" w:type="dxa"/>
            </w:tcMar>
          </w:tcPr>
          <w:p>
            <w:pPr>
              <w:jc w:val="left"/>
            </w:pPr>
            <w:r>
              <w:rPr>
                <w:rFonts w:ascii="Lato" w:hAnsi="Lato"/>
                <w:b/>
                <w:color w:val="FFFFFF"/>
                <w:sz w:val="17"/>
              </w:rPr>
              <w:t>Usually unsuitable or requires caution</w:t>
            </w:r>
          </w:p>
        </w:tc>
      </w:tr>
      <w:tr>
        <w:trPr>
          <w:cantSplit/>
        </w:trPr>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Manual journal amounts across many accounts and value ranges</w:t>
            </w:r>
          </w:p>
        </w:tc>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Invoice numbers, voucher numbers, GSTINs, bank account numbers or other identifiers</w:t>
            </w:r>
          </w:p>
        </w:tc>
      </w:tr>
      <w:tr>
        <w:trPr>
          <w:cantSplit/>
        </w:trPr>
        <w:tc>
          <w:tcPr>
            <w:tcW w:type="dxa" w:w="4680"/>
            <w:tcMar>
              <w:top w:w="60" w:type="dxa"/>
              <w:start w:w="70" w:type="dxa"/>
              <w:bottom w:w="60" w:type="dxa"/>
              <w:end w:w="70" w:type="dxa"/>
            </w:tcMar>
            <w:vAlign w:val="top"/>
          </w:tcPr>
          <w:p>
            <w:pPr>
              <w:spacing w:after="0" w:line="240" w:lineRule="auto"/>
            </w:pPr>
            <w:r>
              <w:rPr>
                <w:rFonts w:ascii="Lato" w:hAnsi="Lato"/>
                <w:color w:val="3F4A54"/>
                <w:sz w:val="17"/>
              </w:rPr>
              <w:t>Vendor invoice values across varied goods and services</w:t>
            </w:r>
          </w:p>
        </w:tc>
        <w:tc>
          <w:tcPr>
            <w:tcW w:type="dxa" w:w="4680"/>
            <w:tcMar>
              <w:top w:w="60" w:type="dxa"/>
              <w:start w:w="70" w:type="dxa"/>
              <w:bottom w:w="60" w:type="dxa"/>
              <w:end w:w="70" w:type="dxa"/>
            </w:tcMar>
            <w:vAlign w:val="top"/>
          </w:tcPr>
          <w:p>
            <w:pPr>
              <w:spacing w:after="0" w:line="240" w:lineRule="auto"/>
            </w:pPr>
            <w:r>
              <w:rPr>
                <w:rFonts w:ascii="Lato" w:hAnsi="Lato"/>
                <w:color w:val="3F4A54"/>
                <w:sz w:val="17"/>
              </w:rPr>
              <w:t>Fixed-price products, standard fees or tightly regulated tariffs</w:t>
            </w:r>
          </w:p>
        </w:tc>
      </w:tr>
      <w:tr>
        <w:trPr>
          <w:cantSplit/>
        </w:trPr>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Expense and payment populations with broad monetary ranges</w:t>
            </w:r>
          </w:p>
        </w:tc>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Small populations with too few eligible amounts</w:t>
            </w:r>
          </w:p>
        </w:tc>
      </w:tr>
      <w:tr>
        <w:trPr>
          <w:cantSplit/>
        </w:trPr>
        <w:tc>
          <w:tcPr>
            <w:tcW w:type="dxa" w:w="4680"/>
            <w:tcMar>
              <w:top w:w="60" w:type="dxa"/>
              <w:start w:w="70" w:type="dxa"/>
              <w:bottom w:w="60" w:type="dxa"/>
              <w:end w:w="70" w:type="dxa"/>
            </w:tcMar>
            <w:vAlign w:val="top"/>
          </w:tcPr>
          <w:p>
            <w:pPr>
              <w:spacing w:after="0" w:line="240" w:lineRule="auto"/>
            </w:pPr>
            <w:r>
              <w:rPr>
                <w:rFonts w:ascii="Lato" w:hAnsi="Lato"/>
                <w:color w:val="3F4A54"/>
                <w:sz w:val="17"/>
              </w:rPr>
              <w:t>Branch or entity data that spans different scales of activity</w:t>
            </w:r>
          </w:p>
        </w:tc>
        <w:tc>
          <w:tcPr>
            <w:tcW w:type="dxa" w:w="4680"/>
            <w:tcMar>
              <w:top w:w="60" w:type="dxa"/>
              <w:start w:w="70" w:type="dxa"/>
              <w:bottom w:w="60" w:type="dxa"/>
              <w:end w:w="70" w:type="dxa"/>
            </w:tcMar>
            <w:vAlign w:val="top"/>
          </w:tcPr>
          <w:p>
            <w:pPr>
              <w:spacing w:after="0" w:line="240" w:lineRule="auto"/>
            </w:pPr>
            <w:r>
              <w:rPr>
                <w:rFonts w:ascii="Lato" w:hAnsi="Lato"/>
                <w:color w:val="3F4A54"/>
                <w:sz w:val="17"/>
              </w:rPr>
              <w:t>Values capped within a narrow range or dominated by one recurring amount</w:t>
            </w:r>
          </w:p>
        </w:tc>
      </w:tr>
      <w:tr>
        <w:trPr>
          <w:cantSplit/>
        </w:trPr>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Naturally generated operational or financial measurements</w:t>
            </w:r>
          </w:p>
        </w:tc>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Percentages restricted to 0-100, ratings, codes and sequential numbers</w:t>
            </w:r>
          </w:p>
        </w:tc>
      </w:tr>
    </w:tbl>
    <w:p>
      <w:pPr>
        <w:widowControl/>
        <w:spacing w:after="0"/>
      </w:pPr>
    </w:p>
    <w:p>
      <w:pPr>
        <w:pStyle w:val="Heading2"/>
        <w:keepNext/>
        <w:pageBreakBefore w:val="0"/>
        <w:widowControl/>
        <w:spacing w:before="140" w:after="60"/>
      </w:pPr>
      <w:r>
        <w:rPr>
          <w:rFonts w:ascii="Lato" w:hAnsi="Lato"/>
          <w:b/>
          <w:color w:val="0F766E"/>
          <w:sz w:val="26"/>
        </w:rPr>
        <w:t>16.3 Mandatory operating flow</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088"/>
            <w:shd w:fill="0F766E"/>
            <w:tcMar>
              <w:top w:w="70" w:type="dxa"/>
              <w:start w:w="70" w:type="dxa"/>
              <w:bottom w:w="70" w:type="dxa"/>
              <w:end w:w="70" w:type="dxa"/>
            </w:tcMar>
          </w:tcPr>
          <w:p>
            <w:pPr>
              <w:jc w:val="left"/>
            </w:pPr>
            <w:r>
              <w:rPr>
                <w:rFonts w:ascii="Lato" w:hAnsi="Lato"/>
                <w:b/>
                <w:color w:val="FFFFFF"/>
                <w:sz w:val="17"/>
              </w:rPr>
              <w:t>Step</w:t>
            </w:r>
          </w:p>
        </w:tc>
        <w:tc>
          <w:tcPr>
            <w:tcW w:type="dxa" w:w="7272"/>
            <w:shd w:fill="0F766E"/>
            <w:tcMar>
              <w:top w:w="70" w:type="dxa"/>
              <w:start w:w="70" w:type="dxa"/>
              <w:bottom w:w="70" w:type="dxa"/>
              <w:end w:w="70" w:type="dxa"/>
            </w:tcMar>
          </w:tcPr>
          <w:p>
            <w:pPr>
              <w:jc w:val="left"/>
            </w:pPr>
            <w:r>
              <w:rPr>
                <w:rFonts w:ascii="Lato" w:hAnsi="Lato"/>
                <w:b/>
                <w:color w:val="FFFFFF"/>
                <w:sz w:val="17"/>
              </w:rPr>
              <w:t>What the system does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1. Select population</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Example: all manual journals for one entity and year.</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2. Clean safely</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Separate zeros, negatives, reversals, IDs and non-monetary values; never silently delete source rows.</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3. Test suitability</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Check population size, value range, fixed pricing, truncation and data completeness.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4. Segment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Compare meaningful groups such as branch, account, user, vendor, month or entry type.</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5. Calculate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Run approved first-digit, second-digit or first-two-digit tests and supporting statistics.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6. Attribute</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Show which digits, value ranges and transactions caused the deviation.</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7. Corroborate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Combine the result with timing, user, reversal, GST, bank, approval and document signals.</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8. Investigate</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Auditor reviews records and requests evidence.</w:t>
            </w:r>
          </w:p>
        </w:tc>
      </w:tr>
      <w:tr>
        <w:trPr>
          <w:cantSplit/>
        </w:trPr>
        <w:tc>
          <w:tcPr>
            <w:tcW w:type="dxa" w:w="2088"/>
            <w:tcMar>
              <w:top w:w="60" w:type="dxa"/>
              <w:start w:w="70" w:type="dxa"/>
              <w:bottom w:w="60" w:type="dxa"/>
              <w:end w:w="70" w:type="dxa"/>
            </w:tcMar>
            <w:shd w:fill="FAFBFC"/>
            <w:vAlign w:val="top"/>
          </w:tcPr>
          <w:p>
            <w:pPr>
              <w:spacing w:after="0" w:line="240" w:lineRule="auto"/>
            </w:pPr>
            <w:r>
              <w:rPr>
                <w:rFonts w:ascii="Lato" w:hAnsi="Lato"/>
                <w:color w:val="3F4A54"/>
                <w:sz w:val="17"/>
              </w:rPr>
              <w:t>9. Conclude</w:t>
            </w:r>
          </w:p>
        </w:tc>
        <w:tc>
          <w:tcPr>
            <w:tcW w:type="dxa" w:w="7272"/>
            <w:tcMar>
              <w:top w:w="60" w:type="dxa"/>
              <w:start w:w="70" w:type="dxa"/>
              <w:bottom w:w="60" w:type="dxa"/>
              <w:end w:w="70" w:type="dxa"/>
            </w:tcMar>
            <w:shd w:fill="FAFBFC"/>
            <w:vAlign w:val="top"/>
          </w:tcPr>
          <w:p>
            <w:pPr>
              <w:spacing w:after="0" w:line="240" w:lineRule="auto"/>
            </w:pPr>
            <w:r>
              <w:rPr>
                <w:rFonts w:ascii="Lato" w:hAnsi="Lato"/>
                <w:color w:val="3F4A54"/>
                <w:sz w:val="17"/>
              </w:rPr>
              <w:t>Record explained, not applicable, exception or escalation.</w:t>
            </w:r>
          </w:p>
        </w:tc>
      </w:tr>
      <w:tr>
        <w:trPr>
          <w:cantSplit/>
        </w:trPr>
        <w:tc>
          <w:tcPr>
            <w:tcW w:type="dxa" w:w="2088"/>
            <w:tcMar>
              <w:top w:w="60" w:type="dxa"/>
              <w:start w:w="70" w:type="dxa"/>
              <w:bottom w:w="60" w:type="dxa"/>
              <w:end w:w="70" w:type="dxa"/>
            </w:tcMar>
            <w:vAlign w:val="top"/>
          </w:tcPr>
          <w:p>
            <w:pPr>
              <w:spacing w:after="0" w:line="240" w:lineRule="auto"/>
            </w:pPr>
            <w:r>
              <w:rPr>
                <w:rFonts w:ascii="Lato" w:hAnsi="Lato"/>
                <w:color w:val="3F4A54"/>
                <w:sz w:val="17"/>
              </w:rPr>
              <w:t>10. Document</w:t>
            </w:r>
          </w:p>
        </w:tc>
        <w:tc>
          <w:tcPr>
            <w:tcW w:type="dxa" w:w="7272"/>
            <w:tcMar>
              <w:top w:w="60" w:type="dxa"/>
              <w:start w:w="70" w:type="dxa"/>
              <w:bottom w:w="60" w:type="dxa"/>
              <w:end w:w="70" w:type="dxa"/>
            </w:tcMar>
            <w:vAlign w:val="top"/>
          </w:tcPr>
          <w:p>
            <w:pPr>
              <w:spacing w:after="0" w:line="240" w:lineRule="auto"/>
            </w:pPr>
            <w:r>
              <w:rPr>
                <w:rFonts w:ascii="Lato" w:hAnsi="Lato"/>
                <w:color w:val="3F4A54"/>
                <w:sz w:val="17"/>
              </w:rPr>
              <w:t>Preserve population, formula, parameters, results, evidence and sign-off.</w:t>
            </w:r>
          </w:p>
        </w:tc>
      </w:tr>
    </w:tbl>
    <w:p>
      <w:pPr>
        <w:widowControl/>
        <w:spacing w:after="0"/>
      </w:pPr>
    </w:p>
    <w:p>
      <w:pPr>
        <w:pStyle w:val="Heading2"/>
        <w:keepNext/>
        <w:pageBreakBefore/>
        <w:widowControl/>
        <w:spacing w:before="140" w:after="60"/>
      </w:pPr>
      <w:r>
        <w:rPr>
          <w:rFonts w:ascii="Lato" w:hAnsi="Lato"/>
          <w:b/>
          <w:color w:val="0F766E"/>
          <w:sz w:val="26"/>
        </w:rPr>
        <w:t>16.4 Suitability gate</w:t>
      </w:r>
    </w:p>
    <w:p>
      <w:pPr>
        <w:widowControl/>
        <w:spacing w:after="80" w:line="259" w:lineRule="auto"/>
      </w:pPr>
      <w:r>
        <w:rPr>
          <w:rFonts w:ascii="Lato" w:hAnsi="Lato"/>
          <w:i w:val="0"/>
          <w:color w:val="3F4A54"/>
          <w:sz w:val="20"/>
        </w:rPr>
        <w:t>The platform must decide whether a Benford test is appropriate before showing any conformity score. The suitability result should be more prominent than the digit chart.</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672"/>
            <w:shd w:fill="2F6690"/>
            <w:tcMar>
              <w:top w:w="70" w:type="dxa"/>
              <w:start w:w="70" w:type="dxa"/>
              <w:bottom w:w="70" w:type="dxa"/>
              <w:end w:w="70" w:type="dxa"/>
            </w:tcMar>
          </w:tcPr>
          <w:p>
            <w:pPr>
              <w:jc w:val="left"/>
            </w:pPr>
            <w:r>
              <w:rPr>
                <w:rFonts w:ascii="Lato" w:hAnsi="Lato"/>
                <w:b/>
                <w:color w:val="FFFFFF"/>
                <w:sz w:val="17"/>
              </w:rPr>
              <w:t>Suitability question</w:t>
            </w:r>
          </w:p>
        </w:tc>
        <w:tc>
          <w:tcPr>
            <w:tcW w:type="dxa" w:w="5688"/>
            <w:shd w:fill="2F6690"/>
            <w:tcMar>
              <w:top w:w="70" w:type="dxa"/>
              <w:start w:w="70" w:type="dxa"/>
              <w:bottom w:w="70" w:type="dxa"/>
              <w:end w:w="70" w:type="dxa"/>
            </w:tcMar>
          </w:tcPr>
          <w:p>
            <w:pPr>
              <w:jc w:val="left"/>
            </w:pPr>
            <w:r>
              <w:rPr>
                <w:rFonts w:ascii="Lato" w:hAnsi="Lato"/>
                <w:b/>
                <w:color w:val="FFFFFF"/>
                <w:sz w:val="17"/>
              </w:rPr>
              <w:t>System treatment</w:t>
            </w:r>
          </w:p>
        </w:tc>
      </w:tr>
      <w:tr>
        <w:trPr>
          <w:cantSplit/>
        </w:trPr>
        <w:tc>
          <w:tcPr>
            <w:tcW w:type="dxa" w:w="3672"/>
            <w:tcMar>
              <w:top w:w="60" w:type="dxa"/>
              <w:start w:w="70" w:type="dxa"/>
              <w:bottom w:w="60" w:type="dxa"/>
              <w:end w:w="70" w:type="dxa"/>
            </w:tcMar>
            <w:shd w:fill="FAFBFC"/>
            <w:vAlign w:val="top"/>
          </w:tcPr>
          <w:p>
            <w:pPr>
              <w:spacing w:after="0" w:line="240" w:lineRule="auto"/>
            </w:pPr>
            <w:r>
              <w:rPr>
                <w:rFonts w:ascii="Lato" w:hAnsi="Lato"/>
                <w:color w:val="3F4A54"/>
                <w:sz w:val="17"/>
              </w:rPr>
              <w:t>Is the field a real amount or measurement?</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7"/>
              </w:rPr>
              <w:t>Reject IDs, codes, sequence numbers and text fields.</w:t>
            </w:r>
          </w:p>
        </w:tc>
      </w:tr>
      <w:tr>
        <w:trPr>
          <w:cantSplit/>
        </w:trPr>
        <w:tc>
          <w:tcPr>
            <w:tcW w:type="dxa" w:w="3672"/>
            <w:tcMar>
              <w:top w:w="60" w:type="dxa"/>
              <w:start w:w="70" w:type="dxa"/>
              <w:bottom w:w="60" w:type="dxa"/>
              <w:end w:w="70" w:type="dxa"/>
            </w:tcMar>
            <w:vAlign w:val="top"/>
          </w:tcPr>
          <w:p>
            <w:pPr>
              <w:spacing w:after="0" w:line="240" w:lineRule="auto"/>
            </w:pPr>
            <w:r>
              <w:rPr>
                <w:rFonts w:ascii="Lato" w:hAnsi="Lato"/>
                <w:color w:val="3F4A54"/>
                <w:sz w:val="17"/>
              </w:rPr>
              <w:t>Is the number naturally generated?</w:t>
            </w:r>
          </w:p>
        </w:tc>
        <w:tc>
          <w:tcPr>
            <w:tcW w:type="dxa" w:w="5688"/>
            <w:tcMar>
              <w:top w:w="60" w:type="dxa"/>
              <w:start w:w="70" w:type="dxa"/>
              <w:bottom w:w="60" w:type="dxa"/>
              <w:end w:w="70" w:type="dxa"/>
            </w:tcMar>
            <w:vAlign w:val="top"/>
          </w:tcPr>
          <w:p>
            <w:pPr>
              <w:spacing w:after="0" w:line="240" w:lineRule="auto"/>
            </w:pPr>
            <w:r>
              <w:rPr>
                <w:rFonts w:ascii="Lato" w:hAnsi="Lato"/>
                <w:color w:val="3F4A54"/>
                <w:sz w:val="17"/>
              </w:rPr>
              <w:t>Warn when prices, fees or values are fixed by policy.</w:t>
            </w:r>
          </w:p>
        </w:tc>
      </w:tr>
      <w:tr>
        <w:trPr>
          <w:cantSplit/>
        </w:trPr>
        <w:tc>
          <w:tcPr>
            <w:tcW w:type="dxa" w:w="3672"/>
            <w:tcMar>
              <w:top w:w="60" w:type="dxa"/>
              <w:start w:w="70" w:type="dxa"/>
              <w:bottom w:w="60" w:type="dxa"/>
              <w:end w:w="70" w:type="dxa"/>
            </w:tcMar>
            <w:shd w:fill="FAFBFC"/>
            <w:vAlign w:val="top"/>
          </w:tcPr>
          <w:p>
            <w:pPr>
              <w:spacing w:after="0" w:line="240" w:lineRule="auto"/>
            </w:pPr>
            <w:r>
              <w:rPr>
                <w:rFonts w:ascii="Lato" w:hAnsi="Lato"/>
                <w:color w:val="3F4A54"/>
                <w:sz w:val="17"/>
              </w:rPr>
              <w:t>Is the population large enough?</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7"/>
              </w:rPr>
              <w:t>Apply methodology-approved minimums; show descriptive charts only when below the formal threshold.</w:t>
            </w:r>
          </w:p>
        </w:tc>
      </w:tr>
      <w:tr>
        <w:trPr>
          <w:cantSplit/>
        </w:trPr>
        <w:tc>
          <w:tcPr>
            <w:tcW w:type="dxa" w:w="3672"/>
            <w:tcMar>
              <w:top w:w="60" w:type="dxa"/>
              <w:start w:w="70" w:type="dxa"/>
              <w:bottom w:w="60" w:type="dxa"/>
              <w:end w:w="70" w:type="dxa"/>
            </w:tcMar>
            <w:vAlign w:val="top"/>
          </w:tcPr>
          <w:p>
            <w:pPr>
              <w:spacing w:after="0" w:line="240" w:lineRule="auto"/>
            </w:pPr>
            <w:r>
              <w:rPr>
                <w:rFonts w:ascii="Lato" w:hAnsi="Lato"/>
                <w:color w:val="3F4A54"/>
                <w:sz w:val="17"/>
              </w:rPr>
              <w:t>Does the data span enough numerical scale?</w:t>
            </w:r>
          </w:p>
        </w:tc>
        <w:tc>
          <w:tcPr>
            <w:tcW w:type="dxa" w:w="5688"/>
            <w:tcMar>
              <w:top w:w="60" w:type="dxa"/>
              <w:start w:w="70" w:type="dxa"/>
              <w:bottom w:w="60" w:type="dxa"/>
              <w:end w:w="70" w:type="dxa"/>
            </w:tcMar>
            <w:vAlign w:val="top"/>
          </w:tcPr>
          <w:p>
            <w:pPr>
              <w:spacing w:after="0" w:line="240" w:lineRule="auto"/>
            </w:pPr>
            <w:r>
              <w:rPr>
                <w:rFonts w:ascii="Lato" w:hAnsi="Lato"/>
                <w:color w:val="3F4A54"/>
                <w:sz w:val="17"/>
              </w:rPr>
              <w:t>Warn when values occupy a narrow band or are artificially capped.</w:t>
            </w:r>
          </w:p>
        </w:tc>
      </w:tr>
      <w:tr>
        <w:trPr>
          <w:cantSplit/>
        </w:trPr>
        <w:tc>
          <w:tcPr>
            <w:tcW w:type="dxa" w:w="3672"/>
            <w:tcMar>
              <w:top w:w="60" w:type="dxa"/>
              <w:start w:w="70" w:type="dxa"/>
              <w:bottom w:w="60" w:type="dxa"/>
              <w:end w:w="70" w:type="dxa"/>
            </w:tcMar>
            <w:shd w:fill="FAFBFC"/>
            <w:vAlign w:val="top"/>
          </w:tcPr>
          <w:p>
            <w:pPr>
              <w:spacing w:after="0" w:line="240" w:lineRule="auto"/>
            </w:pPr>
            <w:r>
              <w:rPr>
                <w:rFonts w:ascii="Lato" w:hAnsi="Lato"/>
                <w:color w:val="3F4A54"/>
                <w:sz w:val="17"/>
              </w:rPr>
              <w:t>Are zeros, negatives and reversals present?</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7"/>
              </w:rPr>
              <w:t>Show counts and analyse according to approved policy; do not silently remove them.</w:t>
            </w:r>
          </w:p>
        </w:tc>
      </w:tr>
      <w:tr>
        <w:trPr>
          <w:cantSplit/>
        </w:trPr>
        <w:tc>
          <w:tcPr>
            <w:tcW w:type="dxa" w:w="3672"/>
            <w:tcMar>
              <w:top w:w="60" w:type="dxa"/>
              <w:start w:w="70" w:type="dxa"/>
              <w:bottom w:w="60" w:type="dxa"/>
              <w:end w:w="70" w:type="dxa"/>
            </w:tcMar>
            <w:vAlign w:val="top"/>
          </w:tcPr>
          <w:p>
            <w:pPr>
              <w:spacing w:after="0" w:line="240" w:lineRule="auto"/>
            </w:pPr>
            <w:r>
              <w:rPr>
                <w:rFonts w:ascii="Lato" w:hAnsi="Lato"/>
                <w:color w:val="3F4A54"/>
                <w:sz w:val="17"/>
              </w:rPr>
              <w:t>Is the population a meaningful group?</w:t>
            </w:r>
          </w:p>
        </w:tc>
        <w:tc>
          <w:tcPr>
            <w:tcW w:type="dxa" w:w="5688"/>
            <w:tcMar>
              <w:top w:w="60" w:type="dxa"/>
              <w:start w:w="70" w:type="dxa"/>
              <w:bottom w:w="60" w:type="dxa"/>
              <w:end w:w="70" w:type="dxa"/>
            </w:tcMar>
            <w:vAlign w:val="top"/>
          </w:tcPr>
          <w:p>
            <w:pPr>
              <w:spacing w:after="0" w:line="240" w:lineRule="auto"/>
            </w:pPr>
            <w:r>
              <w:rPr>
                <w:rFonts w:ascii="Lato" w:hAnsi="Lato"/>
                <w:color w:val="3F4A54"/>
                <w:sz w:val="17"/>
              </w:rPr>
              <w:t>Encourage separate analysis of manual/system entries, branches, account types and transaction types.</w:t>
            </w:r>
          </w:p>
        </w:tc>
      </w:tr>
      <w:tr>
        <w:trPr>
          <w:cantSplit/>
        </w:trPr>
        <w:tc>
          <w:tcPr>
            <w:tcW w:type="dxa" w:w="3672"/>
            <w:tcMar>
              <w:top w:w="60" w:type="dxa"/>
              <w:start w:w="70" w:type="dxa"/>
              <w:bottom w:w="60" w:type="dxa"/>
              <w:end w:w="70" w:type="dxa"/>
            </w:tcMar>
            <w:shd w:fill="FAFBFC"/>
            <w:vAlign w:val="top"/>
          </w:tcPr>
          <w:p>
            <w:pPr>
              <w:spacing w:after="0" w:line="240" w:lineRule="auto"/>
            </w:pPr>
            <w:r>
              <w:rPr>
                <w:rFonts w:ascii="Lato" w:hAnsi="Lato"/>
                <w:color w:val="3F4A54"/>
                <w:sz w:val="17"/>
              </w:rPr>
              <w:t>Is the data complete and reconciled?</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7"/>
              </w:rPr>
              <w:t>Block formal analysis when completeness differences remain material.</w:t>
            </w:r>
          </w:p>
        </w:tc>
      </w:tr>
    </w:tbl>
    <w:p>
      <w:pPr>
        <w:widowControl/>
        <w:spacing w:after="0"/>
      </w:pP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Recommended user-facing labels</w:t>
            </w:r>
          </w:p>
          <w:p>
            <w:pPr>
              <w:spacing w:after="0" w:line="252" w:lineRule="auto"/>
            </w:pPr>
            <w:r>
              <w:rPr>
                <w:rFonts w:ascii="Lato" w:hAnsi="Lato"/>
                <w:color w:val="3F4A54"/>
                <w:sz w:val="19"/>
              </w:rPr>
              <w:t>Suitable | Suitable with caution | Not suitable. A "not suitable" result is not a negative finding; it means Benford should not be used for that population.</w:t>
            </w:r>
          </w:p>
        </w:tc>
      </w:tr>
    </w:tbl>
    <w:p>
      <w:pPr>
        <w:widowControl/>
        <w:spacing w:after="0"/>
      </w:pPr>
    </w:p>
    <w:p>
      <w:pPr>
        <w:pStyle w:val="Heading2"/>
        <w:keepNext/>
        <w:pageBreakBefore w:val="0"/>
        <w:widowControl/>
        <w:spacing w:before="140" w:after="60"/>
      </w:pPr>
      <w:r>
        <w:rPr>
          <w:rFonts w:ascii="Lato" w:hAnsi="Lato"/>
          <w:b/>
          <w:color w:val="0F766E"/>
          <w:sz w:val="26"/>
        </w:rPr>
        <w:t>16.5 Calculations supported</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00"/>
            <w:shd w:fill="17324D"/>
            <w:tcMar>
              <w:top w:w="70" w:type="dxa"/>
              <w:start w:w="70" w:type="dxa"/>
              <w:bottom w:w="70" w:type="dxa"/>
              <w:end w:w="70" w:type="dxa"/>
            </w:tcMar>
          </w:tcPr>
          <w:p>
            <w:pPr>
              <w:jc w:val="left"/>
            </w:pPr>
            <w:r>
              <w:rPr>
                <w:rFonts w:ascii="Lato" w:hAnsi="Lato"/>
                <w:b/>
                <w:color w:val="FFFFFF"/>
                <w:sz w:val="16"/>
              </w:rPr>
              <w:t>Test</w:t>
            </w:r>
          </w:p>
        </w:tc>
        <w:tc>
          <w:tcPr>
            <w:tcW w:type="dxa" w:w="3600"/>
            <w:shd w:fill="17324D"/>
            <w:tcMar>
              <w:top w:w="70" w:type="dxa"/>
              <w:start w:w="70" w:type="dxa"/>
              <w:bottom w:w="70" w:type="dxa"/>
              <w:end w:w="70" w:type="dxa"/>
            </w:tcMar>
          </w:tcPr>
          <w:p>
            <w:pPr>
              <w:jc w:val="left"/>
            </w:pPr>
            <w:r>
              <w:rPr>
                <w:rFonts w:ascii="Lato" w:hAnsi="Lato"/>
                <w:b/>
                <w:color w:val="FFFFFF"/>
                <w:sz w:val="16"/>
              </w:rPr>
              <w:t>Plain-language use</w:t>
            </w:r>
          </w:p>
        </w:tc>
        <w:tc>
          <w:tcPr>
            <w:tcW w:type="dxa" w:w="3960"/>
            <w:shd w:fill="17324D"/>
            <w:tcMar>
              <w:top w:w="70" w:type="dxa"/>
              <w:start w:w="70" w:type="dxa"/>
              <w:bottom w:w="70" w:type="dxa"/>
              <w:end w:w="70" w:type="dxa"/>
            </w:tcMar>
          </w:tcPr>
          <w:p>
            <w:pPr>
              <w:jc w:val="left"/>
            </w:pPr>
            <w:r>
              <w:rPr>
                <w:rFonts w:ascii="Lato" w:hAnsi="Lato"/>
                <w:b/>
                <w:color w:val="FFFFFF"/>
                <w:sz w:val="16"/>
              </w:rPr>
              <w:t>Required output</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6"/>
              </w:rPr>
              <w:t>First digit</w:t>
            </w:r>
          </w:p>
        </w:tc>
        <w:tc>
          <w:tcPr>
            <w:tcW w:type="dxa" w:w="3600"/>
            <w:tcMar>
              <w:top w:w="60" w:type="dxa"/>
              <w:start w:w="70" w:type="dxa"/>
              <w:bottom w:w="60" w:type="dxa"/>
              <w:end w:w="70" w:type="dxa"/>
            </w:tcMar>
            <w:shd w:fill="FAFBFC"/>
            <w:vAlign w:val="top"/>
          </w:tcPr>
          <w:p>
            <w:pPr>
              <w:spacing w:after="0" w:line="240" w:lineRule="auto"/>
            </w:pPr>
            <w:r>
              <w:rPr>
                <w:rFonts w:ascii="Lato" w:hAnsi="Lato"/>
                <w:color w:val="3F4A54"/>
                <w:sz w:val="16"/>
              </w:rPr>
              <w:t>Compares how often amounts begin with 1 through 9.</w:t>
            </w:r>
          </w:p>
        </w:tc>
        <w:tc>
          <w:tcPr>
            <w:tcW w:type="dxa" w:w="3960"/>
            <w:tcMar>
              <w:top w:w="60" w:type="dxa"/>
              <w:start w:w="70" w:type="dxa"/>
              <w:bottom w:w="60" w:type="dxa"/>
              <w:end w:w="70" w:type="dxa"/>
            </w:tcMar>
            <w:shd w:fill="FAFBFC"/>
            <w:vAlign w:val="top"/>
          </w:tcPr>
          <w:p>
            <w:pPr>
              <w:spacing w:after="0" w:line="240" w:lineRule="auto"/>
            </w:pPr>
            <w:r>
              <w:rPr>
                <w:rFonts w:ascii="Lato" w:hAnsi="Lato"/>
                <w:color w:val="3F4A54"/>
                <w:sz w:val="16"/>
              </w:rPr>
              <w:t>Observed count, observed %, expected %, difference, excess transactions and MAD/conformity indicator.</w:t>
            </w:r>
          </w:p>
        </w:tc>
      </w:tr>
      <w:tr>
        <w:trPr>
          <w:cantSplit/>
        </w:trPr>
        <w:tc>
          <w:tcPr>
            <w:tcW w:type="dxa" w:w="1800"/>
            <w:tcMar>
              <w:top w:w="60" w:type="dxa"/>
              <w:start w:w="70" w:type="dxa"/>
              <w:bottom w:w="60" w:type="dxa"/>
              <w:end w:w="70" w:type="dxa"/>
            </w:tcMar>
            <w:vAlign w:val="top"/>
          </w:tcPr>
          <w:p>
            <w:pPr>
              <w:spacing w:after="0" w:line="240" w:lineRule="auto"/>
            </w:pPr>
            <w:r>
              <w:rPr>
                <w:rFonts w:ascii="Lato" w:hAnsi="Lato"/>
                <w:color w:val="3F4A54"/>
                <w:sz w:val="16"/>
              </w:rPr>
              <w:t>Second digit</w:t>
            </w:r>
          </w:p>
        </w:tc>
        <w:tc>
          <w:tcPr>
            <w:tcW w:type="dxa" w:w="3600"/>
            <w:tcMar>
              <w:top w:w="60" w:type="dxa"/>
              <w:start w:w="70" w:type="dxa"/>
              <w:bottom w:w="60" w:type="dxa"/>
              <w:end w:w="70" w:type="dxa"/>
            </w:tcMar>
            <w:vAlign w:val="top"/>
          </w:tcPr>
          <w:p>
            <w:pPr>
              <w:spacing w:after="0" w:line="240" w:lineRule="auto"/>
            </w:pPr>
            <w:r>
              <w:rPr>
                <w:rFonts w:ascii="Lato" w:hAnsi="Lato"/>
                <w:color w:val="3F4A54"/>
                <w:sz w:val="16"/>
              </w:rPr>
              <w:t>Looks at the next digit and can find subtler patterns.</w:t>
            </w:r>
          </w:p>
        </w:tc>
        <w:tc>
          <w:tcPr>
            <w:tcW w:type="dxa" w:w="3960"/>
            <w:tcMar>
              <w:top w:w="60" w:type="dxa"/>
              <w:start w:w="70" w:type="dxa"/>
              <w:bottom w:w="60" w:type="dxa"/>
              <w:end w:w="70" w:type="dxa"/>
            </w:tcMar>
            <w:vAlign w:val="top"/>
          </w:tcPr>
          <w:p>
            <w:pPr>
              <w:spacing w:after="0" w:line="240" w:lineRule="auto"/>
            </w:pPr>
            <w:r>
              <w:rPr>
                <w:rFonts w:ascii="Lato" w:hAnsi="Lato"/>
                <w:color w:val="3F4A54"/>
                <w:sz w:val="16"/>
              </w:rPr>
              <w:t>Observed versus expected distribution for 0 through 9, plus contributing transactions.</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6"/>
              </w:rPr>
              <w:t>First two digits</w:t>
            </w:r>
          </w:p>
        </w:tc>
        <w:tc>
          <w:tcPr>
            <w:tcW w:type="dxa" w:w="3600"/>
            <w:tcMar>
              <w:top w:w="60" w:type="dxa"/>
              <w:start w:w="70" w:type="dxa"/>
              <w:bottom w:w="60" w:type="dxa"/>
              <w:end w:w="70" w:type="dxa"/>
            </w:tcMar>
            <w:shd w:fill="FAFBFC"/>
            <w:vAlign w:val="top"/>
          </w:tcPr>
          <w:p>
            <w:pPr>
              <w:spacing w:after="0" w:line="240" w:lineRule="auto"/>
            </w:pPr>
            <w:r>
              <w:rPr>
                <w:rFonts w:ascii="Lato" w:hAnsi="Lato"/>
                <w:color w:val="3F4A54"/>
                <w:sz w:val="16"/>
              </w:rPr>
              <w:t>Compares 10 through 99 and provides more detailed drill-down for large populations.</w:t>
            </w:r>
          </w:p>
        </w:tc>
        <w:tc>
          <w:tcPr>
            <w:tcW w:type="dxa" w:w="3960"/>
            <w:tcMar>
              <w:top w:w="60" w:type="dxa"/>
              <w:start w:w="70" w:type="dxa"/>
              <w:bottom w:w="60" w:type="dxa"/>
              <w:end w:w="70" w:type="dxa"/>
            </w:tcMar>
            <w:shd w:fill="FAFBFC"/>
            <w:vAlign w:val="top"/>
          </w:tcPr>
          <w:p>
            <w:pPr>
              <w:spacing w:after="0" w:line="240" w:lineRule="auto"/>
            </w:pPr>
            <w:r>
              <w:rPr>
                <w:rFonts w:ascii="Lato" w:hAnsi="Lato"/>
                <w:color w:val="3F4A54"/>
                <w:sz w:val="16"/>
              </w:rPr>
              <w:t>Expected and observed frequencies, excess counts, amount ranges and transaction groups.</w:t>
            </w:r>
          </w:p>
        </w:tc>
      </w:tr>
      <w:tr>
        <w:trPr>
          <w:cantSplit/>
        </w:trPr>
        <w:tc>
          <w:tcPr>
            <w:tcW w:type="dxa" w:w="1800"/>
            <w:tcMar>
              <w:top w:w="60" w:type="dxa"/>
              <w:start w:w="70" w:type="dxa"/>
              <w:bottom w:w="60" w:type="dxa"/>
              <w:end w:w="70" w:type="dxa"/>
            </w:tcMar>
            <w:vAlign w:val="top"/>
          </w:tcPr>
          <w:p>
            <w:pPr>
              <w:spacing w:after="0" w:line="240" w:lineRule="auto"/>
            </w:pPr>
            <w:r>
              <w:rPr>
                <w:rFonts w:ascii="Lato" w:hAnsi="Lato"/>
                <w:color w:val="3F4A54"/>
                <w:sz w:val="16"/>
              </w:rPr>
              <w:t>Last digit / round-number tests</w:t>
            </w:r>
          </w:p>
        </w:tc>
        <w:tc>
          <w:tcPr>
            <w:tcW w:type="dxa" w:w="3600"/>
            <w:tcMar>
              <w:top w:w="60" w:type="dxa"/>
              <w:start w:w="70" w:type="dxa"/>
              <w:bottom w:w="60" w:type="dxa"/>
              <w:end w:w="70" w:type="dxa"/>
            </w:tcMar>
            <w:vAlign w:val="top"/>
          </w:tcPr>
          <w:p>
            <w:pPr>
              <w:spacing w:after="0" w:line="240" w:lineRule="auto"/>
            </w:pPr>
            <w:r>
              <w:rPr>
                <w:rFonts w:ascii="Lato" w:hAnsi="Lato"/>
                <w:color w:val="3F4A54"/>
                <w:sz w:val="16"/>
              </w:rPr>
              <w:t>Not Benford itself, but useful for finding manually rounded values.</w:t>
            </w:r>
          </w:p>
        </w:tc>
        <w:tc>
          <w:tcPr>
            <w:tcW w:type="dxa" w:w="3960"/>
            <w:tcMar>
              <w:top w:w="60" w:type="dxa"/>
              <w:start w:w="70" w:type="dxa"/>
              <w:bottom w:w="60" w:type="dxa"/>
              <w:end w:w="70" w:type="dxa"/>
            </w:tcMar>
            <w:vAlign w:val="top"/>
          </w:tcPr>
          <w:p>
            <w:pPr>
              <w:spacing w:after="0" w:line="240" w:lineRule="auto"/>
            </w:pPr>
            <w:r>
              <w:rPr>
                <w:rFonts w:ascii="Lato" w:hAnsi="Lato"/>
                <w:color w:val="3F4A54"/>
                <w:sz w:val="16"/>
              </w:rPr>
              <w:t>Ending-digit distribution, repeated values and amounts ending in 00/000 or firm-defined patterns.</w:t>
            </w:r>
          </w:p>
        </w:tc>
      </w:tr>
      <w:tr>
        <w:trPr>
          <w:cantSplit/>
        </w:trPr>
        <w:tc>
          <w:tcPr>
            <w:tcW w:type="dxa" w:w="1800"/>
            <w:tcMar>
              <w:top w:w="60" w:type="dxa"/>
              <w:start w:w="70" w:type="dxa"/>
              <w:bottom w:w="60" w:type="dxa"/>
              <w:end w:w="70" w:type="dxa"/>
            </w:tcMar>
            <w:shd w:fill="FAFBFC"/>
            <w:vAlign w:val="top"/>
          </w:tcPr>
          <w:p>
            <w:pPr>
              <w:spacing w:after="0" w:line="240" w:lineRule="auto"/>
            </w:pPr>
            <w:r>
              <w:rPr>
                <w:rFonts w:ascii="Lato" w:hAnsi="Lato"/>
                <w:color w:val="3F4A54"/>
                <w:sz w:val="16"/>
              </w:rPr>
              <w:t>Prior-period and peer comparison</w:t>
            </w:r>
          </w:p>
        </w:tc>
        <w:tc>
          <w:tcPr>
            <w:tcW w:type="dxa" w:w="3600"/>
            <w:tcMar>
              <w:top w:w="60" w:type="dxa"/>
              <w:start w:w="70" w:type="dxa"/>
              <w:bottom w:w="60" w:type="dxa"/>
              <w:end w:w="70" w:type="dxa"/>
            </w:tcMar>
            <w:shd w:fill="FAFBFC"/>
            <w:vAlign w:val="top"/>
          </w:tcPr>
          <w:p>
            <w:pPr>
              <w:spacing w:after="0" w:line="240" w:lineRule="auto"/>
            </w:pPr>
            <w:r>
              <w:rPr>
                <w:rFonts w:ascii="Lato" w:hAnsi="Lato"/>
                <w:color w:val="3F4A54"/>
                <w:sz w:val="16"/>
              </w:rPr>
              <w:t>Shows whether the same client population changed over time or differs from similar groups.</w:t>
            </w:r>
          </w:p>
        </w:tc>
        <w:tc>
          <w:tcPr>
            <w:tcW w:type="dxa" w:w="3960"/>
            <w:tcMar>
              <w:top w:w="60" w:type="dxa"/>
              <w:start w:w="70" w:type="dxa"/>
              <w:bottom w:w="60" w:type="dxa"/>
              <w:end w:w="70" w:type="dxa"/>
            </w:tcMar>
            <w:shd w:fill="FAFBFC"/>
            <w:vAlign w:val="top"/>
          </w:tcPr>
          <w:p>
            <w:pPr>
              <w:spacing w:after="0" w:line="240" w:lineRule="auto"/>
            </w:pPr>
            <w:r>
              <w:rPr>
                <w:rFonts w:ascii="Lato" w:hAnsi="Lato"/>
                <w:color w:val="3F4A54"/>
                <w:sz w:val="16"/>
              </w:rPr>
              <w:t>Trend, benchmark, explanation and methodological warning when groups are not comparable.</w:t>
            </w:r>
          </w:p>
        </w:tc>
      </w:tr>
    </w:tbl>
    <w:p>
      <w:pPr>
        <w:widowControl/>
        <w:spacing w:after="0"/>
      </w:pPr>
    </w:p>
    <w:p>
      <w:pPr>
        <w:widowControl/>
        <w:spacing w:before="40" w:after="80"/>
      </w:pPr>
      <w:r>
        <w:rPr>
          <w:rFonts w:ascii="Liberation Mono" w:hAnsi="Liberation Mono"/>
          <w:color w:val="17324D"/>
          <w:sz w:val="18"/>
        </w:rPr>
        <w:t>Reference formula for the first digit:  P(d) = log10(1 + 1/d), where d is 1 to 9.</w:t>
      </w:r>
    </w:p>
    <w:p>
      <w:pPr>
        <w:pStyle w:val="Heading2"/>
        <w:keepNext/>
        <w:pageBreakBefore w:val="0"/>
        <w:widowControl/>
        <w:spacing w:before="140" w:after="60"/>
      </w:pPr>
      <w:r>
        <w:rPr>
          <w:rFonts w:ascii="Lato" w:hAnsi="Lato"/>
          <w:b/>
          <w:color w:val="0F766E"/>
          <w:sz w:val="26"/>
        </w:rPr>
        <w:t>16.6 What the result screen should show</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76"/>
            <w:shd w:fill="0F766E"/>
            <w:tcMar>
              <w:top w:w="70" w:type="dxa"/>
              <w:start w:w="70" w:type="dxa"/>
              <w:bottom w:w="70" w:type="dxa"/>
              <w:end w:w="70" w:type="dxa"/>
            </w:tcMar>
          </w:tcPr>
          <w:p>
            <w:pPr>
              <w:jc w:val="left"/>
            </w:pPr>
            <w:r>
              <w:rPr>
                <w:rFonts w:ascii="Lato" w:hAnsi="Lato"/>
                <w:b/>
                <w:color w:val="FFFFFF"/>
                <w:sz w:val="16"/>
              </w:rPr>
              <w:t>Result area</w:t>
            </w:r>
          </w:p>
        </w:tc>
        <w:tc>
          <w:tcPr>
            <w:tcW w:type="dxa" w:w="6984"/>
            <w:shd w:fill="0F766E"/>
            <w:tcMar>
              <w:top w:w="70" w:type="dxa"/>
              <w:start w:w="70" w:type="dxa"/>
              <w:bottom w:w="70" w:type="dxa"/>
              <w:end w:w="70" w:type="dxa"/>
            </w:tcMar>
          </w:tcPr>
          <w:p>
            <w:pPr>
              <w:jc w:val="left"/>
            </w:pPr>
            <w:r>
              <w:rPr>
                <w:rFonts w:ascii="Lato" w:hAnsi="Lato"/>
                <w:b/>
                <w:color w:val="FFFFFF"/>
                <w:sz w:val="16"/>
              </w:rPr>
              <w:t>Required explanation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Population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Entity, period, accounts, transaction type, filters, eligible count and total value.</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Suitability</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Why the population is suitable, cautionary or unsuitable.</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Distribution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Observed and expected frequencies with accessible table and chart.</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Deviation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Overall indicator, method used and plain-language interpretation.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Top contributors</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Digits, value ranges, users, vendors, accounts, branches and months driving the result.</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Corroborating signals</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Period-end, reversal, privileged user, missing document, GST mismatch, threshold proximity and other rules.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Transaction drill-down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Exact source entries that contributed to the selected digit or group.</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Auditor decision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Explained, not applicable, further information, confirmed exception or escalation.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Reproducibility</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Data snapshot, formula, thresholds, exclusions and model/rule version.</w:t>
            </w:r>
          </w:p>
        </w:tc>
      </w:tr>
    </w:tbl>
    <w:p>
      <w:pPr>
        <w:widowControl/>
        <w:spacing w:after="0"/>
      </w:pPr>
    </w:p>
    <w:p>
      <w:pPr>
        <w:pStyle w:val="Heading2"/>
        <w:keepNext/>
        <w:pageBreakBefore w:val="0"/>
        <w:widowControl/>
        <w:spacing w:before="140" w:after="60"/>
      </w:pPr>
      <w:r>
        <w:rPr>
          <w:rFonts w:ascii="Lato" w:hAnsi="Lato"/>
          <w:b/>
          <w:color w:val="0F766E"/>
          <w:sz w:val="26"/>
        </w:rPr>
        <w:t>16.7 How Benford contributes to risk scoring</w:t>
      </w:r>
    </w:p>
    <w:p>
      <w:pPr>
        <w:widowControl/>
        <w:spacing w:after="80" w:line="259" w:lineRule="auto"/>
      </w:pPr>
      <w:r>
        <w:rPr>
          <w:rFonts w:ascii="Lato" w:hAnsi="Lato"/>
          <w:i w:val="0"/>
          <w:color w:val="3F4A54"/>
          <w:sz w:val="20"/>
        </w:rPr>
        <w:t>Benford should have limited weight when it is the only signal. Its weight should rise only when other independent facts point to the same transaction group.</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4536"/>
            <w:shd w:fill="2F6690"/>
            <w:tcMar>
              <w:top w:w="70" w:type="dxa"/>
              <w:start w:w="70" w:type="dxa"/>
              <w:bottom w:w="70" w:type="dxa"/>
              <w:end w:w="70" w:type="dxa"/>
            </w:tcMar>
          </w:tcPr>
          <w:p>
            <w:pPr>
              <w:jc w:val="left"/>
            </w:pPr>
            <w:r>
              <w:rPr>
                <w:rFonts w:ascii="Lato" w:hAnsi="Lato"/>
                <w:b/>
                <w:color w:val="FFFFFF"/>
                <w:sz w:val="17"/>
              </w:rPr>
              <w:t>Scenario</w:t>
            </w:r>
          </w:p>
        </w:tc>
        <w:tc>
          <w:tcPr>
            <w:tcW w:type="dxa" w:w="4824"/>
            <w:shd w:fill="2F6690"/>
            <w:tcMar>
              <w:top w:w="70" w:type="dxa"/>
              <w:start w:w="70" w:type="dxa"/>
              <w:bottom w:w="70" w:type="dxa"/>
              <w:end w:w="70" w:type="dxa"/>
            </w:tcMar>
          </w:tcPr>
          <w:p>
            <w:pPr>
              <w:jc w:val="left"/>
            </w:pPr>
            <w:r>
              <w:rPr>
                <w:rFonts w:ascii="Lato" w:hAnsi="Lato"/>
                <w:b/>
                <w:color w:val="FFFFFF"/>
                <w:sz w:val="17"/>
              </w:rPr>
              <w:t>Recommended treatment</w:t>
            </w:r>
          </w:p>
        </w:tc>
      </w:tr>
      <w:tr>
        <w:trPr>
          <w:cantSplit/>
        </w:trPr>
        <w:tc>
          <w:tcPr>
            <w:tcW w:type="dxa" w:w="4536"/>
            <w:tcMar>
              <w:top w:w="60" w:type="dxa"/>
              <w:start w:w="70" w:type="dxa"/>
              <w:bottom w:w="60" w:type="dxa"/>
              <w:end w:w="70" w:type="dxa"/>
            </w:tcMar>
            <w:shd w:fill="FAFBFC"/>
            <w:vAlign w:val="top"/>
          </w:tcPr>
          <w:p>
            <w:pPr>
              <w:spacing w:after="0" w:line="240" w:lineRule="auto"/>
            </w:pPr>
            <w:r>
              <w:rPr>
                <w:rFonts w:ascii="Lato" w:hAnsi="Lato"/>
                <w:color w:val="3F4A54"/>
                <w:sz w:val="17"/>
              </w:rPr>
              <w:t>Benford deviation only; no other concern</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7"/>
              </w:rPr>
              <w:t>Low or moderate review priority; inspect a targeted sample.</w:t>
            </w:r>
          </w:p>
        </w:tc>
      </w:tr>
      <w:tr>
        <w:trPr>
          <w:cantSplit/>
        </w:trPr>
        <w:tc>
          <w:tcPr>
            <w:tcW w:type="dxa" w:w="4536"/>
            <w:tcMar>
              <w:top w:w="60" w:type="dxa"/>
              <w:start w:w="70" w:type="dxa"/>
              <w:bottom w:w="60" w:type="dxa"/>
              <w:end w:w="70" w:type="dxa"/>
            </w:tcMar>
            <w:vAlign w:val="top"/>
          </w:tcPr>
          <w:p>
            <w:pPr>
              <w:spacing w:after="0" w:line="240" w:lineRule="auto"/>
            </w:pPr>
            <w:r>
              <w:rPr>
                <w:rFonts w:ascii="Lato" w:hAnsi="Lato"/>
                <w:color w:val="3F4A54"/>
                <w:sz w:val="17"/>
              </w:rPr>
              <w:t>Benford deviation plus round values or threshold clustering</w:t>
            </w:r>
          </w:p>
        </w:tc>
        <w:tc>
          <w:tcPr>
            <w:tcW w:type="dxa" w:w="4824"/>
            <w:tcMar>
              <w:top w:w="60" w:type="dxa"/>
              <w:start w:w="70" w:type="dxa"/>
              <w:bottom w:w="60" w:type="dxa"/>
              <w:end w:w="70" w:type="dxa"/>
            </w:tcMar>
            <w:vAlign w:val="top"/>
          </w:tcPr>
          <w:p>
            <w:pPr>
              <w:spacing w:after="0" w:line="240" w:lineRule="auto"/>
            </w:pPr>
            <w:r>
              <w:rPr>
                <w:rFonts w:ascii="Lato" w:hAnsi="Lato"/>
                <w:color w:val="3F4A54"/>
                <w:sz w:val="17"/>
              </w:rPr>
              <w:t>Moderate priority; investigate the affected entries and approval logic.</w:t>
            </w:r>
          </w:p>
        </w:tc>
      </w:tr>
      <w:tr>
        <w:trPr>
          <w:cantSplit/>
        </w:trPr>
        <w:tc>
          <w:tcPr>
            <w:tcW w:type="dxa" w:w="4536"/>
            <w:tcMar>
              <w:top w:w="60" w:type="dxa"/>
              <w:start w:w="70" w:type="dxa"/>
              <w:bottom w:w="60" w:type="dxa"/>
              <w:end w:w="70" w:type="dxa"/>
            </w:tcMar>
            <w:shd w:fill="FAFBFC"/>
            <w:vAlign w:val="top"/>
          </w:tcPr>
          <w:p>
            <w:pPr>
              <w:spacing w:after="0" w:line="240" w:lineRule="auto"/>
            </w:pPr>
            <w:r>
              <w:rPr>
                <w:rFonts w:ascii="Lato" w:hAnsi="Lato"/>
                <w:color w:val="3F4A54"/>
                <w:sz w:val="17"/>
              </w:rPr>
              <w:t>Benford deviation plus privileged user and period-end posting</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7"/>
              </w:rPr>
              <w:t>High priority; request authorisation and supporting calculations.</w:t>
            </w:r>
          </w:p>
        </w:tc>
      </w:tr>
      <w:tr>
        <w:trPr>
          <w:cantSplit/>
        </w:trPr>
        <w:tc>
          <w:tcPr>
            <w:tcW w:type="dxa" w:w="4536"/>
            <w:tcMar>
              <w:top w:w="60" w:type="dxa"/>
              <w:start w:w="70" w:type="dxa"/>
              <w:bottom w:w="60" w:type="dxa"/>
              <w:end w:w="70" w:type="dxa"/>
            </w:tcMar>
            <w:vAlign w:val="top"/>
          </w:tcPr>
          <w:p>
            <w:pPr>
              <w:spacing w:after="0" w:line="240" w:lineRule="auto"/>
            </w:pPr>
            <w:r>
              <w:rPr>
                <w:rFonts w:ascii="Lato" w:hAnsi="Lato"/>
                <w:color w:val="3F4A54"/>
                <w:sz w:val="17"/>
              </w:rPr>
              <w:t>Benford deviation plus quick reversal, GST mismatch and missing evidence</w:t>
            </w:r>
          </w:p>
        </w:tc>
        <w:tc>
          <w:tcPr>
            <w:tcW w:type="dxa" w:w="4824"/>
            <w:tcMar>
              <w:top w:w="60" w:type="dxa"/>
              <w:start w:w="70" w:type="dxa"/>
              <w:bottom w:w="60" w:type="dxa"/>
              <w:end w:w="70" w:type="dxa"/>
            </w:tcMar>
            <w:vAlign w:val="top"/>
          </w:tcPr>
          <w:p>
            <w:pPr>
              <w:spacing w:after="0" w:line="240" w:lineRule="auto"/>
            </w:pPr>
            <w:r>
              <w:rPr>
                <w:rFonts w:ascii="Lato" w:hAnsi="Lato"/>
                <w:color w:val="3F4A54"/>
                <w:sz w:val="17"/>
              </w:rPr>
              <w:t>Very high priority; create a consolidated investigation case and escalate.</w:t>
            </w:r>
          </w:p>
        </w:tc>
      </w:tr>
      <w:tr>
        <w:trPr>
          <w:cantSplit/>
        </w:trPr>
        <w:tc>
          <w:tcPr>
            <w:tcW w:type="dxa" w:w="4536"/>
            <w:tcMar>
              <w:top w:w="60" w:type="dxa"/>
              <w:start w:w="70" w:type="dxa"/>
              <w:bottom w:w="60" w:type="dxa"/>
              <w:end w:w="70" w:type="dxa"/>
            </w:tcMar>
            <w:shd w:fill="FAFBFC"/>
            <w:vAlign w:val="top"/>
          </w:tcPr>
          <w:p>
            <w:pPr>
              <w:spacing w:after="0" w:line="240" w:lineRule="auto"/>
            </w:pPr>
            <w:r>
              <w:rPr>
                <w:rFonts w:ascii="Lato" w:hAnsi="Lato"/>
                <w:color w:val="3F4A54"/>
                <w:sz w:val="17"/>
              </w:rPr>
              <w:t>Population unsuitable for Benford</w:t>
            </w:r>
          </w:p>
        </w:tc>
        <w:tc>
          <w:tcPr>
            <w:tcW w:type="dxa" w:w="4824"/>
            <w:tcMar>
              <w:top w:w="60" w:type="dxa"/>
              <w:start w:w="70" w:type="dxa"/>
              <w:bottom w:w="60" w:type="dxa"/>
              <w:end w:w="70" w:type="dxa"/>
            </w:tcMar>
            <w:shd w:fill="FAFBFC"/>
            <w:vAlign w:val="top"/>
          </w:tcPr>
          <w:p>
            <w:pPr>
              <w:spacing w:after="0" w:line="240" w:lineRule="auto"/>
            </w:pPr>
            <w:r>
              <w:rPr>
                <w:rFonts w:ascii="Lato" w:hAnsi="Lato"/>
                <w:color w:val="3F4A54"/>
                <w:sz w:val="17"/>
              </w:rPr>
              <w:t>Do not assign Benford risk points; use other rules instead.</w:t>
            </w:r>
          </w:p>
        </w:tc>
      </w:tr>
    </w:tbl>
    <w:p>
      <w:pPr>
        <w:widowControl/>
        <w:spacing w:after="0"/>
      </w:pPr>
    </w:p>
    <w:p>
      <w:pPr>
        <w:pStyle w:val="Heading2"/>
        <w:keepNext/>
        <w:pageBreakBefore w:val="0"/>
        <w:widowControl/>
        <w:spacing w:before="140" w:after="60"/>
      </w:pPr>
      <w:r>
        <w:rPr>
          <w:rFonts w:ascii="Lato" w:hAnsi="Lato"/>
          <w:b/>
          <w:color w:val="0F766E"/>
          <w:sz w:val="26"/>
        </w:rPr>
        <w:t>16.8 Hypothetical example</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76"/>
            <w:shd w:fill="17324D"/>
            <w:tcMar>
              <w:top w:w="70" w:type="dxa"/>
              <w:start w:w="70" w:type="dxa"/>
              <w:bottom w:w="70" w:type="dxa"/>
              <w:end w:w="70" w:type="dxa"/>
            </w:tcMar>
          </w:tcPr>
          <w:p>
            <w:pPr>
              <w:jc w:val="left"/>
            </w:pPr>
            <w:r>
              <w:rPr>
                <w:rFonts w:ascii="Lato" w:hAnsi="Lato"/>
                <w:b/>
                <w:color w:val="FFFFFF"/>
                <w:sz w:val="17"/>
              </w:rPr>
              <w:t>Item</w:t>
            </w:r>
          </w:p>
        </w:tc>
        <w:tc>
          <w:tcPr>
            <w:tcW w:type="dxa" w:w="6984"/>
            <w:shd w:fill="17324D"/>
            <w:tcMar>
              <w:top w:w="70" w:type="dxa"/>
              <w:start w:w="70" w:type="dxa"/>
              <w:bottom w:w="70" w:type="dxa"/>
              <w:end w:w="70" w:type="dxa"/>
            </w:tcMar>
          </w:tcPr>
          <w:p>
            <w:pPr>
              <w:jc w:val="left"/>
            </w:pPr>
            <w:r>
              <w:rPr>
                <w:rFonts w:ascii="Lato" w:hAnsi="Lato"/>
                <w:b/>
                <w:color w:val="FFFFFF"/>
                <w:sz w:val="17"/>
              </w:rPr>
              <w:t>Illustrative result</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Population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9,240 manual journal lines for one financial year</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Suitability</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Suitable with caution; adequate population and range, but year-end entries are concentrated</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Observed pattern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Amounts beginning with 48 and 49 occur substantially more often than expected in the first-two-digit analysis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Contribution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71% of excess entries were posted by two users; 64% were reversed within seven days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Other signals</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Many entries were posted after close and lacked supporting schedules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System conclusion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Unusual numerical pattern with corroborating controls - high review priority</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Permitted auditor conclusion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Explained / not applicable / information required / confirmed exception / escalated</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Prohibited system wording</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"Fraud detected" or "fabricated entry confirmed"</w:t>
            </w:r>
          </w:p>
        </w:tc>
      </w:tr>
    </w:tbl>
    <w:p>
      <w:pPr>
        <w:widowControl/>
        <w:spacing w:after="0"/>
      </w:pPr>
    </w:p>
    <w:p>
      <w:pPr>
        <w:pStyle w:val="Heading2"/>
        <w:keepNext/>
        <w:pageBreakBefore w:val="0"/>
        <w:widowControl/>
        <w:spacing w:before="140" w:after="60"/>
      </w:pPr>
      <w:r>
        <w:rPr>
          <w:rFonts w:ascii="Lato" w:hAnsi="Lato"/>
          <w:b/>
          <w:color w:val="0F766E"/>
          <w:sz w:val="26"/>
        </w:rPr>
        <w:t>16.9 Benford business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user shall select a clearly defined population and field before running Benford analysis.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population definition and totals are saved.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platform shall run a suitability gate before any conformity result.</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Unsuitable populations cannot receive a normal/high-risk Benford score.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preserve and report all exclusions, including zeros, negatives, reversals and invalid values.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Counts and policy reasons are visible.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support first-digit, second-digit and first-two-digit analysis under methodology-approved thresholds.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Each test states minimum population and limitations.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calculate observed, expected, difference, excess count and approved deviation statistics.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Results can be exported and independently recomputed.</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user shall drill from any chart/table point to the exact contributing transactions.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Source row and file references are retained.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segment results by account, user, vendor, branch, month and transaction type where fields exist.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same population total reconciles across segment views.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compare current results with prior periods only when populations are reasonably comparable.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Comparability warning and differences are shown.</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BEN-009</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combine Benford with independent risk signals and avoid duplicate cases.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One consolidated case shows all contributing rules.</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BEN-010</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Benford alone shall not create a fraud label or automatic adverse conclusion.</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All system wording remains neutral.</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BEN-011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auditor shall be able to override suitability or classification only with a recorded reason and authorised review.</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Override history is visible.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BEN-012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Every Benford result shall store formula, threshold set, software version, data snapshot and execution time.</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 repeated run on the same snapshot produces the same result.</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BEN-013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support random control samples in addition to anomaly-selected samples.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Both samples and selection logic appear in the workpaper.</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BEN-014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result shall display a plain-language explanation suitable for non-statistical users.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User testing confirms the explanation is understood.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BEN-015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provide accessible data tables in addition to charts.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No conclusion depends only on colour or visual interpretation.</w:t>
            </w:r>
          </w:p>
        </w:tc>
      </w:tr>
    </w:tbl>
    <w:p>
      <w:pPr>
        <w:widowControl/>
        <w:spacing w:after="0"/>
      </w:pPr>
    </w:p>
    <w:p>
      <w:pPr>
        <w:pStyle w:val="Heading2"/>
        <w:keepNext/>
        <w:pageBreakBefore w:val="0"/>
        <w:widowControl/>
        <w:spacing w:before="140" w:after="60"/>
      </w:pPr>
      <w:r>
        <w:rPr>
          <w:rFonts w:ascii="Lato" w:hAnsi="Lato"/>
          <w:b/>
          <w:color w:val="0F766E"/>
          <w:sz w:val="26"/>
        </w:rPr>
        <w:t>16.10 Benford acceptance rules</w:t>
      </w:r>
    </w:p>
    <w:p>
      <w:pPr>
        <w:pStyle w:val="ListBullet"/>
        <w:widowControl/>
        <w:spacing w:after="30" w:line="247" w:lineRule="auto"/>
        <w:ind w:left="288" w:hanging="173"/>
      </w:pPr>
      <w:r>
        <w:rPr>
          <w:rFonts w:ascii="Lato" w:hAnsi="Lato"/>
          <w:color w:val="3F4A54"/>
          <w:sz w:val="19"/>
        </w:rPr>
        <w:t>A dataset of identifiers is rejected as unsuitable.</w:t>
      </w:r>
    </w:p>
    <w:p>
      <w:pPr>
        <w:pStyle w:val="ListBullet"/>
        <w:widowControl/>
        <w:spacing w:after="30" w:line="247" w:lineRule="auto"/>
        <w:ind w:left="288" w:hanging="173"/>
      </w:pPr>
      <w:r>
        <w:rPr>
          <w:rFonts w:ascii="Lato" w:hAnsi="Lato"/>
          <w:color w:val="3F4A54"/>
          <w:sz w:val="19"/>
        </w:rPr>
        <w:t>A fixed-price dataset receives a caution or unsuitable classification.</w:t>
      </w:r>
    </w:p>
    <w:p>
      <w:pPr>
        <w:pStyle w:val="ListBullet"/>
        <w:widowControl/>
        <w:spacing w:after="30" w:line="247" w:lineRule="auto"/>
        <w:ind w:left="288" w:hanging="173"/>
      </w:pPr>
      <w:r>
        <w:rPr>
          <w:rFonts w:ascii="Lato" w:hAnsi="Lato"/>
          <w:color w:val="3F4A54"/>
          <w:sz w:val="19"/>
        </w:rPr>
        <w:t>The transaction count and value before and after exclusions are visible.</w:t>
      </w:r>
    </w:p>
    <w:p>
      <w:pPr>
        <w:pStyle w:val="ListBullet"/>
        <w:widowControl/>
        <w:spacing w:after="30" w:line="247" w:lineRule="auto"/>
        <w:ind w:left="288" w:hanging="173"/>
      </w:pPr>
      <w:r>
        <w:rPr>
          <w:rFonts w:ascii="Lato" w:hAnsi="Lato"/>
          <w:color w:val="3F4A54"/>
          <w:sz w:val="19"/>
        </w:rPr>
        <w:t>Selecting an excess digit immediately lists all contributing source transactions.</w:t>
      </w:r>
    </w:p>
    <w:p>
      <w:pPr>
        <w:pStyle w:val="ListBullet"/>
        <w:widowControl/>
        <w:spacing w:after="30" w:line="247" w:lineRule="auto"/>
        <w:ind w:left="288" w:hanging="173"/>
      </w:pPr>
      <w:r>
        <w:rPr>
          <w:rFonts w:ascii="Lato" w:hAnsi="Lato"/>
          <w:color w:val="3F4A54"/>
          <w:sz w:val="19"/>
        </w:rPr>
        <w:t>The same source snapshot and methodology version produce the same statistics.</w:t>
      </w:r>
    </w:p>
    <w:p>
      <w:pPr>
        <w:pStyle w:val="ListBullet"/>
        <w:widowControl/>
        <w:spacing w:after="30" w:line="247" w:lineRule="auto"/>
        <w:ind w:left="288" w:hanging="173"/>
      </w:pPr>
      <w:r>
        <w:rPr>
          <w:rFonts w:ascii="Lato" w:hAnsi="Lato"/>
          <w:color w:val="3F4A54"/>
          <w:sz w:val="19"/>
        </w:rPr>
        <w:t>An unsuitable population contributes zero Benford points to the review-priority score.</w:t>
      </w:r>
    </w:p>
    <w:p>
      <w:pPr>
        <w:pStyle w:val="ListBullet"/>
        <w:widowControl/>
        <w:spacing w:after="30" w:line="247" w:lineRule="auto"/>
        <w:ind w:left="288" w:hanging="173"/>
      </w:pPr>
      <w:r>
        <w:rPr>
          <w:rFonts w:ascii="Lato" w:hAnsi="Lato"/>
          <w:color w:val="3F4A54"/>
          <w:sz w:val="19"/>
        </w:rPr>
        <w:t>No screen, notification or export states that Benford proves fraud.</w:t>
      </w:r>
    </w:p>
    <w:p>
      <w:pPr>
        <w:pStyle w:val="ListBullet"/>
        <w:widowControl/>
        <w:spacing w:after="30" w:line="247" w:lineRule="auto"/>
        <w:ind w:left="288" w:hanging="173"/>
      </w:pPr>
      <w:r>
        <w:rPr>
          <w:rFonts w:ascii="Lato" w:hAnsi="Lato"/>
          <w:color w:val="3F4A54"/>
          <w:sz w:val="19"/>
        </w:rPr>
        <w:t>The final workpaper records the auditor's interpretation and corroborating procedures.</w:t>
      </w:r>
    </w:p>
    <w:p>
      <w:pPr>
        <w:pStyle w:val="Heading1"/>
        <w:keepNext/>
        <w:pageBreakBefore w:val="0"/>
        <w:widowControl/>
        <w:spacing w:before="240" w:after="100"/>
      </w:pPr>
      <w:r>
        <w:rPr>
          <w:rFonts w:ascii="Lato" w:hAnsi="Lato"/>
          <w:b/>
          <w:color w:val="17324D"/>
          <w:sz w:val="34"/>
        </w:rPr>
        <w:t>17. Risk scoring and investigation workflow</w:t>
      </w:r>
    </w:p>
    <w:tbl>
      <w:tblPr>
        <w:tblW w:type="auto" w:w="0"/>
        <w:jc w:val="center"/>
        <w:tblLayout w:type="fixed"/>
        <w:tblLook w:firstColumn="1" w:firstRow="1" w:lastColumn="0" w:lastRow="0" w:noHBand="0" w:noVBand="1" w:val="04A0"/>
      </w:tblPr>
      <w:tblGrid>
        <w:gridCol w:w="10086"/>
      </w:tblGrid>
      <w:tr>
        <w:tc>
          <w:tcPr>
            <w:tcW w:type="dxa" w:w="9360"/>
            <w:shd w:fill="FCE8E6"/>
            <w:tcMar>
              <w:top w:w="110" w:type="dxa"/>
              <w:start w:w="150" w:type="dxa"/>
              <w:bottom w:w="110" w:type="dxa"/>
              <w:end w:w="150" w:type="dxa"/>
            </w:tcMar>
            <w:tcBorders>
              <w:top w:val="single" w:sz="2" w:color="FCE8E6"/>
              <w:start w:val="single" w:sz="18" w:color="9C2F2F"/>
              <w:bottom w:val="single" w:sz="2" w:color="FCE8E6"/>
              <w:end w:val="single" w:sz="2" w:color="FCE8E6"/>
            </w:tcBorders>
          </w:tcPr>
          <w:p>
            <w:pPr>
              <w:spacing w:after="40"/>
            </w:pPr>
            <w:r>
              <w:rPr>
                <w:rFonts w:ascii="Lato" w:hAnsi="Lato"/>
                <w:b/>
                <w:color w:val="9C2F2F"/>
                <w:sz w:val="21"/>
              </w:rPr>
              <w:t>Key wording decision</w:t>
            </w:r>
          </w:p>
          <w:p>
            <w:pPr>
              <w:spacing w:after="0" w:line="252" w:lineRule="auto"/>
            </w:pPr>
            <w:r>
              <w:rPr>
                <w:rFonts w:ascii="Lato" w:hAnsi="Lato"/>
                <w:color w:val="3F4A54"/>
                <w:sz w:val="19"/>
              </w:rPr>
              <w:t>Call it a Review Priority Score, not a Fraud Probability Score, until the business has reliable, independently validated outcome data and an approved methodology.</w:t>
            </w:r>
          </w:p>
        </w:tc>
      </w:tr>
    </w:tbl>
    <w:p>
      <w:pPr>
        <w:widowControl/>
        <w:spacing w:after="0"/>
      </w:pPr>
    </w:p>
    <w:p>
      <w:pPr>
        <w:pStyle w:val="Heading2"/>
        <w:keepNext/>
        <w:pageBreakBefore w:val="0"/>
        <w:widowControl/>
        <w:spacing w:before="140" w:after="60"/>
      </w:pPr>
      <w:r>
        <w:rPr>
          <w:rFonts w:ascii="Lato" w:hAnsi="Lato"/>
          <w:b/>
          <w:color w:val="0F766E"/>
          <w:sz w:val="26"/>
        </w:rPr>
        <w:t>17.1 Illustrative score components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32"/>
            <w:shd w:fill="17324D"/>
            <w:tcMar>
              <w:top w:w="70" w:type="dxa"/>
              <w:start w:w="70" w:type="dxa"/>
              <w:bottom w:w="70" w:type="dxa"/>
              <w:end w:w="70" w:type="dxa"/>
            </w:tcMar>
          </w:tcPr>
          <w:p>
            <w:pPr>
              <w:jc w:val="left"/>
            </w:pPr>
            <w:r>
              <w:rPr>
                <w:rFonts w:ascii="Lato" w:hAnsi="Lato"/>
                <w:b/>
                <w:color w:val="FFFFFF"/>
                <w:sz w:val="16"/>
              </w:rPr>
              <w:t>Component</w:t>
            </w:r>
          </w:p>
        </w:tc>
        <w:tc>
          <w:tcPr>
            <w:tcW w:type="dxa" w:w="5688"/>
            <w:shd w:fill="17324D"/>
            <w:tcMar>
              <w:top w:w="70" w:type="dxa"/>
              <w:start w:w="70" w:type="dxa"/>
              <w:bottom w:w="70" w:type="dxa"/>
              <w:end w:w="70" w:type="dxa"/>
            </w:tcMar>
          </w:tcPr>
          <w:p>
            <w:pPr>
              <w:jc w:val="left"/>
            </w:pPr>
            <w:r>
              <w:rPr>
                <w:rFonts w:ascii="Lato" w:hAnsi="Lato"/>
                <w:b/>
                <w:color w:val="FFFFFF"/>
                <w:sz w:val="16"/>
              </w:rPr>
              <w:t>Example signals</w:t>
            </w:r>
          </w:p>
        </w:tc>
        <w:tc>
          <w:tcPr>
            <w:tcW w:type="dxa" w:w="1440"/>
            <w:shd w:fill="17324D"/>
            <w:tcMar>
              <w:top w:w="70" w:type="dxa"/>
              <w:start w:w="70" w:type="dxa"/>
              <w:bottom w:w="70" w:type="dxa"/>
              <w:end w:w="70" w:type="dxa"/>
            </w:tcMar>
          </w:tcPr>
          <w:p>
            <w:pPr>
              <w:jc w:val="left"/>
            </w:pPr>
            <w:r>
              <w:rPr>
                <w:rFonts w:ascii="Lato" w:hAnsi="Lato"/>
                <w:b/>
                <w:color w:val="FFFFFF"/>
                <w:sz w:val="16"/>
              </w:rPr>
              <w:t>Illustrative maximum</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6"/>
              </w:rPr>
              <w:t>Reconciliation risk</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6"/>
              </w:rPr>
              <w:t>Books-GST, bank-books, invoice-payment and balance differences</w:t>
            </w:r>
          </w:p>
        </w:tc>
        <w:tc>
          <w:tcPr>
            <w:tcW w:type="dxa" w:w="1440"/>
            <w:tcMar>
              <w:top w:w="60" w:type="dxa"/>
              <w:start w:w="70" w:type="dxa"/>
              <w:bottom w:w="60" w:type="dxa"/>
              <w:end w:w="70" w:type="dxa"/>
            </w:tcMar>
            <w:shd w:fill="FAFBFC"/>
            <w:vAlign w:val="top"/>
          </w:tcPr>
          <w:p>
            <w:pPr>
              <w:spacing w:after="0" w:line="240" w:lineRule="auto"/>
            </w:pPr>
            <w:r>
              <w:rPr>
                <w:rFonts w:ascii="Lato" w:hAnsi="Lato"/>
                <w:color w:val="3F4A54"/>
                <w:sz w:val="16"/>
              </w:rPr>
              <w:t>25</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6"/>
              </w:rPr>
              <w:t>Deterministic rule risk</w:t>
            </w:r>
          </w:p>
        </w:tc>
        <w:tc>
          <w:tcPr>
            <w:tcW w:type="dxa" w:w="5688"/>
            <w:tcMar>
              <w:top w:w="60" w:type="dxa"/>
              <w:start w:w="70" w:type="dxa"/>
              <w:bottom w:w="60" w:type="dxa"/>
              <w:end w:w="70" w:type="dxa"/>
            </w:tcMar>
            <w:vAlign w:val="top"/>
          </w:tcPr>
          <w:p>
            <w:pPr>
              <w:spacing w:after="0" w:line="240" w:lineRule="auto"/>
            </w:pPr>
            <w:r>
              <w:rPr>
                <w:rFonts w:ascii="Lato" w:hAnsi="Lato"/>
                <w:color w:val="3F4A54"/>
                <w:sz w:val="16"/>
              </w:rPr>
              <w:t>Duplicate, split, backdated, missing approval, post-close</w:t>
            </w:r>
          </w:p>
        </w:tc>
        <w:tc>
          <w:tcPr>
            <w:tcW w:type="dxa" w:w="1440"/>
            <w:tcMar>
              <w:top w:w="60" w:type="dxa"/>
              <w:start w:w="70" w:type="dxa"/>
              <w:bottom w:w="60" w:type="dxa"/>
              <w:end w:w="70" w:type="dxa"/>
            </w:tcMar>
            <w:vAlign w:val="top"/>
          </w:tcPr>
          <w:p>
            <w:pPr>
              <w:spacing w:after="0" w:line="240" w:lineRule="auto"/>
            </w:pPr>
            <w:r>
              <w:rPr>
                <w:rFonts w:ascii="Lato" w:hAnsi="Lato"/>
                <w:color w:val="3F4A54"/>
                <w:sz w:val="16"/>
              </w:rPr>
              <w:t>25</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6"/>
              </w:rPr>
              <w:t>Behaviour and access risk</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6"/>
              </w:rPr>
              <w:t>Privileged user, segregation conflict, unusual timing, role change</w:t>
            </w:r>
          </w:p>
        </w:tc>
        <w:tc>
          <w:tcPr>
            <w:tcW w:type="dxa" w:w="1440"/>
            <w:tcMar>
              <w:top w:w="60" w:type="dxa"/>
              <w:start w:w="70" w:type="dxa"/>
              <w:bottom w:w="60" w:type="dxa"/>
              <w:end w:w="70" w:type="dxa"/>
            </w:tcMar>
            <w:shd w:fill="FAFBFC"/>
            <w:vAlign w:val="top"/>
          </w:tcPr>
          <w:p>
            <w:pPr>
              <w:spacing w:after="0" w:line="240" w:lineRule="auto"/>
            </w:pPr>
            <w:r>
              <w:rPr>
                <w:rFonts w:ascii="Lato" w:hAnsi="Lato"/>
                <w:color w:val="3F4A54"/>
                <w:sz w:val="16"/>
              </w:rPr>
              <w:t>15</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6"/>
              </w:rPr>
              <w:t>Statistical risk</w:t>
            </w:r>
          </w:p>
        </w:tc>
        <w:tc>
          <w:tcPr>
            <w:tcW w:type="dxa" w:w="5688"/>
            <w:tcMar>
              <w:top w:w="60" w:type="dxa"/>
              <w:start w:w="70" w:type="dxa"/>
              <w:bottom w:w="60" w:type="dxa"/>
              <w:end w:w="70" w:type="dxa"/>
            </w:tcMar>
            <w:vAlign w:val="top"/>
          </w:tcPr>
          <w:p>
            <w:pPr>
              <w:spacing w:after="0" w:line="240" w:lineRule="auto"/>
            </w:pPr>
            <w:r>
              <w:rPr>
                <w:rFonts w:ascii="Lato" w:hAnsi="Lato"/>
                <w:color w:val="3F4A54"/>
                <w:sz w:val="16"/>
              </w:rPr>
              <w:t>Benford, frequency, trend, ratio and peer anomalies</w:t>
            </w:r>
          </w:p>
        </w:tc>
        <w:tc>
          <w:tcPr>
            <w:tcW w:type="dxa" w:w="1440"/>
            <w:tcMar>
              <w:top w:w="60" w:type="dxa"/>
              <w:start w:w="70" w:type="dxa"/>
              <w:bottom w:w="60" w:type="dxa"/>
              <w:end w:w="70" w:type="dxa"/>
            </w:tcMar>
            <w:vAlign w:val="top"/>
          </w:tcPr>
          <w:p>
            <w:pPr>
              <w:spacing w:after="0" w:line="240" w:lineRule="auto"/>
            </w:pPr>
            <w:r>
              <w:rPr>
                <w:rFonts w:ascii="Lato" w:hAnsi="Lato"/>
                <w:color w:val="3F4A54"/>
                <w:sz w:val="16"/>
              </w:rPr>
              <w:t>10</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6"/>
              </w:rPr>
              <w:t>Relationship risk</w:t>
            </w:r>
          </w:p>
        </w:tc>
        <w:tc>
          <w:tcPr>
            <w:tcW w:type="dxa" w:w="5688"/>
            <w:tcMar>
              <w:top w:w="60" w:type="dxa"/>
              <w:start w:w="70" w:type="dxa"/>
              <w:bottom w:w="60" w:type="dxa"/>
              <w:end w:w="70" w:type="dxa"/>
            </w:tcMar>
            <w:shd w:fill="FAFBFC"/>
            <w:vAlign w:val="top"/>
          </w:tcPr>
          <w:p>
            <w:pPr>
              <w:spacing w:after="0" w:line="240" w:lineRule="auto"/>
            </w:pPr>
            <w:r>
              <w:rPr>
                <w:rFonts w:ascii="Lato" w:hAnsi="Lato"/>
                <w:color w:val="3F4A54"/>
                <w:sz w:val="16"/>
              </w:rPr>
              <w:t>Shared bank account, linked vendors, related users or entities</w:t>
            </w:r>
          </w:p>
        </w:tc>
        <w:tc>
          <w:tcPr>
            <w:tcW w:type="dxa" w:w="1440"/>
            <w:tcMar>
              <w:top w:w="60" w:type="dxa"/>
              <w:start w:w="70" w:type="dxa"/>
              <w:bottom w:w="60" w:type="dxa"/>
              <w:end w:w="70" w:type="dxa"/>
            </w:tcMar>
            <w:shd w:fill="FAFBFC"/>
            <w:vAlign w:val="top"/>
          </w:tcPr>
          <w:p>
            <w:pPr>
              <w:spacing w:after="0" w:line="240" w:lineRule="auto"/>
            </w:pPr>
            <w:r>
              <w:rPr>
                <w:rFonts w:ascii="Lato" w:hAnsi="Lato"/>
                <w:color w:val="3F4A54"/>
                <w:sz w:val="16"/>
              </w:rPr>
              <w:t>15</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6"/>
              </w:rPr>
              <w:t>Evidence risk</w:t>
            </w:r>
          </w:p>
        </w:tc>
        <w:tc>
          <w:tcPr>
            <w:tcW w:type="dxa" w:w="5688"/>
            <w:tcMar>
              <w:top w:w="60" w:type="dxa"/>
              <w:start w:w="70" w:type="dxa"/>
              <w:bottom w:w="60" w:type="dxa"/>
              <w:end w:w="70" w:type="dxa"/>
            </w:tcMar>
            <w:vAlign w:val="top"/>
          </w:tcPr>
          <w:p>
            <w:pPr>
              <w:spacing w:after="0" w:line="240" w:lineRule="auto"/>
            </w:pPr>
            <w:r>
              <w:rPr>
                <w:rFonts w:ascii="Lato" w:hAnsi="Lato"/>
                <w:color w:val="3F4A54"/>
                <w:sz w:val="16"/>
              </w:rPr>
              <w:t>Missing, inconsistent, altered or insufficient supporting records</w:t>
            </w:r>
          </w:p>
        </w:tc>
        <w:tc>
          <w:tcPr>
            <w:tcW w:type="dxa" w:w="1440"/>
            <w:tcMar>
              <w:top w:w="60" w:type="dxa"/>
              <w:start w:w="70" w:type="dxa"/>
              <w:bottom w:w="60" w:type="dxa"/>
              <w:end w:w="70" w:type="dxa"/>
            </w:tcMar>
            <w:vAlign w:val="top"/>
          </w:tcPr>
          <w:p>
            <w:pPr>
              <w:spacing w:after="0" w:line="240" w:lineRule="auto"/>
            </w:pPr>
            <w:r>
              <w:rPr>
                <w:rFonts w:ascii="Lato" w:hAnsi="Lato"/>
                <w:color w:val="3F4A54"/>
                <w:sz w:val="16"/>
              </w:rPr>
              <w:t>10</w:t>
            </w:r>
          </w:p>
        </w:tc>
      </w:tr>
    </w:tbl>
    <w:p>
      <w:pPr>
        <w:widowControl/>
        <w:spacing w:after="0"/>
      </w:pPr>
    </w:p>
    <w:p>
      <w:pPr>
        <w:widowControl/>
        <w:spacing w:after="80" w:line="259" w:lineRule="auto"/>
      </w:pPr>
      <w:r>
        <w:rPr>
          <w:rFonts w:ascii="Lato" w:hAnsi="Lato"/>
          <w:i w:val="0"/>
          <w:color w:val="3F4A54"/>
          <w:sz w:val="20"/>
        </w:rPr>
        <w:t>The values above are a starting design, not a final risk model. The audit-methodology owner must approve weights, caps and interaction rules. A single weak signal should not dominate the score.</w:t>
      </w:r>
    </w:p>
    <w:p>
      <w:pPr>
        <w:pStyle w:val="Heading2"/>
        <w:keepNext/>
        <w:pageBreakBefore w:val="0"/>
        <w:widowControl/>
        <w:spacing w:before="140" w:after="60"/>
      </w:pPr>
      <w:r>
        <w:rPr>
          <w:rFonts w:ascii="Lato" w:hAnsi="Lato"/>
          <w:b/>
          <w:color w:val="0F766E"/>
          <w:sz w:val="26"/>
        </w:rPr>
        <w:t>17.2 Case consolidation</w:t>
      </w:r>
    </w:p>
    <w:p>
      <w:pPr>
        <w:widowControl/>
        <w:spacing w:after="80" w:line="259" w:lineRule="auto"/>
      </w:pPr>
      <w:r>
        <w:rPr>
          <w:rFonts w:ascii="Lato" w:hAnsi="Lato"/>
          <w:i w:val="0"/>
          <w:color w:val="3F4A54"/>
          <w:sz w:val="20"/>
        </w:rPr>
        <w:t>The product should combine related flags into one case. For example, a new vendor, shared bank account, duplicate invoice, post-close journal and missing document may all represent the same underlying event. Showing five separate alerts would waste audit time and hide the full story.</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RSK-001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show the facts and rules contributing to every review-priority score.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A user can understand the score without hidden model logic.</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RSK-002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system shall consolidate related alerts using transaction, vendor, user, account, time and document relationships.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Duplicate cases are reduced and linked facts remain visible.</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RSK-003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methodology owner shall configure weights, thresholds and escalation rules by engagement type.</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Changes are versioned and do not silently alter signed work.</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RSK-004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A reviewer shall be able to change priority without changing the underlying rule result.</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reason and reviewer are logged.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RSK-005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distinguish estimated exposure, confirmed misstatement and recovered amount.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Reports do not mix these measures.</w:t>
            </w:r>
          </w:p>
        </w:tc>
      </w:tr>
    </w:tbl>
    <w:p>
      <w:pPr>
        <w:widowControl/>
        <w:spacing w:after="0"/>
      </w:pPr>
    </w:p>
    <w:p>
      <w:pPr>
        <w:pStyle w:val="Heading1"/>
        <w:keepNext/>
        <w:pageBreakBefore w:val="0"/>
        <w:widowControl/>
        <w:spacing w:before="240" w:after="100"/>
      </w:pPr>
      <w:r>
        <w:rPr>
          <w:rFonts w:ascii="Lato" w:hAnsi="Lato"/>
          <w:b/>
          <w:color w:val="17324D"/>
          <w:sz w:val="34"/>
        </w:rPr>
        <w:t>18. Dashboards, reports and notifications</w:t>
      </w:r>
    </w:p>
    <w:p>
      <w:pPr>
        <w:pStyle w:val="Heading2"/>
        <w:keepNext/>
        <w:pageBreakBefore w:val="0"/>
        <w:widowControl/>
        <w:spacing w:before="140" w:after="60"/>
      </w:pPr>
      <w:r>
        <w:rPr>
          <w:rFonts w:ascii="Lato" w:hAnsi="Lato"/>
          <w:b/>
          <w:color w:val="0F766E"/>
          <w:sz w:val="26"/>
        </w:rPr>
        <w:t>18.1 Core screens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736"/>
            <w:shd w:fill="0F766E"/>
            <w:tcMar>
              <w:top w:w="70" w:type="dxa"/>
              <w:start w:w="70" w:type="dxa"/>
              <w:bottom w:w="70" w:type="dxa"/>
              <w:end w:w="70" w:type="dxa"/>
            </w:tcMar>
          </w:tcPr>
          <w:p>
            <w:pPr>
              <w:jc w:val="left"/>
            </w:pPr>
            <w:r>
              <w:rPr>
                <w:rFonts w:ascii="Lato" w:hAnsi="Lato"/>
                <w:b/>
                <w:color w:val="FFFFFF"/>
                <w:sz w:val="17"/>
              </w:rPr>
              <w:t>Screen</w:t>
            </w:r>
          </w:p>
        </w:tc>
        <w:tc>
          <w:tcPr>
            <w:tcW w:type="dxa" w:w="6624"/>
            <w:shd w:fill="0F766E"/>
            <w:tcMar>
              <w:top w:w="70" w:type="dxa"/>
              <w:start w:w="70" w:type="dxa"/>
              <w:bottom w:w="70" w:type="dxa"/>
              <w:end w:w="70" w:type="dxa"/>
            </w:tcMar>
          </w:tcPr>
          <w:p>
            <w:pPr>
              <w:jc w:val="left"/>
            </w:pPr>
            <w:r>
              <w:rPr>
                <w:rFonts w:ascii="Lato" w:hAnsi="Lato"/>
                <w:b/>
                <w:color w:val="FFFFFF"/>
                <w:sz w:val="17"/>
              </w:rPr>
              <w:t>What it must answer</w:t>
            </w:r>
          </w:p>
        </w:tc>
      </w:tr>
      <w:tr>
        <w:trPr>
          <w:cantSplit/>
        </w:trPr>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7"/>
              </w:rPr>
              <w:t>Firm portfolio dashboard</w:t>
            </w:r>
          </w:p>
        </w:tc>
        <w:tc>
          <w:tcPr>
            <w:tcW w:type="dxa" w:w="6624"/>
            <w:tcMar>
              <w:top w:w="60" w:type="dxa"/>
              <w:start w:w="70" w:type="dxa"/>
              <w:bottom w:w="60" w:type="dxa"/>
              <w:end w:w="70" w:type="dxa"/>
            </w:tcMar>
            <w:shd w:fill="FAFBFC"/>
            <w:vAlign w:val="top"/>
          </w:tcPr>
          <w:p>
            <w:pPr>
              <w:spacing w:after="0" w:line="240" w:lineRule="auto"/>
            </w:pPr>
            <w:r>
              <w:rPr>
                <w:rFonts w:ascii="Lato" w:hAnsi="Lato"/>
                <w:color w:val="3F4A54"/>
                <w:sz w:val="17"/>
              </w:rPr>
              <w:t>Which clients and engagements have high-risk open items, overdue evidence or incomplete sign-off?</w:t>
            </w:r>
          </w:p>
        </w:tc>
      </w:tr>
      <w:tr>
        <w:trPr>
          <w:cantSplit/>
        </w:trPr>
        <w:tc>
          <w:tcPr>
            <w:tcW w:type="dxa" w:w="2736"/>
            <w:tcMar>
              <w:top w:w="60" w:type="dxa"/>
              <w:start w:w="70" w:type="dxa"/>
              <w:bottom w:w="60" w:type="dxa"/>
              <w:end w:w="70" w:type="dxa"/>
            </w:tcMar>
            <w:vAlign w:val="top"/>
          </w:tcPr>
          <w:p>
            <w:pPr>
              <w:spacing w:after="0" w:line="240" w:lineRule="auto"/>
            </w:pPr>
            <w:r>
              <w:rPr>
                <w:rFonts w:ascii="Lato" w:hAnsi="Lato"/>
                <w:color w:val="3F4A54"/>
                <w:sz w:val="17"/>
              </w:rPr>
              <w:t>Engagement dashboard</w:t>
            </w:r>
          </w:p>
        </w:tc>
        <w:tc>
          <w:tcPr>
            <w:tcW w:type="dxa" w:w="6624"/>
            <w:tcMar>
              <w:top w:w="60" w:type="dxa"/>
              <w:start w:w="70" w:type="dxa"/>
              <w:bottom w:w="60" w:type="dxa"/>
              <w:end w:w="70" w:type="dxa"/>
            </w:tcMar>
            <w:vAlign w:val="top"/>
          </w:tcPr>
          <w:p>
            <w:pPr>
              <w:spacing w:after="0" w:line="240" w:lineRule="auto"/>
            </w:pPr>
            <w:r>
              <w:rPr>
                <w:rFonts w:ascii="Lato" w:hAnsi="Lato"/>
                <w:color w:val="3F4A54"/>
                <w:sz w:val="17"/>
              </w:rPr>
              <w:t>Is data complete, which modules are run, what remains unresolved and what is the estimated exposure?</w:t>
            </w:r>
          </w:p>
        </w:tc>
      </w:tr>
      <w:tr>
        <w:trPr>
          <w:cantSplit/>
        </w:trPr>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7"/>
              </w:rPr>
              <w:t>Risk explorer</w:t>
            </w:r>
          </w:p>
        </w:tc>
        <w:tc>
          <w:tcPr>
            <w:tcW w:type="dxa" w:w="6624"/>
            <w:tcMar>
              <w:top w:w="60" w:type="dxa"/>
              <w:start w:w="70" w:type="dxa"/>
              <w:bottom w:w="60" w:type="dxa"/>
              <w:end w:w="70" w:type="dxa"/>
            </w:tcMar>
            <w:shd w:fill="FAFBFC"/>
            <w:vAlign w:val="top"/>
          </w:tcPr>
          <w:p>
            <w:pPr>
              <w:spacing w:after="0" w:line="240" w:lineRule="auto"/>
            </w:pPr>
            <w:r>
              <w:rPr>
                <w:rFonts w:ascii="Lato" w:hAnsi="Lato"/>
                <w:color w:val="3F4A54"/>
                <w:sz w:val="17"/>
              </w:rPr>
              <w:t>Which transactions, vendors, users, accounts and periods drive risk?</w:t>
            </w:r>
          </w:p>
        </w:tc>
      </w:tr>
      <w:tr>
        <w:trPr>
          <w:cantSplit/>
        </w:trPr>
        <w:tc>
          <w:tcPr>
            <w:tcW w:type="dxa" w:w="2736"/>
            <w:tcMar>
              <w:top w:w="60" w:type="dxa"/>
              <w:start w:w="70" w:type="dxa"/>
              <w:bottom w:w="60" w:type="dxa"/>
              <w:end w:w="70" w:type="dxa"/>
            </w:tcMar>
            <w:vAlign w:val="top"/>
          </w:tcPr>
          <w:p>
            <w:pPr>
              <w:spacing w:after="0" w:line="240" w:lineRule="auto"/>
            </w:pPr>
            <w:r>
              <w:rPr>
                <w:rFonts w:ascii="Lato" w:hAnsi="Lato"/>
                <w:color w:val="3F4A54"/>
                <w:sz w:val="17"/>
              </w:rPr>
              <w:t>GST filing-readiness dashboard</w:t>
            </w:r>
          </w:p>
        </w:tc>
        <w:tc>
          <w:tcPr>
            <w:tcW w:type="dxa" w:w="6624"/>
            <w:tcMar>
              <w:top w:w="60" w:type="dxa"/>
              <w:start w:w="70" w:type="dxa"/>
              <w:bottom w:w="60" w:type="dxa"/>
              <w:end w:w="70" w:type="dxa"/>
            </w:tcMar>
            <w:vAlign w:val="top"/>
          </w:tcPr>
          <w:p>
            <w:pPr>
              <w:spacing w:after="0" w:line="240" w:lineRule="auto"/>
            </w:pPr>
            <w:r>
              <w:rPr>
                <w:rFonts w:ascii="Lato" w:hAnsi="Lato"/>
                <w:color w:val="3F4A54"/>
                <w:sz w:val="17"/>
              </w:rPr>
              <w:t>What matches, what differs, what requires correction and who owns the action?</w:t>
            </w:r>
          </w:p>
        </w:tc>
      </w:tr>
      <w:tr>
        <w:trPr>
          <w:cantSplit/>
        </w:trPr>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7"/>
              </w:rPr>
              <w:t>Exception case page</w:t>
            </w:r>
          </w:p>
        </w:tc>
        <w:tc>
          <w:tcPr>
            <w:tcW w:type="dxa" w:w="6624"/>
            <w:tcMar>
              <w:top w:w="60" w:type="dxa"/>
              <w:start w:w="70" w:type="dxa"/>
              <w:bottom w:w="60" w:type="dxa"/>
              <w:end w:w="70" w:type="dxa"/>
            </w:tcMar>
            <w:shd w:fill="FAFBFC"/>
            <w:vAlign w:val="top"/>
          </w:tcPr>
          <w:p>
            <w:pPr>
              <w:spacing w:after="0" w:line="240" w:lineRule="auto"/>
            </w:pPr>
            <w:r>
              <w:rPr>
                <w:rFonts w:ascii="Lato" w:hAnsi="Lato"/>
                <w:color w:val="3F4A54"/>
                <w:sz w:val="17"/>
              </w:rPr>
              <w:t>Why was it flagged, what evidence exists, what is the decision and who reviewed it?</w:t>
            </w:r>
          </w:p>
        </w:tc>
      </w:tr>
      <w:tr>
        <w:trPr>
          <w:cantSplit/>
        </w:trPr>
        <w:tc>
          <w:tcPr>
            <w:tcW w:type="dxa" w:w="2736"/>
            <w:tcMar>
              <w:top w:w="60" w:type="dxa"/>
              <w:start w:w="70" w:type="dxa"/>
              <w:bottom w:w="60" w:type="dxa"/>
              <w:end w:w="70" w:type="dxa"/>
            </w:tcMar>
            <w:vAlign w:val="top"/>
          </w:tcPr>
          <w:p>
            <w:pPr>
              <w:spacing w:after="0" w:line="240" w:lineRule="auto"/>
            </w:pPr>
            <w:r>
              <w:rPr>
                <w:rFonts w:ascii="Lato" w:hAnsi="Lato"/>
                <w:color w:val="3F4A54"/>
                <w:sz w:val="17"/>
              </w:rPr>
              <w:t>Evidence room</w:t>
            </w:r>
          </w:p>
        </w:tc>
        <w:tc>
          <w:tcPr>
            <w:tcW w:type="dxa" w:w="6624"/>
            <w:tcMar>
              <w:top w:w="60" w:type="dxa"/>
              <w:start w:w="70" w:type="dxa"/>
              <w:bottom w:w="60" w:type="dxa"/>
              <w:end w:w="70" w:type="dxa"/>
            </w:tcMar>
            <w:vAlign w:val="top"/>
          </w:tcPr>
          <w:p>
            <w:pPr>
              <w:spacing w:after="0" w:line="240" w:lineRule="auto"/>
            </w:pPr>
            <w:r>
              <w:rPr>
                <w:rFonts w:ascii="Lato" w:hAnsi="Lato"/>
                <w:color w:val="3F4A54"/>
                <w:sz w:val="17"/>
              </w:rPr>
              <w:t>Which documents are requested, received, rejected, overdue or accepted?</w:t>
            </w:r>
          </w:p>
        </w:tc>
      </w:tr>
      <w:tr>
        <w:trPr>
          <w:cantSplit/>
        </w:trPr>
        <w:tc>
          <w:tcPr>
            <w:tcW w:type="dxa" w:w="2736"/>
            <w:tcMar>
              <w:top w:w="60" w:type="dxa"/>
              <w:start w:w="70" w:type="dxa"/>
              <w:bottom w:w="60" w:type="dxa"/>
              <w:end w:w="70" w:type="dxa"/>
            </w:tcMar>
            <w:shd w:fill="FAFBFC"/>
            <w:vAlign w:val="top"/>
          </w:tcPr>
          <w:p>
            <w:pPr>
              <w:spacing w:after="0" w:line="240" w:lineRule="auto"/>
            </w:pPr>
            <w:r>
              <w:rPr>
                <w:rFonts w:ascii="Lato" w:hAnsi="Lato"/>
                <w:color w:val="3F4A54"/>
                <w:sz w:val="17"/>
              </w:rPr>
              <w:t>Workpaper centre</w:t>
            </w:r>
          </w:p>
        </w:tc>
        <w:tc>
          <w:tcPr>
            <w:tcW w:type="dxa" w:w="6624"/>
            <w:tcMar>
              <w:top w:w="60" w:type="dxa"/>
              <w:start w:w="70" w:type="dxa"/>
              <w:bottom w:w="60" w:type="dxa"/>
              <w:end w:w="70" w:type="dxa"/>
            </w:tcMar>
            <w:shd w:fill="FAFBFC"/>
            <w:vAlign w:val="top"/>
          </w:tcPr>
          <w:p>
            <w:pPr>
              <w:spacing w:after="0" w:line="240" w:lineRule="auto"/>
            </w:pPr>
            <w:r>
              <w:rPr>
                <w:rFonts w:ascii="Lato" w:hAnsi="Lato"/>
                <w:color w:val="3F4A54"/>
                <w:sz w:val="17"/>
              </w:rPr>
              <w:t>Which workpapers are draft, prepared, reviewed, signed or reopened?</w:t>
            </w:r>
          </w:p>
        </w:tc>
      </w:tr>
      <w:tr>
        <w:trPr>
          <w:cantSplit/>
        </w:trPr>
        <w:tc>
          <w:tcPr>
            <w:tcW w:type="dxa" w:w="2736"/>
            <w:tcMar>
              <w:top w:w="60" w:type="dxa"/>
              <w:start w:w="70" w:type="dxa"/>
              <w:bottom w:w="60" w:type="dxa"/>
              <w:end w:w="70" w:type="dxa"/>
            </w:tcMar>
            <w:vAlign w:val="top"/>
          </w:tcPr>
          <w:p>
            <w:pPr>
              <w:spacing w:after="0" w:line="240" w:lineRule="auto"/>
            </w:pPr>
            <w:r>
              <w:rPr>
                <w:rFonts w:ascii="Lato" w:hAnsi="Lato"/>
                <w:color w:val="3F4A54"/>
                <w:sz w:val="17"/>
              </w:rPr>
              <w:t>Methodology administration</w:t>
            </w:r>
          </w:p>
        </w:tc>
        <w:tc>
          <w:tcPr>
            <w:tcW w:type="dxa" w:w="6624"/>
            <w:tcMar>
              <w:top w:w="60" w:type="dxa"/>
              <w:start w:w="70" w:type="dxa"/>
              <w:bottom w:w="60" w:type="dxa"/>
              <w:end w:w="70" w:type="dxa"/>
            </w:tcMar>
            <w:vAlign w:val="top"/>
          </w:tcPr>
          <w:p>
            <w:pPr>
              <w:spacing w:after="0" w:line="240" w:lineRule="auto"/>
            </w:pPr>
            <w:r>
              <w:rPr>
                <w:rFonts w:ascii="Lato" w:hAnsi="Lato"/>
                <w:color w:val="3F4A54"/>
                <w:sz w:val="17"/>
              </w:rPr>
              <w:t>Which rules, thresholds, templates and versions are approved?</w:t>
            </w:r>
          </w:p>
        </w:tc>
      </w:tr>
    </w:tbl>
    <w:p>
      <w:pPr>
        <w:widowControl/>
        <w:spacing w:after="0"/>
      </w:pPr>
    </w:p>
    <w:p>
      <w:pPr>
        <w:pStyle w:val="Heading2"/>
        <w:keepNext/>
        <w:pageBreakBefore w:val="0"/>
        <w:widowControl/>
        <w:spacing w:before="140" w:after="60"/>
      </w:pPr>
      <w:r>
        <w:rPr>
          <w:rFonts w:ascii="Lato" w:hAnsi="Lato"/>
          <w:b/>
          <w:color w:val="0F766E"/>
          <w:sz w:val="26"/>
        </w:rPr>
        <w:t>18.2 Required reports</w:t>
      </w:r>
    </w:p>
    <w:p>
      <w:pPr>
        <w:pStyle w:val="ListBullet"/>
        <w:widowControl/>
        <w:spacing w:after="30" w:line="247" w:lineRule="auto"/>
        <w:ind w:left="288" w:hanging="173"/>
      </w:pPr>
      <w:r>
        <w:rPr>
          <w:rFonts w:ascii="Lato" w:hAnsi="Lato"/>
          <w:color w:val="3F4A54"/>
          <w:sz w:val="19"/>
        </w:rPr>
        <w:t>Executive risk summary by entity, branch, module and issue type.</w:t>
      </w:r>
    </w:p>
    <w:p>
      <w:pPr>
        <w:pStyle w:val="ListBullet"/>
        <w:widowControl/>
        <w:spacing w:after="30" w:line="247" w:lineRule="auto"/>
        <w:ind w:left="288" w:hanging="173"/>
      </w:pPr>
      <w:r>
        <w:rPr>
          <w:rFonts w:ascii="Lato" w:hAnsi="Lato"/>
          <w:color w:val="3F4A54"/>
          <w:sz w:val="19"/>
        </w:rPr>
        <w:t>Journal-entry testing report and selected sample schedule.</w:t>
      </w:r>
    </w:p>
    <w:p>
      <w:pPr>
        <w:pStyle w:val="ListBullet"/>
        <w:widowControl/>
        <w:spacing w:after="30" w:line="247" w:lineRule="auto"/>
        <w:ind w:left="288" w:hanging="173"/>
      </w:pPr>
      <w:r>
        <w:rPr>
          <w:rFonts w:ascii="Lato" w:hAnsi="Lato"/>
          <w:color w:val="3F4A54"/>
          <w:sz w:val="19"/>
        </w:rPr>
        <w:t>GST reconciliation and pre-filing correction schedule.</w:t>
      </w:r>
    </w:p>
    <w:p>
      <w:pPr>
        <w:pStyle w:val="ListBullet"/>
        <w:widowControl/>
        <w:spacing w:after="30" w:line="247" w:lineRule="auto"/>
        <w:ind w:left="288" w:hanging="173"/>
      </w:pPr>
      <w:r>
        <w:rPr>
          <w:rFonts w:ascii="Lato" w:hAnsi="Lato"/>
          <w:color w:val="3F4A54"/>
          <w:sz w:val="19"/>
        </w:rPr>
        <w:t>Vendor/payment anomaly report and related-party/shared-detail schedule.</w:t>
      </w:r>
    </w:p>
    <w:p>
      <w:pPr>
        <w:pStyle w:val="ListBullet"/>
        <w:widowControl/>
        <w:spacing w:after="30" w:line="247" w:lineRule="auto"/>
        <w:ind w:left="288" w:hanging="173"/>
      </w:pPr>
      <w:r>
        <w:rPr>
          <w:rFonts w:ascii="Lato" w:hAnsi="Lato"/>
          <w:color w:val="3F4A54"/>
          <w:sz w:val="19"/>
        </w:rPr>
        <w:t>Bank reconciliation with aged unmatched items.</w:t>
      </w:r>
    </w:p>
    <w:p>
      <w:pPr>
        <w:pStyle w:val="ListBullet"/>
        <w:widowControl/>
        <w:spacing w:after="30" w:line="247" w:lineRule="auto"/>
        <w:ind w:left="288" w:hanging="173"/>
      </w:pPr>
      <w:r>
        <w:rPr>
          <w:rFonts w:ascii="Lato" w:hAnsi="Lato"/>
          <w:color w:val="3F4A54"/>
          <w:sz w:val="19"/>
        </w:rPr>
        <w:t>Period-end and management-override report.</w:t>
      </w:r>
    </w:p>
    <w:p>
      <w:pPr>
        <w:pStyle w:val="ListBullet"/>
        <w:widowControl/>
        <w:spacing w:after="30" w:line="247" w:lineRule="auto"/>
        <w:ind w:left="288" w:hanging="173"/>
      </w:pPr>
      <w:r>
        <w:rPr>
          <w:rFonts w:ascii="Lato" w:hAnsi="Lato"/>
          <w:color w:val="3F4A54"/>
          <w:sz w:val="19"/>
        </w:rPr>
        <w:t>Benford suitability, analysis and contributing-transaction report.</w:t>
      </w:r>
    </w:p>
    <w:p>
      <w:pPr>
        <w:pStyle w:val="ListBullet"/>
        <w:widowControl/>
        <w:spacing w:after="30" w:line="247" w:lineRule="auto"/>
        <w:ind w:left="288" w:hanging="173"/>
      </w:pPr>
      <w:r>
        <w:rPr>
          <w:rFonts w:ascii="Lato" w:hAnsi="Lato"/>
          <w:color w:val="3F4A54"/>
          <w:sz w:val="19"/>
        </w:rPr>
        <w:t>Evidence request and outstanding-document report.</w:t>
      </w:r>
    </w:p>
    <w:p>
      <w:pPr>
        <w:pStyle w:val="ListBullet"/>
        <w:widowControl/>
        <w:spacing w:after="30" w:line="247" w:lineRule="auto"/>
        <w:ind w:left="288" w:hanging="173"/>
      </w:pPr>
      <w:r>
        <w:rPr>
          <w:rFonts w:ascii="Lato" w:hAnsi="Lato"/>
          <w:color w:val="3F4A54"/>
          <w:sz w:val="19"/>
        </w:rPr>
        <w:t>Confirmed exception, unresolved matter and management-action register.</w:t>
      </w:r>
    </w:p>
    <w:p>
      <w:pPr>
        <w:pStyle w:val="ListBullet"/>
        <w:widowControl/>
        <w:spacing w:after="30" w:line="247" w:lineRule="auto"/>
        <w:ind w:left="288" w:hanging="173"/>
      </w:pPr>
      <w:r>
        <w:rPr>
          <w:rFonts w:ascii="Lato" w:hAnsi="Lato"/>
          <w:color w:val="3F4A54"/>
          <w:sz w:val="19"/>
        </w:rPr>
        <w:t>Audit workpaper and source/evidence index.</w:t>
      </w:r>
    </w:p>
    <w:p>
      <w:pPr>
        <w:pStyle w:val="Heading2"/>
        <w:keepNext/>
        <w:pageBreakBefore w:val="0"/>
        <w:widowControl/>
        <w:spacing w:before="140" w:after="60"/>
      </w:pPr>
      <w:r>
        <w:rPr>
          <w:rFonts w:ascii="Lato" w:hAnsi="Lato"/>
          <w:b/>
          <w:color w:val="0F766E"/>
          <w:sz w:val="26"/>
        </w:rPr>
        <w:t>18.3 Notification rules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NFR-001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Notifications shall be role-based and avoid exposing sensitive transaction details in email subject lines.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Email contains a secure link and minimal information.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NFR-002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platform shall notify owners of new high-priority cases, overdue evidence and pending review.</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Users can configure frequency within policy limits.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NFR-003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prevent repetitive alerts for the same unresolved event.</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Digest and escalation logic reduce notification fatigue.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NFR-004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Critical methodology, permission and data-integrity events shall generate administrator alerts.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The event appears in the security/audit log.</w:t>
            </w:r>
          </w:p>
        </w:tc>
      </w:tr>
    </w:tbl>
    <w:p>
      <w:pPr>
        <w:widowControl/>
        <w:spacing w:after="0"/>
      </w:pPr>
    </w:p>
    <w:p>
      <w:pPr>
        <w:pStyle w:val="Heading1"/>
        <w:keepNext/>
        <w:pageBreakBefore w:val="0"/>
        <w:widowControl/>
        <w:spacing w:before="240" w:after="100"/>
      </w:pPr>
      <w:r>
        <w:rPr>
          <w:rFonts w:ascii="Lato" w:hAnsi="Lato"/>
          <w:b/>
          <w:color w:val="17324D"/>
          <w:sz w:val="34"/>
        </w:rPr>
        <w:t>19. Security, privacy and non-functional requirements</w:t>
      </w:r>
    </w:p>
    <w:p>
      <w:pPr>
        <w:pStyle w:val="Heading2"/>
        <w:keepNext/>
        <w:pageBreakBefore w:val="0"/>
        <w:widowControl/>
        <w:spacing w:before="140" w:after="60"/>
      </w:pPr>
      <w:r>
        <w:rPr>
          <w:rFonts w:ascii="Lato" w:hAnsi="Lato"/>
          <w:b/>
          <w:color w:val="0F766E"/>
          <w:sz w:val="26"/>
        </w:rPr>
        <w:t>19.1 Security and privacy</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SEC-001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system shall isolate each CA firm and each client engagement so data cannot cross tenant boundaries.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Independent penetration and access tests confirm isolation.</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SEC-002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All sensitive data shall be encrypted in transit and at rest.</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Approved cryptographic controls are documented and tested.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SEC-003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support multi-factor authentication and role-based access.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Permissions follow least privilege and are periodically reviewable.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SEC-004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Every data import, rule run, view, export, decision, permission change and deletion shall be logged.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Logs are tamper-evident and searchable by authorised users.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SEC-005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Client data shall not be used to train shared AI models without explicit contractual permission.</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Training status and consent are auditable.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SEC-006</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customer shall control retention and secure deletion within legal and professional obligations.</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Deletion produces an auditable completion record.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SEC-007</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Support access to client data shall be controlled, time-bound and logged.</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The customer can review support-access history.</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SEC-008</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Exports shall support watermarking or classification labels where configured.</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Sensitive reports can be traced to engagement and exporter.</w:t>
            </w:r>
          </w:p>
        </w:tc>
      </w:tr>
    </w:tbl>
    <w:p>
      <w:pPr>
        <w:widowControl/>
        <w:spacing w:after="0"/>
      </w:pPr>
    </w:p>
    <w:p>
      <w:pPr>
        <w:pStyle w:val="Heading2"/>
        <w:keepNext/>
        <w:pageBreakBefore w:val="0"/>
        <w:widowControl/>
        <w:spacing w:before="140" w:after="60"/>
      </w:pPr>
      <w:r>
        <w:rPr>
          <w:rFonts w:ascii="Lato" w:hAnsi="Lato"/>
          <w:b/>
          <w:color w:val="0F766E"/>
          <w:sz w:val="26"/>
        </w:rPr>
        <w:t>19.2 Performance and reliability</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232"/>
            <w:shd w:fill="17324D"/>
            <w:tcMar>
              <w:top w:w="70" w:type="dxa"/>
              <w:start w:w="70" w:type="dxa"/>
              <w:bottom w:w="70" w:type="dxa"/>
              <w:end w:w="70" w:type="dxa"/>
            </w:tcMar>
          </w:tcPr>
          <w:p>
            <w:pPr>
              <w:jc w:val="left"/>
            </w:pPr>
            <w:r>
              <w:rPr>
                <w:rFonts w:ascii="Lato" w:hAnsi="Lato"/>
                <w:b/>
                <w:color w:val="FFFFFF"/>
                <w:sz w:val="17"/>
              </w:rPr>
              <w:t>Requirement area</w:t>
            </w:r>
          </w:p>
        </w:tc>
        <w:tc>
          <w:tcPr>
            <w:tcW w:type="dxa" w:w="7128"/>
            <w:shd w:fill="17324D"/>
            <w:tcMar>
              <w:top w:w="70" w:type="dxa"/>
              <w:start w:w="70" w:type="dxa"/>
              <w:bottom w:w="70" w:type="dxa"/>
              <w:end w:w="70" w:type="dxa"/>
            </w:tcMar>
          </w:tcPr>
          <w:p>
            <w:pPr>
              <w:jc w:val="left"/>
            </w:pPr>
            <w:r>
              <w:rPr>
                <w:rFonts w:ascii="Lato" w:hAnsi="Lato"/>
                <w:b/>
                <w:color w:val="FFFFFF"/>
                <w:sz w:val="17"/>
              </w:rPr>
              <w:t>Initial business target</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Import capacity</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Handle at least 1 million journal lines per engagement in the MVP design; scale targets to be validated with pilots.</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Time to first results</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Produce data-quality results quickly after upload and core analysis within a commercially acceptable engagement window.</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Availability</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Target business-hours reliability for MVP, with enterprise service levels in later editions.</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Recoverability</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Encrypted backups, tested restore procedures and documented recovery objectives.</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Reproducibility</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Same source snapshot plus same methodology version produces the same result.</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Explainability</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Every case exposes rule, source records, calculation and reviewer history.</w:t>
            </w:r>
          </w:p>
        </w:tc>
      </w:tr>
      <w:tr>
        <w:trPr>
          <w:cantSplit/>
        </w:trPr>
        <w:tc>
          <w:tcPr>
            <w:tcW w:type="dxa" w:w="2232"/>
            <w:tcMar>
              <w:top w:w="60" w:type="dxa"/>
              <w:start w:w="70" w:type="dxa"/>
              <w:bottom w:w="60" w:type="dxa"/>
              <w:end w:w="70" w:type="dxa"/>
            </w:tcMar>
            <w:shd w:fill="FAFBFC"/>
            <w:vAlign w:val="top"/>
          </w:tcPr>
          <w:p>
            <w:pPr>
              <w:spacing w:after="0" w:line="240" w:lineRule="auto"/>
            </w:pPr>
            <w:r>
              <w:rPr>
                <w:rFonts w:ascii="Lato" w:hAnsi="Lato"/>
                <w:color w:val="3F4A54"/>
                <w:sz w:val="17"/>
              </w:rPr>
              <w:t>Accessibility</w:t>
            </w:r>
          </w:p>
        </w:tc>
        <w:tc>
          <w:tcPr>
            <w:tcW w:type="dxa" w:w="7128"/>
            <w:tcMar>
              <w:top w:w="60" w:type="dxa"/>
              <w:start w:w="70" w:type="dxa"/>
              <w:bottom w:w="60" w:type="dxa"/>
              <w:end w:w="70" w:type="dxa"/>
            </w:tcMar>
            <w:shd w:fill="FAFBFC"/>
            <w:vAlign w:val="top"/>
          </w:tcPr>
          <w:p>
            <w:pPr>
              <w:spacing w:after="0" w:line="240" w:lineRule="auto"/>
            </w:pPr>
            <w:r>
              <w:rPr>
                <w:rFonts w:ascii="Lato" w:hAnsi="Lato"/>
                <w:color w:val="3F4A54"/>
                <w:sz w:val="17"/>
              </w:rPr>
              <w:t>Reports do not depend only on colour; tables and labels support different users.</w:t>
            </w:r>
          </w:p>
        </w:tc>
      </w:tr>
      <w:tr>
        <w:trPr>
          <w:cantSplit/>
        </w:trPr>
        <w:tc>
          <w:tcPr>
            <w:tcW w:type="dxa" w:w="2232"/>
            <w:tcMar>
              <w:top w:w="60" w:type="dxa"/>
              <w:start w:w="70" w:type="dxa"/>
              <w:bottom w:w="60" w:type="dxa"/>
              <w:end w:w="70" w:type="dxa"/>
            </w:tcMar>
            <w:vAlign w:val="top"/>
          </w:tcPr>
          <w:p>
            <w:pPr>
              <w:spacing w:after="0" w:line="240" w:lineRule="auto"/>
            </w:pPr>
            <w:r>
              <w:rPr>
                <w:rFonts w:ascii="Lato" w:hAnsi="Lato"/>
                <w:color w:val="3F4A54"/>
                <w:sz w:val="17"/>
              </w:rPr>
              <w:t>Browser support</w:t>
            </w:r>
          </w:p>
        </w:tc>
        <w:tc>
          <w:tcPr>
            <w:tcW w:type="dxa" w:w="7128"/>
            <w:tcMar>
              <w:top w:w="60" w:type="dxa"/>
              <w:start w:w="70" w:type="dxa"/>
              <w:bottom w:w="60" w:type="dxa"/>
              <w:end w:w="70" w:type="dxa"/>
            </w:tcMar>
            <w:vAlign w:val="top"/>
          </w:tcPr>
          <w:p>
            <w:pPr>
              <w:spacing w:after="0" w:line="240" w:lineRule="auto"/>
            </w:pPr>
            <w:r>
              <w:rPr>
                <w:rFonts w:ascii="Lato" w:hAnsi="Lato"/>
                <w:color w:val="3F4A54"/>
                <w:sz w:val="17"/>
              </w:rPr>
              <w:t>Current major desktop browsers, with responsive client evidence portal.</w:t>
            </w:r>
          </w:p>
        </w:tc>
      </w:tr>
    </w:tbl>
    <w:p>
      <w:pPr>
        <w:widowControl/>
        <w:spacing w:after="0"/>
      </w:pPr>
    </w:p>
    <w:p>
      <w:pPr>
        <w:pStyle w:val="Heading2"/>
        <w:keepNext/>
        <w:pageBreakBefore w:val="0"/>
        <w:widowControl/>
        <w:spacing w:before="140" w:after="60"/>
      </w:pPr>
      <w:r>
        <w:rPr>
          <w:rFonts w:ascii="Lato" w:hAnsi="Lato"/>
          <w:b/>
          <w:color w:val="0F766E"/>
          <w:sz w:val="26"/>
        </w:rPr>
        <w:t>19.3 Data governance</w:t>
      </w:r>
    </w:p>
    <w:p>
      <w:pPr>
        <w:pStyle w:val="ListBullet"/>
        <w:widowControl/>
        <w:spacing w:after="30" w:line="247" w:lineRule="auto"/>
        <w:ind w:left="288" w:hanging="173"/>
      </w:pPr>
      <w:r>
        <w:rPr>
          <w:rFonts w:ascii="Lato" w:hAnsi="Lato"/>
          <w:color w:val="3F4A54"/>
          <w:sz w:val="19"/>
        </w:rPr>
        <w:t>Classify raw client data, derived results, evidence, workpapers and system logs separately.</w:t>
      </w:r>
    </w:p>
    <w:p>
      <w:pPr>
        <w:pStyle w:val="ListBullet"/>
        <w:widowControl/>
        <w:spacing w:after="30" w:line="247" w:lineRule="auto"/>
        <w:ind w:left="288" w:hanging="173"/>
      </w:pPr>
      <w:r>
        <w:rPr>
          <w:rFonts w:ascii="Lato" w:hAnsi="Lato"/>
          <w:color w:val="3F4A54"/>
          <w:sz w:val="19"/>
        </w:rPr>
        <w:t>Maintain a source manifest and checksum for every imported file.</w:t>
      </w:r>
    </w:p>
    <w:p>
      <w:pPr>
        <w:pStyle w:val="ListBullet"/>
        <w:widowControl/>
        <w:spacing w:after="30" w:line="247" w:lineRule="auto"/>
        <w:ind w:left="288" w:hanging="173"/>
      </w:pPr>
      <w:r>
        <w:rPr>
          <w:rFonts w:ascii="Lato" w:hAnsi="Lato"/>
          <w:color w:val="3F4A54"/>
          <w:sz w:val="19"/>
        </w:rPr>
        <w:t>Record data owner, authorised purpose, location, retention period and deletion status.</w:t>
      </w:r>
    </w:p>
    <w:p>
      <w:pPr>
        <w:pStyle w:val="ListBullet"/>
        <w:widowControl/>
        <w:spacing w:after="30" w:line="247" w:lineRule="auto"/>
        <w:ind w:left="288" w:hanging="173"/>
      </w:pPr>
      <w:r>
        <w:rPr>
          <w:rFonts w:ascii="Lato" w:hAnsi="Lato"/>
          <w:color w:val="3F4A54"/>
          <w:sz w:val="19"/>
        </w:rPr>
        <w:t>Mask or tokenise personal fields when full values are unnecessary for the test.</w:t>
      </w:r>
    </w:p>
    <w:p>
      <w:pPr>
        <w:pStyle w:val="ListBullet"/>
        <w:widowControl/>
        <w:spacing w:after="30" w:line="247" w:lineRule="auto"/>
        <w:ind w:left="288" w:hanging="173"/>
      </w:pPr>
      <w:r>
        <w:rPr>
          <w:rFonts w:ascii="Lato" w:hAnsi="Lato"/>
          <w:color w:val="3F4A54"/>
          <w:sz w:val="19"/>
        </w:rPr>
        <w:t>Restrict bulk export and log all downloads.</w:t>
      </w:r>
    </w:p>
    <w:p>
      <w:pPr>
        <w:pStyle w:val="ListBullet"/>
        <w:widowControl/>
        <w:spacing w:after="30" w:line="247" w:lineRule="auto"/>
        <w:ind w:left="288" w:hanging="173"/>
      </w:pPr>
      <w:r>
        <w:rPr>
          <w:rFonts w:ascii="Lato" w:hAnsi="Lato"/>
          <w:color w:val="3F4A54"/>
          <w:sz w:val="19"/>
        </w:rPr>
        <w:t>Document all subprocessors and data locations before financial-institution deployment.</w:t>
      </w:r>
    </w:p>
    <w:p>
      <w:pPr>
        <w:pStyle w:val="Heading1"/>
        <w:keepNext/>
        <w:pageBreakBefore w:val="0"/>
        <w:widowControl/>
        <w:spacing w:before="240" w:after="100"/>
      </w:pPr>
      <w:r>
        <w:rPr>
          <w:rFonts w:ascii="Lato" w:hAnsi="Lato"/>
          <w:b/>
          <w:color w:val="17324D"/>
          <w:sz w:val="34"/>
        </w:rPr>
        <w:t>20. AI use and professional safeguards</w:t>
      </w:r>
    </w:p>
    <w:tbl>
      <w:tblPr>
        <w:tblW w:type="auto" w:w="0"/>
        <w:jc w:val="center"/>
        <w:tblLayout w:type="fixed"/>
        <w:tblLook w:firstColumn="1" w:firstRow="1" w:lastColumn="0" w:lastRow="0" w:noHBand="0" w:noVBand="1" w:val="04A0"/>
      </w:tblPr>
      <w:tblGrid>
        <w:gridCol w:w="10086"/>
      </w:tblGrid>
      <w:tr>
        <w:tc>
          <w:tcPr>
            <w:tcW w:type="dxa" w:w="9360"/>
            <w:shd w:fill="F1ECF7"/>
            <w:tcMar>
              <w:top w:w="110" w:type="dxa"/>
              <w:start w:w="150" w:type="dxa"/>
              <w:bottom w:w="110" w:type="dxa"/>
              <w:end w:w="150" w:type="dxa"/>
            </w:tcMar>
            <w:tcBorders>
              <w:top w:val="single" w:sz="2" w:color="F1ECF7"/>
              <w:start w:val="single" w:sz="18" w:color="5B3B7A"/>
              <w:bottom w:val="single" w:sz="2" w:color="F1ECF7"/>
              <w:end w:val="single" w:sz="2" w:color="F1ECF7"/>
            </w:tcBorders>
          </w:tcPr>
          <w:p>
            <w:pPr>
              <w:spacing w:after="40"/>
            </w:pPr>
            <w:r>
              <w:rPr>
                <w:rFonts w:ascii="Lato" w:hAnsi="Lato"/>
                <w:b/>
                <w:color w:val="5B3B7A"/>
                <w:sz w:val="21"/>
              </w:rPr>
              <w:t>Operating principle</w:t>
            </w:r>
          </w:p>
          <w:p>
            <w:pPr>
              <w:spacing w:after="0" w:line="252" w:lineRule="auto"/>
            </w:pPr>
            <w:r>
              <w:rPr>
                <w:rFonts w:ascii="Lato" w:hAnsi="Lato"/>
                <w:color w:val="3F4A54"/>
                <w:sz w:val="19"/>
              </w:rPr>
              <w:t>AI may propose, summarise and explain. Deterministic rules calculate. Authorised professionals decide.</w:t>
            </w:r>
          </w:p>
        </w:tc>
      </w:tr>
    </w:tbl>
    <w:p>
      <w:pPr>
        <w:widowControl/>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4680"/>
            <w:shd w:fill="0F766E"/>
            <w:tcMar>
              <w:top w:w="70" w:type="dxa"/>
              <w:start w:w="70" w:type="dxa"/>
              <w:bottom w:w="70" w:type="dxa"/>
              <w:end w:w="70" w:type="dxa"/>
            </w:tcMar>
          </w:tcPr>
          <w:p>
            <w:pPr>
              <w:jc w:val="left"/>
            </w:pPr>
            <w:r>
              <w:rPr>
                <w:rFonts w:ascii="Lato" w:hAnsi="Lato"/>
                <w:b/>
                <w:color w:val="FFFFFF"/>
                <w:sz w:val="17"/>
              </w:rPr>
              <w:t>AI may assist with</w:t>
            </w:r>
          </w:p>
        </w:tc>
        <w:tc>
          <w:tcPr>
            <w:tcW w:type="dxa" w:w="4680"/>
            <w:shd w:fill="0F766E"/>
            <w:tcMar>
              <w:top w:w="70" w:type="dxa"/>
              <w:start w:w="70" w:type="dxa"/>
              <w:bottom w:w="70" w:type="dxa"/>
              <w:end w:w="70" w:type="dxa"/>
            </w:tcMar>
          </w:tcPr>
          <w:p>
            <w:pPr>
              <w:jc w:val="left"/>
            </w:pPr>
            <w:r>
              <w:rPr>
                <w:rFonts w:ascii="Lato" w:hAnsi="Lato"/>
                <w:b/>
                <w:color w:val="FFFFFF"/>
                <w:sz w:val="17"/>
              </w:rPr>
              <w:t>AI must not do autonomously</w:t>
            </w:r>
          </w:p>
        </w:tc>
      </w:tr>
      <w:tr>
        <w:trPr>
          <w:cantSplit/>
        </w:trPr>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Classify narrations and documents</w:t>
            </w:r>
          </w:p>
        </w:tc>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Declare that fraud or tax evasion occurred</w:t>
            </w:r>
          </w:p>
        </w:tc>
      </w:tr>
      <w:tr>
        <w:trPr>
          <w:cantSplit/>
        </w:trPr>
        <w:tc>
          <w:tcPr>
            <w:tcW w:type="dxa" w:w="4680"/>
            <w:tcMar>
              <w:top w:w="60" w:type="dxa"/>
              <w:start w:w="70" w:type="dxa"/>
              <w:bottom w:w="60" w:type="dxa"/>
              <w:end w:w="70" w:type="dxa"/>
            </w:tcMar>
            <w:vAlign w:val="top"/>
          </w:tcPr>
          <w:p>
            <w:pPr>
              <w:spacing w:after="0" w:line="240" w:lineRule="auto"/>
            </w:pPr>
            <w:r>
              <w:rPr>
                <w:rFonts w:ascii="Lato" w:hAnsi="Lato"/>
                <w:color w:val="3F4A54"/>
                <w:sz w:val="17"/>
              </w:rPr>
              <w:t>Suggest account or vendor mappings</w:t>
            </w:r>
          </w:p>
        </w:tc>
        <w:tc>
          <w:tcPr>
            <w:tcW w:type="dxa" w:w="4680"/>
            <w:tcMar>
              <w:top w:w="60" w:type="dxa"/>
              <w:start w:w="70" w:type="dxa"/>
              <w:bottom w:w="60" w:type="dxa"/>
              <w:end w:w="70" w:type="dxa"/>
            </w:tcMar>
            <w:vAlign w:val="top"/>
          </w:tcPr>
          <w:p>
            <w:pPr>
              <w:spacing w:after="0" w:line="240" w:lineRule="auto"/>
            </w:pPr>
            <w:r>
              <w:rPr>
                <w:rFonts w:ascii="Lato" w:hAnsi="Lato"/>
                <w:color w:val="3F4A54"/>
                <w:sz w:val="17"/>
              </w:rPr>
              <w:t>Change source accounting records</w:t>
            </w:r>
          </w:p>
        </w:tc>
      </w:tr>
      <w:tr>
        <w:trPr>
          <w:cantSplit/>
        </w:trPr>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Summarise management explanations</w:t>
            </w:r>
          </w:p>
        </w:tc>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Decide GST eligibility or submit a return</w:t>
            </w:r>
          </w:p>
        </w:tc>
      </w:tr>
      <w:tr>
        <w:trPr>
          <w:cantSplit/>
        </w:trPr>
        <w:tc>
          <w:tcPr>
            <w:tcW w:type="dxa" w:w="4680"/>
            <w:tcMar>
              <w:top w:w="60" w:type="dxa"/>
              <w:start w:w="70" w:type="dxa"/>
              <w:bottom w:w="60" w:type="dxa"/>
              <w:end w:w="70" w:type="dxa"/>
            </w:tcMar>
            <w:vAlign w:val="top"/>
          </w:tcPr>
          <w:p>
            <w:pPr>
              <w:spacing w:after="0" w:line="240" w:lineRule="auto"/>
            </w:pPr>
            <w:r>
              <w:rPr>
                <w:rFonts w:ascii="Lato" w:hAnsi="Lato"/>
                <w:color w:val="3F4A54"/>
                <w:sz w:val="17"/>
              </w:rPr>
              <w:t>Draft evidence requests and workpaper wording</w:t>
            </w:r>
          </w:p>
        </w:tc>
        <w:tc>
          <w:tcPr>
            <w:tcW w:type="dxa" w:w="4680"/>
            <w:tcMar>
              <w:top w:w="60" w:type="dxa"/>
              <w:start w:w="70" w:type="dxa"/>
              <w:bottom w:w="60" w:type="dxa"/>
              <w:end w:w="70" w:type="dxa"/>
            </w:tcMar>
            <w:vAlign w:val="top"/>
          </w:tcPr>
          <w:p>
            <w:pPr>
              <w:spacing w:after="0" w:line="240" w:lineRule="auto"/>
            </w:pPr>
            <w:r>
              <w:rPr>
                <w:rFonts w:ascii="Lato" w:hAnsi="Lato"/>
                <w:color w:val="3F4A54"/>
                <w:sz w:val="17"/>
              </w:rPr>
              <w:t>Close an exception without authorised review</w:t>
            </w:r>
          </w:p>
        </w:tc>
      </w:tr>
      <w:tr>
        <w:trPr>
          <w:cantSplit/>
        </w:trPr>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Suggest related transactions and likely documents</w:t>
            </w:r>
          </w:p>
        </w:tc>
        <w:tc>
          <w:tcPr>
            <w:tcW w:type="dxa" w:w="4680"/>
            <w:tcMar>
              <w:top w:w="60" w:type="dxa"/>
              <w:start w:w="70" w:type="dxa"/>
              <w:bottom w:w="60" w:type="dxa"/>
              <w:end w:w="70" w:type="dxa"/>
            </w:tcMar>
            <w:shd w:fill="FAFBFC"/>
            <w:vAlign w:val="top"/>
          </w:tcPr>
          <w:p>
            <w:pPr>
              <w:spacing w:after="0" w:line="240" w:lineRule="auto"/>
            </w:pPr>
            <w:r>
              <w:rPr>
                <w:rFonts w:ascii="Lato" w:hAnsi="Lato"/>
                <w:color w:val="3F4A54"/>
                <w:sz w:val="17"/>
              </w:rPr>
              <w:t>Hide uncertainty or source limitations</w:t>
            </w:r>
          </w:p>
        </w:tc>
      </w:tr>
      <w:tr>
        <w:trPr>
          <w:cantSplit/>
        </w:trPr>
        <w:tc>
          <w:tcPr>
            <w:tcW w:type="dxa" w:w="4680"/>
            <w:tcMar>
              <w:top w:w="60" w:type="dxa"/>
              <w:start w:w="70" w:type="dxa"/>
              <w:bottom w:w="60" w:type="dxa"/>
              <w:end w:w="70" w:type="dxa"/>
            </w:tcMar>
            <w:vAlign w:val="top"/>
          </w:tcPr>
          <w:p>
            <w:pPr>
              <w:spacing w:after="0" w:line="240" w:lineRule="auto"/>
            </w:pPr>
            <w:r>
              <w:rPr>
                <w:rFonts w:ascii="Lato" w:hAnsi="Lato"/>
                <w:color w:val="3F4A54"/>
                <w:sz w:val="17"/>
              </w:rPr>
              <w:t>Explain risk rules in plain language</w:t>
            </w:r>
          </w:p>
        </w:tc>
        <w:tc>
          <w:tcPr>
            <w:tcW w:type="dxa" w:w="4680"/>
            <w:tcMar>
              <w:top w:w="60" w:type="dxa"/>
              <w:start w:w="70" w:type="dxa"/>
              <w:bottom w:w="60" w:type="dxa"/>
              <w:end w:w="70" w:type="dxa"/>
            </w:tcMar>
            <w:vAlign w:val="top"/>
          </w:tcPr>
          <w:p>
            <w:pPr>
              <w:spacing w:after="0" w:line="240" w:lineRule="auto"/>
            </w:pPr>
            <w:r>
              <w:rPr>
                <w:rFonts w:ascii="Lato" w:hAnsi="Lato"/>
                <w:color w:val="3F4A54"/>
                <w:sz w:val="17"/>
              </w:rPr>
              <w:t>Produce an audit opinion or adverse credit decision</w:t>
            </w:r>
          </w:p>
        </w:tc>
      </w:tr>
    </w:tbl>
    <w:p>
      <w:pPr>
        <w:widowControl/>
        <w:spacing w:after="0"/>
      </w:pP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37"/>
            <w:shd w:fill="0F766E"/>
            <w:tcMar>
              <w:top w:w="70" w:type="dxa"/>
              <w:start w:w="70" w:type="dxa"/>
              <w:bottom w:w="70" w:type="dxa"/>
              <w:end w:w="70" w:type="dxa"/>
            </w:tcMar>
          </w:tcPr>
          <w:p>
            <w:pPr>
              <w:jc w:val="left"/>
            </w:pPr>
            <w:r>
              <w:rPr>
                <w:rFonts w:ascii="Lato" w:hAnsi="Lato"/>
                <w:b/>
                <w:color w:val="FFFFFF"/>
                <w:sz w:val="15"/>
              </w:rPr>
              <w:t>ID</w:t>
            </w:r>
          </w:p>
        </w:tc>
        <w:tc>
          <w:tcPr>
            <w:tcW w:type="dxa" w:w="4651"/>
            <w:shd w:fill="0F766E"/>
            <w:tcMar>
              <w:top w:w="70" w:type="dxa"/>
              <w:start w:w="70" w:type="dxa"/>
              <w:bottom w:w="70" w:type="dxa"/>
              <w:end w:w="70" w:type="dxa"/>
            </w:tcMar>
          </w:tcPr>
          <w:p>
            <w:pPr>
              <w:jc w:val="left"/>
            </w:pPr>
            <w:r>
              <w:rPr>
                <w:rFonts w:ascii="Lato" w:hAnsi="Lato"/>
                <w:b/>
                <w:color w:val="FFFFFF"/>
                <w:sz w:val="15"/>
              </w:rPr>
              <w:t>Business requirement</w:t>
            </w:r>
          </w:p>
        </w:tc>
        <w:tc>
          <w:tcPr>
            <w:tcW w:type="dxa" w:w="1080"/>
            <w:shd w:fill="0F766E"/>
            <w:tcMar>
              <w:top w:w="70" w:type="dxa"/>
              <w:start w:w="70" w:type="dxa"/>
              <w:bottom w:w="70" w:type="dxa"/>
              <w:end w:w="70" w:type="dxa"/>
            </w:tcMar>
          </w:tcPr>
          <w:p>
            <w:pPr>
              <w:jc w:val="left"/>
            </w:pPr>
            <w:r>
              <w:rPr>
                <w:rFonts w:ascii="Lato" w:hAnsi="Lato"/>
                <w:b/>
                <w:color w:val="FFFFFF"/>
                <w:sz w:val="15"/>
              </w:rPr>
              <w:t>Priority</w:t>
            </w:r>
          </w:p>
        </w:tc>
        <w:tc>
          <w:tcPr>
            <w:tcW w:type="dxa" w:w="2592"/>
            <w:shd w:fill="0F766E"/>
            <w:tcMar>
              <w:top w:w="70" w:type="dxa"/>
              <w:start w:w="70" w:type="dxa"/>
              <w:bottom w:w="70" w:type="dxa"/>
              <w:end w:w="70" w:type="dxa"/>
            </w:tcMar>
          </w:tcPr>
          <w:p>
            <w:pPr>
              <w:jc w:val="left"/>
            </w:pPr>
            <w:r>
              <w:rPr>
                <w:rFonts w:ascii="Lato" w:hAnsi="Lato"/>
                <w:b/>
                <w:color w:val="FFFFFF"/>
                <w:sz w:val="15"/>
              </w:rPr>
              <w:t>How we know it works</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AI-001</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Every AI-generated statement shall be identifiable as a suggestion and link to the underlying source data.</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Users can inspect source evidence before acceptance.</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AI-002</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The user shall approve AI-generated mappings, summaries and conclusions before they enter a signed workpaper.</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Approval and edits are logged.</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AI-003</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display uncertainty when source data or model confidence is weak.</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Low-confidence output cannot be silently treated as fact.</w:t>
            </w:r>
          </w:p>
        </w:tc>
      </w:tr>
      <w:tr>
        <w:trPr>
          <w:cantSplit/>
        </w:trPr>
        <w:tc>
          <w:tcPr>
            <w:tcW w:type="dxa" w:w="1037"/>
            <w:tcMar>
              <w:top w:w="60" w:type="dxa"/>
              <w:start w:w="70" w:type="dxa"/>
              <w:bottom w:w="60" w:type="dxa"/>
              <w:end w:w="70" w:type="dxa"/>
            </w:tcMar>
            <w:vAlign w:val="top"/>
          </w:tcPr>
          <w:p>
            <w:pPr>
              <w:spacing w:after="0" w:line="240" w:lineRule="auto"/>
            </w:pPr>
            <w:r>
              <w:rPr>
                <w:rFonts w:ascii="Lato" w:hAnsi="Lato"/>
                <w:color w:val="3F4A54"/>
                <w:sz w:val="15"/>
              </w:rPr>
              <w:t>AI-004</w:t>
            </w:r>
          </w:p>
        </w:tc>
        <w:tc>
          <w:tcPr>
            <w:tcW w:type="dxa" w:w="4651"/>
            <w:tcMar>
              <w:top w:w="60" w:type="dxa"/>
              <w:start w:w="70" w:type="dxa"/>
              <w:bottom w:w="60" w:type="dxa"/>
              <w:end w:w="70" w:type="dxa"/>
            </w:tcMar>
            <w:vAlign w:val="top"/>
          </w:tcPr>
          <w:p>
            <w:pPr>
              <w:spacing w:after="0" w:line="240" w:lineRule="auto"/>
            </w:pPr>
            <w:r>
              <w:rPr>
                <w:rFonts w:ascii="Lato" w:hAnsi="Lato"/>
                <w:color w:val="3F4A54"/>
                <w:sz w:val="15"/>
              </w:rPr>
              <w:t>AI prompts and outputs involving client data shall follow the approved data-processing architecture and retention policy.</w:t>
            </w:r>
          </w:p>
        </w:tc>
        <w:tc>
          <w:tcPr>
            <w:tcW w:type="dxa" w:w="1080"/>
            <w:tcMar>
              <w:top w:w="60" w:type="dxa"/>
              <w:start w:w="70" w:type="dxa"/>
              <w:bottom w:w="60" w:type="dxa"/>
              <w:end w:w="70" w:type="dxa"/>
            </w:tcMar>
            <w:vAlign w:val="top"/>
          </w:tcPr>
          <w:p>
            <w:pPr>
              <w:spacing w:after="0" w:line="240" w:lineRule="auto"/>
            </w:pPr>
            <w:r>
              <w:rPr>
                <w:rFonts w:ascii="Lato" w:hAnsi="Lato"/>
                <w:color w:val="3F4A54"/>
                <w:sz w:val="15"/>
              </w:rPr>
              <w:t>Must</w:t>
            </w:r>
          </w:p>
        </w:tc>
        <w:tc>
          <w:tcPr>
            <w:tcW w:type="dxa" w:w="2592"/>
            <w:tcMar>
              <w:top w:w="60" w:type="dxa"/>
              <w:start w:w="70" w:type="dxa"/>
              <w:bottom w:w="60" w:type="dxa"/>
              <w:end w:w="70" w:type="dxa"/>
            </w:tcMar>
            <w:vAlign w:val="top"/>
          </w:tcPr>
          <w:p>
            <w:pPr>
              <w:spacing w:after="0" w:line="240" w:lineRule="auto"/>
            </w:pPr>
            <w:r>
              <w:rPr>
                <w:rFonts w:ascii="Lato" w:hAnsi="Lato"/>
                <w:color w:val="3F4A54"/>
                <w:sz w:val="15"/>
              </w:rPr>
              <w:t>Security review confirms no unauthorised data transfer or training.</w:t>
            </w:r>
          </w:p>
        </w:tc>
      </w:tr>
      <w:tr>
        <w:trPr>
          <w:cantSplit/>
        </w:trPr>
        <w:tc>
          <w:tcPr>
            <w:tcW w:type="dxa" w:w="1037"/>
            <w:tcMar>
              <w:top w:w="60" w:type="dxa"/>
              <w:start w:w="70" w:type="dxa"/>
              <w:bottom w:w="60" w:type="dxa"/>
              <w:end w:w="70" w:type="dxa"/>
            </w:tcMar>
            <w:shd w:fill="FAFBFC"/>
            <w:vAlign w:val="top"/>
          </w:tcPr>
          <w:p>
            <w:pPr>
              <w:spacing w:after="0" w:line="240" w:lineRule="auto"/>
            </w:pPr>
            <w:r>
              <w:rPr>
                <w:rFonts w:ascii="Lato" w:hAnsi="Lato"/>
                <w:color w:val="3F4A54"/>
                <w:sz w:val="15"/>
              </w:rPr>
              <w:t>AI-005</w:t>
            </w:r>
          </w:p>
        </w:tc>
        <w:tc>
          <w:tcPr>
            <w:tcW w:type="dxa" w:w="4651"/>
            <w:tcMar>
              <w:top w:w="60" w:type="dxa"/>
              <w:start w:w="70" w:type="dxa"/>
              <w:bottom w:w="60" w:type="dxa"/>
              <w:end w:w="70" w:type="dxa"/>
            </w:tcMar>
            <w:shd w:fill="FAFBFC"/>
            <w:vAlign w:val="top"/>
          </w:tcPr>
          <w:p>
            <w:pPr>
              <w:spacing w:after="0" w:line="240" w:lineRule="auto"/>
            </w:pPr>
            <w:r>
              <w:rPr>
                <w:rFonts w:ascii="Lato" w:hAnsi="Lato"/>
                <w:color w:val="3F4A54"/>
                <w:sz w:val="15"/>
              </w:rPr>
              <w:t>The platform shall support a non-AI deterministic mode for regulated or sensitive engagements.</w:t>
            </w:r>
          </w:p>
        </w:tc>
        <w:tc>
          <w:tcPr>
            <w:tcW w:type="dxa" w:w="1080"/>
            <w:tcMar>
              <w:top w:w="60" w:type="dxa"/>
              <w:start w:w="70" w:type="dxa"/>
              <w:bottom w:w="60" w:type="dxa"/>
              <w:end w:w="70" w:type="dxa"/>
            </w:tcMar>
            <w:shd w:fill="FAFBFC"/>
            <w:vAlign w:val="top"/>
          </w:tcPr>
          <w:p>
            <w:pPr>
              <w:spacing w:after="0" w:line="240" w:lineRule="auto"/>
            </w:pPr>
            <w:r>
              <w:rPr>
                <w:rFonts w:ascii="Lato" w:hAnsi="Lato"/>
                <w:color w:val="3F4A54"/>
                <w:sz w:val="15"/>
              </w:rPr>
              <w:t>Should</w:t>
            </w:r>
          </w:p>
        </w:tc>
        <w:tc>
          <w:tcPr>
            <w:tcW w:type="dxa" w:w="2592"/>
            <w:tcMar>
              <w:top w:w="60" w:type="dxa"/>
              <w:start w:w="70" w:type="dxa"/>
              <w:bottom w:w="60" w:type="dxa"/>
              <w:end w:w="70" w:type="dxa"/>
            </w:tcMar>
            <w:shd w:fill="FAFBFC"/>
            <w:vAlign w:val="top"/>
          </w:tcPr>
          <w:p>
            <w:pPr>
              <w:spacing w:after="0" w:line="240" w:lineRule="auto"/>
            </w:pPr>
            <w:r>
              <w:rPr>
                <w:rFonts w:ascii="Lato" w:hAnsi="Lato"/>
                <w:color w:val="3F4A54"/>
                <w:sz w:val="15"/>
              </w:rPr>
              <w:t>Core tests and workpapers remain functional.</w:t>
            </w:r>
          </w:p>
        </w:tc>
      </w:tr>
    </w:tbl>
    <w:p>
      <w:pPr>
        <w:widowControl/>
        <w:spacing w:after="0"/>
      </w:pPr>
    </w:p>
    <w:p>
      <w:pPr>
        <w:pStyle w:val="Heading1"/>
        <w:keepNext/>
        <w:pageBreakBefore w:val="0"/>
        <w:widowControl/>
        <w:spacing w:before="240" w:after="100"/>
      </w:pPr>
      <w:r>
        <w:rPr>
          <w:rFonts w:ascii="Lato" w:hAnsi="Lato"/>
          <w:b/>
          <w:color w:val="17324D"/>
          <w:sz w:val="34"/>
        </w:rPr>
        <w:t>21. MVP and phased delivery roadmap</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656"/>
            <w:shd w:fill="17324D"/>
            <w:tcMar>
              <w:top w:w="70" w:type="dxa"/>
              <w:start w:w="70" w:type="dxa"/>
              <w:bottom w:w="70" w:type="dxa"/>
              <w:end w:w="70" w:type="dxa"/>
            </w:tcMar>
          </w:tcPr>
          <w:p>
            <w:pPr>
              <w:jc w:val="left"/>
            </w:pPr>
            <w:r>
              <w:rPr>
                <w:rFonts w:ascii="Lato" w:hAnsi="Lato"/>
                <w:b/>
                <w:color w:val="FFFFFF"/>
                <w:sz w:val="16"/>
              </w:rPr>
              <w:t>Phase</w:t>
            </w:r>
          </w:p>
        </w:tc>
        <w:tc>
          <w:tcPr>
            <w:tcW w:type="dxa" w:w="2952"/>
            <w:shd w:fill="17324D"/>
            <w:tcMar>
              <w:top w:w="70" w:type="dxa"/>
              <w:start w:w="70" w:type="dxa"/>
              <w:bottom w:w="70" w:type="dxa"/>
              <w:end w:w="70" w:type="dxa"/>
            </w:tcMar>
          </w:tcPr>
          <w:p>
            <w:pPr>
              <w:jc w:val="left"/>
            </w:pPr>
            <w:r>
              <w:rPr>
                <w:rFonts w:ascii="Lato" w:hAnsi="Lato"/>
                <w:b/>
                <w:color w:val="FFFFFF"/>
                <w:sz w:val="16"/>
              </w:rPr>
              <w:t>Business goal</w:t>
            </w:r>
          </w:p>
        </w:tc>
        <w:tc>
          <w:tcPr>
            <w:tcW w:type="dxa" w:w="4752"/>
            <w:shd w:fill="17324D"/>
            <w:tcMar>
              <w:top w:w="70" w:type="dxa"/>
              <w:start w:w="70" w:type="dxa"/>
              <w:bottom w:w="70" w:type="dxa"/>
              <w:end w:w="70" w:type="dxa"/>
            </w:tcMar>
          </w:tcPr>
          <w:p>
            <w:pPr>
              <w:jc w:val="left"/>
            </w:pPr>
            <w:r>
              <w:rPr>
                <w:rFonts w:ascii="Lato" w:hAnsi="Lato"/>
                <w:b/>
                <w:color w:val="FFFFFF"/>
                <w:sz w:val="16"/>
              </w:rPr>
              <w:t>Main capabilities</w:t>
            </w:r>
          </w:p>
        </w:tc>
      </w:tr>
      <w:tr>
        <w:trPr>
          <w:cantSplit/>
        </w:trPr>
        <w:tc>
          <w:tcPr>
            <w:tcW w:type="dxa" w:w="1656"/>
            <w:tcMar>
              <w:top w:w="60" w:type="dxa"/>
              <w:start w:w="70" w:type="dxa"/>
              <w:bottom w:w="60" w:type="dxa"/>
              <w:end w:w="70" w:type="dxa"/>
            </w:tcMar>
            <w:shd w:fill="FAFBFC"/>
            <w:vAlign w:val="top"/>
          </w:tcPr>
          <w:p>
            <w:pPr>
              <w:spacing w:after="0" w:line="240" w:lineRule="auto"/>
            </w:pPr>
            <w:r>
              <w:rPr>
                <w:rFonts w:ascii="Lato" w:hAnsi="Lato"/>
                <w:color w:val="3F4A54"/>
                <w:sz w:val="16"/>
              </w:rPr>
              <w:t>Phase 0 - Design partners</w:t>
            </w:r>
          </w:p>
        </w:tc>
        <w:tc>
          <w:tcPr>
            <w:tcW w:type="dxa" w:w="2952"/>
            <w:tcMar>
              <w:top w:w="60" w:type="dxa"/>
              <w:start w:w="70" w:type="dxa"/>
              <w:bottom w:w="60" w:type="dxa"/>
              <w:end w:w="70" w:type="dxa"/>
            </w:tcMar>
            <w:shd w:fill="FAFBFC"/>
            <w:vAlign w:val="top"/>
          </w:tcPr>
          <w:p>
            <w:pPr>
              <w:spacing w:after="0" w:line="240" w:lineRule="auto"/>
            </w:pPr>
            <w:r>
              <w:rPr>
                <w:rFonts w:ascii="Lato" w:hAnsi="Lato"/>
                <w:color w:val="3F4A54"/>
                <w:sz w:val="16"/>
              </w:rPr>
              <w:t>Validate the real workflow before building broadly.</w:t>
            </w:r>
          </w:p>
        </w:tc>
        <w:tc>
          <w:tcPr>
            <w:tcW w:type="dxa" w:w="4752"/>
            <w:tcMar>
              <w:top w:w="60" w:type="dxa"/>
              <w:start w:w="70" w:type="dxa"/>
              <w:bottom w:w="60" w:type="dxa"/>
              <w:end w:w="70" w:type="dxa"/>
            </w:tcMar>
            <w:shd w:fill="FAFBFC"/>
            <w:vAlign w:val="top"/>
          </w:tcPr>
          <w:p>
            <w:pPr>
              <w:spacing w:after="0" w:line="240" w:lineRule="auto"/>
            </w:pPr>
            <w:r>
              <w:rPr>
                <w:rFonts w:ascii="Lato" w:hAnsi="Lato"/>
                <w:color w:val="3F4A54"/>
                <w:sz w:val="16"/>
              </w:rPr>
              <w:t>Five CA/GST design partners, anonymised datasets, rule prioritisation, sample workpaper and security requirements.</w:t>
            </w:r>
          </w:p>
        </w:tc>
      </w:tr>
      <w:tr>
        <w:trPr>
          <w:cantSplit/>
        </w:trPr>
        <w:tc>
          <w:tcPr>
            <w:tcW w:type="dxa" w:w="1656"/>
            <w:tcMar>
              <w:top w:w="60" w:type="dxa"/>
              <w:start w:w="70" w:type="dxa"/>
              <w:bottom w:w="60" w:type="dxa"/>
              <w:end w:w="70" w:type="dxa"/>
            </w:tcMar>
            <w:vAlign w:val="top"/>
          </w:tcPr>
          <w:p>
            <w:pPr>
              <w:spacing w:after="0" w:line="240" w:lineRule="auto"/>
            </w:pPr>
            <w:r>
              <w:rPr>
                <w:rFonts w:ascii="Lato" w:hAnsi="Lato"/>
                <w:color w:val="3F4A54"/>
                <w:sz w:val="16"/>
              </w:rPr>
              <w:t>Phase 1 - MVP</w:t>
            </w:r>
          </w:p>
        </w:tc>
        <w:tc>
          <w:tcPr>
            <w:tcW w:type="dxa" w:w="2952"/>
            <w:tcMar>
              <w:top w:w="60" w:type="dxa"/>
              <w:start w:w="70" w:type="dxa"/>
              <w:bottom w:w="60" w:type="dxa"/>
              <w:end w:w="70" w:type="dxa"/>
            </w:tcMar>
            <w:vAlign w:val="top"/>
          </w:tcPr>
          <w:p>
            <w:pPr>
              <w:spacing w:after="0" w:line="240" w:lineRule="auto"/>
            </w:pPr>
            <w:r>
              <w:rPr>
                <w:rFonts w:ascii="Lato" w:hAnsi="Lato"/>
                <w:color w:val="3F4A54"/>
                <w:sz w:val="16"/>
              </w:rPr>
              <w:t>Deliver a complete engagement from upload to workpaper.</w:t>
            </w:r>
          </w:p>
        </w:tc>
        <w:tc>
          <w:tcPr>
            <w:tcW w:type="dxa" w:w="4752"/>
            <w:tcMar>
              <w:top w:w="60" w:type="dxa"/>
              <w:start w:w="70" w:type="dxa"/>
              <w:bottom w:w="60" w:type="dxa"/>
              <w:end w:w="70" w:type="dxa"/>
            </w:tcMar>
            <w:vAlign w:val="top"/>
          </w:tcPr>
          <w:p>
            <w:pPr>
              <w:spacing w:after="0" w:line="240" w:lineRule="auto"/>
            </w:pPr>
            <w:r>
              <w:rPr>
                <w:rFonts w:ascii="Lato" w:hAnsi="Lato"/>
                <w:color w:val="3F4A54"/>
                <w:sz w:val="16"/>
              </w:rPr>
              <w:t>Excel/CSV/Tally, data quality, journals, GST 2B/1/3B matching, vendors/payments, structured bank matching, period-end, Benford, evidence and workpapers.</w:t>
            </w:r>
          </w:p>
        </w:tc>
      </w:tr>
      <w:tr>
        <w:trPr>
          <w:cantSplit/>
        </w:trPr>
        <w:tc>
          <w:tcPr>
            <w:tcW w:type="dxa" w:w="1656"/>
            <w:tcMar>
              <w:top w:w="60" w:type="dxa"/>
              <w:start w:w="70" w:type="dxa"/>
              <w:bottom w:w="60" w:type="dxa"/>
              <w:end w:w="70" w:type="dxa"/>
            </w:tcMar>
            <w:shd w:fill="FAFBFC"/>
            <w:vAlign w:val="top"/>
          </w:tcPr>
          <w:p>
            <w:pPr>
              <w:spacing w:after="0" w:line="240" w:lineRule="auto"/>
            </w:pPr>
            <w:r>
              <w:rPr>
                <w:rFonts w:ascii="Lato" w:hAnsi="Lato"/>
                <w:color w:val="3F4A54"/>
                <w:sz w:val="16"/>
              </w:rPr>
              <w:t>Phase 2 - Scale</w:t>
            </w:r>
          </w:p>
        </w:tc>
        <w:tc>
          <w:tcPr>
            <w:tcW w:type="dxa" w:w="2952"/>
            <w:tcMar>
              <w:top w:w="60" w:type="dxa"/>
              <w:start w:w="70" w:type="dxa"/>
              <w:bottom w:w="60" w:type="dxa"/>
              <w:end w:w="70" w:type="dxa"/>
            </w:tcMar>
            <w:shd w:fill="FAFBFC"/>
            <w:vAlign w:val="top"/>
          </w:tcPr>
          <w:p>
            <w:pPr>
              <w:spacing w:after="0" w:line="240" w:lineRule="auto"/>
            </w:pPr>
            <w:r>
              <w:rPr>
                <w:rFonts w:ascii="Lato" w:hAnsi="Lato"/>
                <w:color w:val="3F4A54"/>
                <w:sz w:val="16"/>
              </w:rPr>
              <w:t>Reduce manual import and improve investigation quality.</w:t>
            </w:r>
          </w:p>
        </w:tc>
        <w:tc>
          <w:tcPr>
            <w:tcW w:type="dxa" w:w="4752"/>
            <w:tcMar>
              <w:top w:w="60" w:type="dxa"/>
              <w:start w:w="70" w:type="dxa"/>
              <w:bottom w:w="60" w:type="dxa"/>
              <w:end w:w="70" w:type="dxa"/>
            </w:tcMar>
            <w:shd w:fill="FAFBFC"/>
            <w:vAlign w:val="top"/>
          </w:tcPr>
          <w:p>
            <w:pPr>
              <w:spacing w:after="0" w:line="240" w:lineRule="auto"/>
            </w:pPr>
            <w:r>
              <w:rPr>
                <w:rFonts w:ascii="Lato" w:hAnsi="Lato"/>
                <w:color w:val="3F4A54"/>
                <w:sz w:val="16"/>
              </w:rPr>
              <w:t>ERP/GST integrations, e-invoice/e-way bill, advanced audit trail, relationship graph, rule marketplace, firm analytics.</w:t>
            </w:r>
          </w:p>
        </w:tc>
      </w:tr>
      <w:tr>
        <w:trPr>
          <w:cantSplit/>
        </w:trPr>
        <w:tc>
          <w:tcPr>
            <w:tcW w:type="dxa" w:w="1656"/>
            <w:tcMar>
              <w:top w:w="60" w:type="dxa"/>
              <w:start w:w="70" w:type="dxa"/>
              <w:bottom w:w="60" w:type="dxa"/>
              <w:end w:w="70" w:type="dxa"/>
            </w:tcMar>
            <w:vAlign w:val="top"/>
          </w:tcPr>
          <w:p>
            <w:pPr>
              <w:spacing w:after="0" w:line="240" w:lineRule="auto"/>
            </w:pPr>
            <w:r>
              <w:rPr>
                <w:rFonts w:ascii="Lato" w:hAnsi="Lato"/>
                <w:color w:val="3F4A54"/>
                <w:sz w:val="16"/>
              </w:rPr>
              <w:t>Phase 3 - Intelligence</w:t>
            </w:r>
          </w:p>
        </w:tc>
        <w:tc>
          <w:tcPr>
            <w:tcW w:type="dxa" w:w="2952"/>
            <w:tcMar>
              <w:top w:w="60" w:type="dxa"/>
              <w:start w:w="70" w:type="dxa"/>
              <w:bottom w:w="60" w:type="dxa"/>
              <w:end w:w="70" w:type="dxa"/>
            </w:tcMar>
            <w:vAlign w:val="top"/>
          </w:tcPr>
          <w:p>
            <w:pPr>
              <w:spacing w:after="0" w:line="240" w:lineRule="auto"/>
            </w:pPr>
            <w:r>
              <w:rPr>
                <w:rFonts w:ascii="Lato" w:hAnsi="Lato"/>
                <w:color w:val="3F4A54"/>
                <w:sz w:val="16"/>
              </w:rPr>
              <w:t>Use reviewed outcomes to improve ranking without losing explainability.</w:t>
            </w:r>
          </w:p>
        </w:tc>
        <w:tc>
          <w:tcPr>
            <w:tcW w:type="dxa" w:w="4752"/>
            <w:tcMar>
              <w:top w:w="60" w:type="dxa"/>
              <w:start w:w="70" w:type="dxa"/>
              <w:bottom w:w="60" w:type="dxa"/>
              <w:end w:w="70" w:type="dxa"/>
            </w:tcMar>
            <w:vAlign w:val="top"/>
          </w:tcPr>
          <w:p>
            <w:pPr>
              <w:spacing w:after="0" w:line="240" w:lineRule="auto"/>
            </w:pPr>
            <w:r>
              <w:rPr>
                <w:rFonts w:ascii="Lato" w:hAnsi="Lato"/>
                <w:color w:val="3F4A54"/>
                <w:sz w:val="16"/>
              </w:rPr>
              <w:t>Calibrated models, industry benchmarks, document intelligence, continuous controls monitoring.</w:t>
            </w:r>
          </w:p>
        </w:tc>
      </w:tr>
      <w:tr>
        <w:trPr>
          <w:cantSplit/>
        </w:trPr>
        <w:tc>
          <w:tcPr>
            <w:tcW w:type="dxa" w:w="1656"/>
            <w:tcMar>
              <w:top w:w="60" w:type="dxa"/>
              <w:start w:w="70" w:type="dxa"/>
              <w:bottom w:w="60" w:type="dxa"/>
              <w:end w:w="70" w:type="dxa"/>
            </w:tcMar>
            <w:shd w:fill="FAFBFC"/>
            <w:vAlign w:val="top"/>
          </w:tcPr>
          <w:p>
            <w:pPr>
              <w:spacing w:after="0" w:line="240" w:lineRule="auto"/>
            </w:pPr>
            <w:r>
              <w:rPr>
                <w:rFonts w:ascii="Lato" w:hAnsi="Lato"/>
                <w:color w:val="3F4A54"/>
                <w:sz w:val="16"/>
              </w:rPr>
              <w:t>Phase 4 - Financial institutions</w:t>
            </w:r>
          </w:p>
        </w:tc>
        <w:tc>
          <w:tcPr>
            <w:tcW w:type="dxa" w:w="2952"/>
            <w:tcMar>
              <w:top w:w="60" w:type="dxa"/>
              <w:start w:w="70" w:type="dxa"/>
              <w:bottom w:w="60" w:type="dxa"/>
              <w:end w:w="70" w:type="dxa"/>
            </w:tcMar>
            <w:shd w:fill="FAFBFC"/>
            <w:vAlign w:val="top"/>
          </w:tcPr>
          <w:p>
            <w:pPr>
              <w:spacing w:after="0" w:line="240" w:lineRule="auto"/>
            </w:pPr>
            <w:r>
              <w:rPr>
                <w:rFonts w:ascii="Lato" w:hAnsi="Lato"/>
                <w:color w:val="3F4A54"/>
                <w:sz w:val="16"/>
              </w:rPr>
              <w:t>Support borrower and portfolio integrity review.</w:t>
            </w:r>
          </w:p>
        </w:tc>
        <w:tc>
          <w:tcPr>
            <w:tcW w:type="dxa" w:w="4752"/>
            <w:tcMar>
              <w:top w:w="60" w:type="dxa"/>
              <w:start w:w="70" w:type="dxa"/>
              <w:bottom w:w="60" w:type="dxa"/>
              <w:end w:w="70" w:type="dxa"/>
            </w:tcMar>
            <w:shd w:fill="FAFBFC"/>
            <w:vAlign w:val="top"/>
          </w:tcPr>
          <w:p>
            <w:pPr>
              <w:spacing w:after="0" w:line="240" w:lineRule="auto"/>
            </w:pPr>
            <w:r>
              <w:rPr>
                <w:rFonts w:ascii="Lato" w:hAnsi="Lato"/>
                <w:color w:val="3F4A54"/>
                <w:sz w:val="16"/>
              </w:rPr>
              <w:t>Secure enterprise deployment, borrower GST/books/bank signals, early-warning cases, API and governance controls.</w:t>
            </w:r>
          </w:p>
        </w:tc>
      </w:tr>
    </w:tbl>
    <w:p>
      <w:pPr>
        <w:widowControl/>
        <w:spacing w:after="0"/>
      </w:pPr>
    </w:p>
    <w:p>
      <w:pPr>
        <w:pStyle w:val="Heading2"/>
        <w:keepNext/>
        <w:pageBreakBefore w:val="0"/>
        <w:widowControl/>
        <w:spacing w:before="140" w:after="60"/>
      </w:pPr>
      <w:r>
        <w:rPr>
          <w:rFonts w:ascii="Lato" w:hAnsi="Lato"/>
          <w:b/>
          <w:color w:val="0F766E"/>
          <w:sz w:val="26"/>
        </w:rPr>
        <w:t>21.1 Recommended MVP rule pack</w:t>
      </w:r>
    </w:p>
    <w:p>
      <w:pPr>
        <w:pStyle w:val="ListBullet"/>
        <w:widowControl/>
        <w:spacing w:after="30" w:line="247" w:lineRule="auto"/>
        <w:ind w:left="288" w:hanging="173"/>
      </w:pPr>
      <w:r>
        <w:rPr>
          <w:rFonts w:ascii="Lato" w:hAnsi="Lato"/>
          <w:color w:val="3F4A54"/>
          <w:sz w:val="19"/>
        </w:rPr>
        <w:t>Ten journal-entry controls: manual, privileged user, post-close, backdated, duplicates, unusual account pair, round amount, threshold, reversal and vague narration.</w:t>
      </w:r>
    </w:p>
    <w:p>
      <w:pPr>
        <w:pStyle w:val="ListBullet"/>
        <w:widowControl/>
        <w:spacing w:after="30" w:line="247" w:lineRule="auto"/>
        <w:ind w:left="288" w:hanging="173"/>
      </w:pPr>
      <w:r>
        <w:rPr>
          <w:rFonts w:ascii="Lato" w:hAnsi="Lato"/>
          <w:color w:val="3F4A54"/>
          <w:sz w:val="19"/>
        </w:rPr>
        <w:t>Eight GST controls: purchase-2B, sales-GSTR-1, GSTR-1-3B, duplicate invoice, tax mismatch, GSTIN mismatch, credit-note and timing/amendment.</w:t>
      </w:r>
    </w:p>
    <w:p>
      <w:pPr>
        <w:pStyle w:val="ListBullet"/>
        <w:widowControl/>
        <w:spacing w:after="30" w:line="247" w:lineRule="auto"/>
        <w:ind w:left="288" w:hanging="173"/>
      </w:pPr>
      <w:r>
        <w:rPr>
          <w:rFonts w:ascii="Lato" w:hAnsi="Lato"/>
          <w:color w:val="3F4A54"/>
          <w:sz w:val="19"/>
        </w:rPr>
        <w:t>Six vendor/payment controls: duplicate vendor, shared bank, new vendor, duplicate invoice/payment, split threshold and bank-detail change.</w:t>
      </w:r>
    </w:p>
    <w:p>
      <w:pPr>
        <w:pStyle w:val="ListBullet"/>
        <w:widowControl/>
        <w:spacing w:after="30" w:line="247" w:lineRule="auto"/>
        <w:ind w:left="288" w:hanging="173"/>
      </w:pPr>
      <w:r>
        <w:rPr>
          <w:rFonts w:ascii="Lato" w:hAnsi="Lato"/>
          <w:color w:val="3F4A54"/>
          <w:sz w:val="19"/>
        </w:rPr>
        <w:t>Five bank controls: exact/tolerance match, grouped match, bank-only, books-only and stale item.</w:t>
      </w:r>
    </w:p>
    <w:p>
      <w:pPr>
        <w:pStyle w:val="ListBullet"/>
        <w:widowControl/>
        <w:spacing w:after="30" w:line="247" w:lineRule="auto"/>
        <w:ind w:left="288" w:hanging="173"/>
      </w:pPr>
      <w:r>
        <w:rPr>
          <w:rFonts w:ascii="Lato" w:hAnsi="Lato"/>
          <w:color w:val="3F4A54"/>
          <w:sz w:val="19"/>
        </w:rPr>
        <w:t>Five cross-cutting controls: period-end, management override, missing evidence, Benford suitability/analysis and case consolidation.</w:t>
      </w:r>
    </w:p>
    <w:p>
      <w:pPr>
        <w:pStyle w:val="Heading1"/>
        <w:keepNext/>
        <w:pageBreakBefore w:val="0"/>
        <w:widowControl/>
        <w:spacing w:before="240" w:after="100"/>
      </w:pPr>
      <w:r>
        <w:rPr>
          <w:rFonts w:ascii="Lato" w:hAnsi="Lato"/>
          <w:b/>
          <w:color w:val="17324D"/>
          <w:sz w:val="34"/>
        </w:rPr>
        <w:t>22. Success measures, assumptions and dependencies</w:t>
      </w:r>
    </w:p>
    <w:p>
      <w:pPr>
        <w:pStyle w:val="Heading2"/>
        <w:keepNext/>
        <w:pageBreakBefore w:val="0"/>
        <w:widowControl/>
        <w:spacing w:before="140" w:after="60"/>
      </w:pPr>
      <w:r>
        <w:rPr>
          <w:rFonts w:ascii="Lato" w:hAnsi="Lato"/>
          <w:b/>
          <w:color w:val="0F766E"/>
          <w:sz w:val="26"/>
        </w:rPr>
        <w:t>22.1 Commercial and user-success measures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76"/>
            <w:shd w:fill="0F766E"/>
            <w:tcMar>
              <w:top w:w="70" w:type="dxa"/>
              <w:start w:w="70" w:type="dxa"/>
              <w:bottom w:w="70" w:type="dxa"/>
              <w:end w:w="70" w:type="dxa"/>
            </w:tcMar>
          </w:tcPr>
          <w:p>
            <w:pPr>
              <w:jc w:val="left"/>
            </w:pPr>
            <w:r>
              <w:rPr>
                <w:rFonts w:ascii="Lato" w:hAnsi="Lato"/>
                <w:b/>
                <w:color w:val="FFFFFF"/>
                <w:sz w:val="17"/>
              </w:rPr>
              <w:t>Measure</w:t>
            </w:r>
          </w:p>
        </w:tc>
        <w:tc>
          <w:tcPr>
            <w:tcW w:type="dxa" w:w="6984"/>
            <w:shd w:fill="0F766E"/>
            <w:tcMar>
              <w:top w:w="70" w:type="dxa"/>
              <w:start w:w="70" w:type="dxa"/>
              <w:bottom w:w="70" w:type="dxa"/>
              <w:end w:w="70" w:type="dxa"/>
            </w:tcMar>
          </w:tcPr>
          <w:p>
            <w:pPr>
              <w:jc w:val="left"/>
            </w:pPr>
            <w:r>
              <w:rPr>
                <w:rFonts w:ascii="Lato" w:hAnsi="Lato"/>
                <w:b/>
                <w:color w:val="FFFFFF"/>
                <w:sz w:val="17"/>
              </w:rPr>
              <w:t>What success looks like</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Time saved</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Meaningful reduction in data cleaning, reconciliation, follow-up and workpaper preparation time.</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Useful exception rate</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A growing share of top-ranked cases is judged relevant by auditors.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Data completeness</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Imported populations reconcile to source and trial-balance totals.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Review turnaround</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High-priority cases and client evidence are resolved faster.</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Workpaper quality</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Partners can review objective, population, evidence and conclusion without rebuilding analysis.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Repeat usage</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Design partners use the product across multiple clients and periods.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7"/>
              </w:rPr>
              <w:t>Commercial willingness</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7"/>
              </w:rPr>
              <w:t>CA firms are willing to pay per engagement or subscription based on measurable benefit.</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7"/>
              </w:rPr>
              <w:t>Security confidence</w:t>
            </w:r>
          </w:p>
        </w:tc>
        <w:tc>
          <w:tcPr>
            <w:tcW w:type="dxa" w:w="6984"/>
            <w:tcMar>
              <w:top w:w="60" w:type="dxa"/>
              <w:start w:w="70" w:type="dxa"/>
              <w:bottom w:w="60" w:type="dxa"/>
              <w:end w:w="70" w:type="dxa"/>
            </w:tcMar>
            <w:vAlign w:val="top"/>
          </w:tcPr>
          <w:p>
            <w:pPr>
              <w:spacing w:after="0" w:line="240" w:lineRule="auto"/>
            </w:pPr>
            <w:r>
              <w:rPr>
                <w:rFonts w:ascii="Lato" w:hAnsi="Lato"/>
                <w:color w:val="3F4A54"/>
                <w:sz w:val="17"/>
              </w:rPr>
              <w:t>Customers approve the data-handling design and no material cross-client exposure occurs.</w:t>
            </w:r>
          </w:p>
        </w:tc>
      </w:tr>
    </w:tbl>
    <w:p>
      <w:pPr>
        <w:widowControl/>
        <w:spacing w:after="0"/>
      </w:pPr>
    </w:p>
    <w:p>
      <w:pPr>
        <w:pStyle w:val="Heading2"/>
        <w:keepNext/>
        <w:pageBreakBefore w:val="0"/>
        <w:widowControl/>
        <w:spacing w:before="140" w:after="60"/>
      </w:pPr>
      <w:r>
        <w:rPr>
          <w:rFonts w:ascii="Lato" w:hAnsi="Lato"/>
          <w:b/>
          <w:color w:val="0F766E"/>
          <w:sz w:val="26"/>
        </w:rPr>
        <w:t>22.2 Key assumptions</w:t>
      </w:r>
    </w:p>
    <w:p>
      <w:pPr>
        <w:pStyle w:val="ListBullet"/>
        <w:widowControl/>
        <w:spacing w:after="30" w:line="247" w:lineRule="auto"/>
        <w:ind w:left="288" w:hanging="173"/>
      </w:pPr>
      <w:r>
        <w:rPr>
          <w:rFonts w:ascii="Lato" w:hAnsi="Lato"/>
          <w:color w:val="3F4A54"/>
          <w:sz w:val="19"/>
        </w:rPr>
        <w:t>The client and CA firm are authorised to provide the data used for the engagement.</w:t>
      </w:r>
    </w:p>
    <w:p>
      <w:pPr>
        <w:pStyle w:val="ListBullet"/>
        <w:widowControl/>
        <w:spacing w:after="30" w:line="247" w:lineRule="auto"/>
        <w:ind w:left="288" w:hanging="173"/>
      </w:pPr>
      <w:r>
        <w:rPr>
          <w:rFonts w:ascii="Lato" w:hAnsi="Lato"/>
          <w:color w:val="3F4A54"/>
          <w:sz w:val="19"/>
        </w:rPr>
        <w:t>The engagement team defines materiality, risk appetite and applicable procedures.</w:t>
      </w:r>
    </w:p>
    <w:p>
      <w:pPr>
        <w:pStyle w:val="ListBullet"/>
        <w:widowControl/>
        <w:spacing w:after="30" w:line="247" w:lineRule="auto"/>
        <w:ind w:left="288" w:hanging="173"/>
      </w:pPr>
      <w:r>
        <w:rPr>
          <w:rFonts w:ascii="Lato" w:hAnsi="Lato"/>
          <w:color w:val="3F4A54"/>
          <w:sz w:val="19"/>
        </w:rPr>
        <w:t>Data owners can provide structured accounting, GST and bank extracts of reasonable quality.</w:t>
      </w:r>
    </w:p>
    <w:p>
      <w:pPr>
        <w:pStyle w:val="ListBullet"/>
        <w:widowControl/>
        <w:spacing w:after="30" w:line="247" w:lineRule="auto"/>
        <w:ind w:left="288" w:hanging="173"/>
      </w:pPr>
      <w:r>
        <w:rPr>
          <w:rFonts w:ascii="Lato" w:hAnsi="Lato"/>
          <w:color w:val="3F4A54"/>
          <w:sz w:val="19"/>
        </w:rPr>
        <w:t>Firm methodology owners will validate rules, wording, thresholds and workpaper templates.</w:t>
      </w:r>
    </w:p>
    <w:p>
      <w:pPr>
        <w:pStyle w:val="ListBullet"/>
        <w:widowControl/>
        <w:spacing w:after="30" w:line="247" w:lineRule="auto"/>
        <w:ind w:left="288" w:hanging="173"/>
      </w:pPr>
      <w:r>
        <w:rPr>
          <w:rFonts w:ascii="Lato" w:hAnsi="Lato"/>
          <w:color w:val="3F4A54"/>
          <w:sz w:val="19"/>
        </w:rPr>
        <w:t>The product will start as decision support, not as an autonomous assurance service.</w:t>
      </w:r>
    </w:p>
    <w:p>
      <w:pPr>
        <w:pStyle w:val="Heading2"/>
        <w:keepNext/>
        <w:pageBreakBefore w:val="0"/>
        <w:widowControl/>
        <w:spacing w:before="140" w:after="60"/>
      </w:pPr>
      <w:r>
        <w:rPr>
          <w:rFonts w:ascii="Lato" w:hAnsi="Lato"/>
          <w:b/>
          <w:color w:val="0F766E"/>
          <w:sz w:val="26"/>
        </w:rPr>
        <w:t>22.3 Dependencies and risks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168"/>
            <w:shd w:fill="17324D"/>
            <w:tcMar>
              <w:top w:w="70" w:type="dxa"/>
              <w:start w:w="70" w:type="dxa"/>
              <w:bottom w:w="70" w:type="dxa"/>
              <w:end w:w="70" w:type="dxa"/>
            </w:tcMar>
          </w:tcPr>
          <w:p>
            <w:pPr>
              <w:jc w:val="left"/>
            </w:pPr>
            <w:r>
              <w:rPr>
                <w:rFonts w:ascii="Lato" w:hAnsi="Lato"/>
                <w:b/>
                <w:color w:val="FFFFFF"/>
                <w:sz w:val="17"/>
              </w:rPr>
              <w:t>Dependency / risk</w:t>
            </w:r>
          </w:p>
        </w:tc>
        <w:tc>
          <w:tcPr>
            <w:tcW w:type="dxa" w:w="6192"/>
            <w:shd w:fill="17324D"/>
            <w:tcMar>
              <w:top w:w="70" w:type="dxa"/>
              <w:start w:w="70" w:type="dxa"/>
              <w:bottom w:w="70" w:type="dxa"/>
              <w:end w:w="70" w:type="dxa"/>
            </w:tcMar>
          </w:tcPr>
          <w:p>
            <w:pPr>
              <w:jc w:val="left"/>
            </w:pPr>
            <w:r>
              <w:rPr>
                <w:rFonts w:ascii="Lato" w:hAnsi="Lato"/>
                <w:b/>
                <w:color w:val="FFFFFF"/>
                <w:sz w:val="17"/>
              </w:rPr>
              <w:t>Required mitigation</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Inconsistent Tally/ERP exports</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Reusable mapping profiles, data-quality report and client-specific adapters.</w:t>
            </w:r>
          </w:p>
        </w:tc>
      </w:tr>
      <w:tr>
        <w:trPr>
          <w:cantSplit/>
        </w:trPr>
        <w:tc>
          <w:tcPr>
            <w:tcW w:type="dxa" w:w="3168"/>
            <w:tcMar>
              <w:top w:w="60" w:type="dxa"/>
              <w:start w:w="70" w:type="dxa"/>
              <w:bottom w:w="60" w:type="dxa"/>
              <w:end w:w="70" w:type="dxa"/>
            </w:tcMar>
            <w:vAlign w:val="top"/>
          </w:tcPr>
          <w:p>
            <w:pPr>
              <w:spacing w:after="0" w:line="240" w:lineRule="auto"/>
            </w:pPr>
            <w:r>
              <w:rPr>
                <w:rFonts w:ascii="Lato" w:hAnsi="Lato"/>
                <w:color w:val="3F4A54"/>
                <w:sz w:val="17"/>
              </w:rPr>
              <w:t>Changing GST formats or rules</w:t>
            </w:r>
          </w:p>
        </w:tc>
        <w:tc>
          <w:tcPr>
            <w:tcW w:type="dxa" w:w="6192"/>
            <w:tcMar>
              <w:top w:w="60" w:type="dxa"/>
              <w:start w:w="70" w:type="dxa"/>
              <w:bottom w:w="60" w:type="dxa"/>
              <w:end w:w="70" w:type="dxa"/>
            </w:tcMar>
            <w:vAlign w:val="top"/>
          </w:tcPr>
          <w:p>
            <w:pPr>
              <w:spacing w:after="0" w:line="240" w:lineRule="auto"/>
            </w:pPr>
            <w:r>
              <w:rPr>
                <w:rFonts w:ascii="Lato" w:hAnsi="Lato"/>
                <w:color w:val="3F4A54"/>
                <w:sz w:val="17"/>
              </w:rPr>
              <w:t>Versioned parsers and GST subject-matter governance.</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False positives</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Suitability checks, configurable thresholds, case consolidation and auditor feedback.</w:t>
            </w:r>
          </w:p>
        </w:tc>
      </w:tr>
      <w:tr>
        <w:trPr>
          <w:cantSplit/>
        </w:trPr>
        <w:tc>
          <w:tcPr>
            <w:tcW w:type="dxa" w:w="3168"/>
            <w:tcMar>
              <w:top w:w="60" w:type="dxa"/>
              <w:start w:w="70" w:type="dxa"/>
              <w:bottom w:w="60" w:type="dxa"/>
              <w:end w:w="70" w:type="dxa"/>
            </w:tcMar>
            <w:vAlign w:val="top"/>
          </w:tcPr>
          <w:p>
            <w:pPr>
              <w:spacing w:after="0" w:line="240" w:lineRule="auto"/>
            </w:pPr>
            <w:r>
              <w:rPr>
                <w:rFonts w:ascii="Lato" w:hAnsi="Lato"/>
                <w:color w:val="3F4A54"/>
                <w:sz w:val="17"/>
              </w:rPr>
              <w:t>Missing user/audit-trail fields</w:t>
            </w:r>
          </w:p>
        </w:tc>
        <w:tc>
          <w:tcPr>
            <w:tcW w:type="dxa" w:w="6192"/>
            <w:tcMar>
              <w:top w:w="60" w:type="dxa"/>
              <w:start w:w="70" w:type="dxa"/>
              <w:bottom w:w="60" w:type="dxa"/>
              <w:end w:w="70" w:type="dxa"/>
            </w:tcMar>
            <w:vAlign w:val="top"/>
          </w:tcPr>
          <w:p>
            <w:pPr>
              <w:spacing w:after="0" w:line="240" w:lineRule="auto"/>
            </w:pPr>
            <w:r>
              <w:rPr>
                <w:rFonts w:ascii="Lato" w:hAnsi="Lato"/>
                <w:color w:val="3F4A54"/>
                <w:sz w:val="17"/>
              </w:rPr>
              <w:t>Clearly state coverage limitation and avoid unsupported conclusions.</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Client resistance to data sharing</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Strong security, limited-purpose access, retention controls and transparent architecture.</w:t>
            </w:r>
          </w:p>
        </w:tc>
      </w:tr>
      <w:tr>
        <w:trPr>
          <w:cantSplit/>
        </w:trPr>
        <w:tc>
          <w:tcPr>
            <w:tcW w:type="dxa" w:w="3168"/>
            <w:tcMar>
              <w:top w:w="60" w:type="dxa"/>
              <w:start w:w="70" w:type="dxa"/>
              <w:bottom w:w="60" w:type="dxa"/>
              <w:end w:w="70" w:type="dxa"/>
            </w:tcMar>
            <w:vAlign w:val="top"/>
          </w:tcPr>
          <w:p>
            <w:pPr>
              <w:spacing w:after="0" w:line="240" w:lineRule="auto"/>
            </w:pPr>
            <w:r>
              <w:rPr>
                <w:rFonts w:ascii="Lato" w:hAnsi="Lato"/>
                <w:color w:val="3F4A54"/>
                <w:sz w:val="17"/>
              </w:rPr>
              <w:t>Overclaiming fraud detection</w:t>
            </w:r>
          </w:p>
        </w:tc>
        <w:tc>
          <w:tcPr>
            <w:tcW w:type="dxa" w:w="6192"/>
            <w:tcMar>
              <w:top w:w="60" w:type="dxa"/>
              <w:start w:w="70" w:type="dxa"/>
              <w:bottom w:w="60" w:type="dxa"/>
              <w:end w:w="70" w:type="dxa"/>
            </w:tcMar>
            <w:vAlign w:val="top"/>
          </w:tcPr>
          <w:p>
            <w:pPr>
              <w:spacing w:after="0" w:line="240" w:lineRule="auto"/>
            </w:pPr>
            <w:r>
              <w:rPr>
                <w:rFonts w:ascii="Lato" w:hAnsi="Lato"/>
                <w:color w:val="3F4A54"/>
                <w:sz w:val="17"/>
              </w:rPr>
              <w:t>Neutral terminology, professional sign-off and marketing/legal review.</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Seasonal CA workload</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Simple onboarding, reusable mappings, engagement credits and bulk workflows.</w:t>
            </w:r>
          </w:p>
        </w:tc>
      </w:tr>
    </w:tbl>
    <w:p>
      <w:pPr>
        <w:widowControl/>
        <w:spacing w:after="0"/>
      </w:pPr>
    </w:p>
    <w:p>
      <w:pPr>
        <w:pStyle w:val="Heading1"/>
        <w:keepNext/>
        <w:pageBreakBefore w:val="0"/>
        <w:widowControl/>
        <w:spacing w:before="240" w:after="100"/>
      </w:pPr>
      <w:r>
        <w:rPr>
          <w:rFonts w:ascii="Lato" w:hAnsi="Lato"/>
          <w:b/>
          <w:color w:val="17324D"/>
          <w:sz w:val="34"/>
        </w:rPr>
        <w:t>23. Consolidated acceptance criteria</w:t>
      </w:r>
    </w:p>
    <w:p>
      <w:pPr>
        <w:widowControl/>
        <w:spacing w:after="80" w:line="259" w:lineRule="auto"/>
      </w:pPr>
      <w:r>
        <w:rPr>
          <w:rFonts w:ascii="Lato" w:hAnsi="Lato"/>
          <w:i w:val="0"/>
          <w:color w:val="3F4A54"/>
          <w:sz w:val="20"/>
        </w:rPr>
        <w:t>The MVP should not be considered ready for commercial audit use until the following business conditions are demonstrated on pilot engagements.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152"/>
            <w:shd w:fill="0F766E"/>
            <w:tcMar>
              <w:top w:w="70" w:type="dxa"/>
              <w:start w:w="70" w:type="dxa"/>
              <w:bottom w:w="70" w:type="dxa"/>
              <w:end w:w="70" w:type="dxa"/>
            </w:tcMar>
          </w:tcPr>
          <w:p>
            <w:pPr>
              <w:jc w:val="left"/>
            </w:pPr>
            <w:r>
              <w:rPr>
                <w:rFonts w:ascii="Lato" w:hAnsi="Lato"/>
                <w:b/>
                <w:color w:val="FFFFFF"/>
                <w:sz w:val="17"/>
              </w:rPr>
              <w:t>ID</w:t>
            </w:r>
          </w:p>
        </w:tc>
        <w:tc>
          <w:tcPr>
            <w:tcW w:type="dxa" w:w="8208"/>
            <w:shd w:fill="0F766E"/>
            <w:tcMar>
              <w:top w:w="70" w:type="dxa"/>
              <w:start w:w="70" w:type="dxa"/>
              <w:bottom w:w="70" w:type="dxa"/>
              <w:end w:w="70" w:type="dxa"/>
            </w:tcMar>
          </w:tcPr>
          <w:p>
            <w:pPr>
              <w:jc w:val="left"/>
            </w:pPr>
            <w:r>
              <w:rPr>
                <w:rFonts w:ascii="Lato" w:hAnsi="Lato"/>
                <w:b/>
                <w:color w:val="FFFFFF"/>
                <w:sz w:val="17"/>
              </w:rPr>
              <w:t>Acceptance condition</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AC-01</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A user can import a complete engagement population and reconcile it to the trial balance.</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AC-02</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Every exception links to original source records and the rule/calculation that created it.</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AC-03</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The system distinguishes data-quality problems from transaction-risk findings.</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AC-04</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Journal tests identify manual, period-end, privileged-user, duplicate, reversal and unusual-account cases.</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AC-05</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GST matching classifies exact matches and major mismatch categories and produces a correction schedule.</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AC-06</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Vendor analysis identifies exact/fuzzy duplicates, shared details, duplicate payments and threshold splitting.</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AC-07</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Bank reconciliation supports exact, tolerance and grouped matches with user approval.</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AC-08</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Period-end and management-override cases show a complete timeline across relevant sources.</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AC-09</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Benford analysis is blocked or warned when the population is unsuitable and never declares fraud.</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AC-10</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Users can drill from every Benford result to the contributing transactions.</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AC-11</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Related rules are consolidated into one understandable case rather than duplicated alerts.</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AC-12</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Clients can securely respond to evidence requests without seeing internal or other-client information.</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AC-13</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Preparers and reviewers can document different conclusions and preserve review notes.</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AC-14</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Signed workpapers are locked, versioned and reproducible from the stored source snapshot.</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AC-15</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Role-based access, MFA, encryption and comprehensive audit logging are operational.</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AC-16</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The platform can demonstrate deletion/retention controls and prevent unauthorised cross-client access.</w:t>
            </w:r>
          </w:p>
        </w:tc>
      </w:tr>
      <w:tr>
        <w:trPr>
          <w:cantSplit/>
        </w:trPr>
        <w:tc>
          <w:tcPr>
            <w:tcW w:type="dxa" w:w="1152"/>
            <w:tcMar>
              <w:top w:w="60" w:type="dxa"/>
              <w:start w:w="70" w:type="dxa"/>
              <w:bottom w:w="60" w:type="dxa"/>
              <w:end w:w="70" w:type="dxa"/>
            </w:tcMar>
            <w:shd w:fill="FAFBFC"/>
            <w:vAlign w:val="top"/>
          </w:tcPr>
          <w:p>
            <w:pPr>
              <w:spacing w:after="0" w:line="240" w:lineRule="auto"/>
            </w:pPr>
            <w:r>
              <w:rPr>
                <w:rFonts w:ascii="Lato" w:hAnsi="Lato"/>
                <w:color w:val="3F4A54"/>
                <w:sz w:val="17"/>
              </w:rPr>
              <w:t>AC-17</w:t>
            </w:r>
          </w:p>
        </w:tc>
        <w:tc>
          <w:tcPr>
            <w:tcW w:type="dxa" w:w="8208"/>
            <w:tcMar>
              <w:top w:w="60" w:type="dxa"/>
              <w:start w:w="70" w:type="dxa"/>
              <w:bottom w:w="60" w:type="dxa"/>
              <w:end w:w="70" w:type="dxa"/>
            </w:tcMar>
            <w:shd w:fill="FAFBFC"/>
            <w:vAlign w:val="top"/>
          </w:tcPr>
          <w:p>
            <w:pPr>
              <w:spacing w:after="0" w:line="240" w:lineRule="auto"/>
            </w:pPr>
            <w:r>
              <w:rPr>
                <w:rFonts w:ascii="Lato" w:hAnsi="Lato"/>
                <w:color w:val="3F4A54"/>
                <w:sz w:val="17"/>
              </w:rPr>
              <w:t>Pilot auditors understand the plain-language output and can explain a flag without developer assistance.</w:t>
            </w:r>
          </w:p>
        </w:tc>
      </w:tr>
      <w:tr>
        <w:trPr>
          <w:cantSplit/>
        </w:trPr>
        <w:tc>
          <w:tcPr>
            <w:tcW w:type="dxa" w:w="1152"/>
            <w:tcMar>
              <w:top w:w="60" w:type="dxa"/>
              <w:start w:w="70" w:type="dxa"/>
              <w:bottom w:w="60" w:type="dxa"/>
              <w:end w:w="70" w:type="dxa"/>
            </w:tcMar>
            <w:vAlign w:val="top"/>
          </w:tcPr>
          <w:p>
            <w:pPr>
              <w:spacing w:after="0" w:line="240" w:lineRule="auto"/>
            </w:pPr>
            <w:r>
              <w:rPr>
                <w:rFonts w:ascii="Lato" w:hAnsi="Lato"/>
                <w:color w:val="3F4A54"/>
                <w:sz w:val="17"/>
              </w:rPr>
              <w:t>AC-18</w:t>
            </w:r>
          </w:p>
        </w:tc>
        <w:tc>
          <w:tcPr>
            <w:tcW w:type="dxa" w:w="8208"/>
            <w:tcMar>
              <w:top w:w="60" w:type="dxa"/>
              <w:start w:w="70" w:type="dxa"/>
              <w:bottom w:w="60" w:type="dxa"/>
              <w:end w:w="70" w:type="dxa"/>
            </w:tcMar>
            <w:vAlign w:val="top"/>
          </w:tcPr>
          <w:p>
            <w:pPr>
              <w:spacing w:after="0" w:line="240" w:lineRule="auto"/>
            </w:pPr>
            <w:r>
              <w:rPr>
                <w:rFonts w:ascii="Lato" w:hAnsi="Lato"/>
                <w:color w:val="3F4A54"/>
                <w:sz w:val="17"/>
              </w:rPr>
              <w:t>Design partners confirm measurable time savings or improved issue detection and demonstrate willingness to reuse the product.</w:t>
            </w:r>
          </w:p>
        </w:tc>
      </w:tr>
    </w:tbl>
    <w:p>
      <w:pPr>
        <w:widowControl/>
        <w:spacing w:after="0"/>
      </w:pPr>
    </w:p>
    <w:p>
      <w:pPr>
        <w:pStyle w:val="Heading1"/>
        <w:keepNext/>
        <w:pageBreakBefore w:val="0"/>
        <w:widowControl/>
        <w:spacing w:before="240" w:after="100"/>
      </w:pPr>
      <w:r>
        <w:rPr>
          <w:rFonts w:ascii="Lato" w:hAnsi="Lato"/>
          <w:b/>
          <w:color w:val="17324D"/>
          <w:sz w:val="34"/>
        </w:rPr>
        <w:t>24. Glossary</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76"/>
            <w:shd w:fill="17324D"/>
            <w:tcMar>
              <w:top w:w="70" w:type="dxa"/>
              <w:start w:w="70" w:type="dxa"/>
              <w:bottom w:w="70" w:type="dxa"/>
              <w:end w:w="70" w:type="dxa"/>
            </w:tcMar>
          </w:tcPr>
          <w:p>
            <w:pPr>
              <w:jc w:val="left"/>
            </w:pPr>
            <w:r>
              <w:rPr>
                <w:rFonts w:ascii="Lato" w:hAnsi="Lato"/>
                <w:b/>
                <w:color w:val="FFFFFF"/>
                <w:sz w:val="16"/>
              </w:rPr>
              <w:t>Term</w:t>
            </w:r>
          </w:p>
        </w:tc>
        <w:tc>
          <w:tcPr>
            <w:tcW w:type="dxa" w:w="6984"/>
            <w:shd w:fill="17324D"/>
            <w:tcMar>
              <w:top w:w="70" w:type="dxa"/>
              <w:start w:w="70" w:type="dxa"/>
              <w:bottom w:w="70" w:type="dxa"/>
              <w:end w:w="70" w:type="dxa"/>
            </w:tcMar>
          </w:tcPr>
          <w:p>
            <w:pPr>
              <w:jc w:val="left"/>
            </w:pPr>
            <w:r>
              <w:rPr>
                <w:rFonts w:ascii="Lato" w:hAnsi="Lato"/>
                <w:b/>
                <w:color w:val="FFFFFF"/>
                <w:sz w:val="16"/>
              </w:rPr>
              <w:t>Plain-language meaning</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Accounting entry / journal entry</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A record that moves an amount between accounts in the books.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Anomaly</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Something different from the expected pattern; it may be valid, an error or a matter requiring investigation.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Audit assertion</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A simple question about the accounts: did it happen, is everything recorded, is the amount correct, is it in the right period and account?</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Audit trail</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The change history showing who created, changed or deleted a record and when.</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Benford suitability</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Whether a set of numbers is appropriate for Benford analysis.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Case</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A consolidated investigation containing related alerts, transactions, evidence and conclusions.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Corroborating signal</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A second independent fact that supports or strengthens an initial concern.</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Exception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A record or group that failed a test or requires review.</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GSTR-1</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GST statement containing details of outward supplies.</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GSTR-2B</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Auto-drafted GST input-tax-credit statement based on supplier and related filings.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GSTR-3B</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Summary GST return used to declare and discharge tax liabilities for the period.</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Management override</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A person with authority bypasses or changes the normal control process.</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Materiality</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The level at which an error or issue could matter to users of the financial statements; defined by the auditor.</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Reconciliation</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Comparing two sources and explaining every difference.</w:t>
            </w:r>
          </w:p>
        </w:tc>
      </w:tr>
      <w:tr>
        <w:trPr>
          <w:cantSplit/>
        </w:trPr>
        <w:tc>
          <w:tcPr>
            <w:tcW w:type="dxa" w:w="2376"/>
            <w:tcMar>
              <w:top w:w="60" w:type="dxa"/>
              <w:start w:w="70" w:type="dxa"/>
              <w:bottom w:w="60" w:type="dxa"/>
              <w:end w:w="70" w:type="dxa"/>
            </w:tcMar>
            <w:shd w:fill="FAFBFC"/>
            <w:vAlign w:val="top"/>
          </w:tcPr>
          <w:p>
            <w:pPr>
              <w:spacing w:after="0" w:line="240" w:lineRule="auto"/>
            </w:pPr>
            <w:r>
              <w:rPr>
                <w:rFonts w:ascii="Lato" w:hAnsi="Lato"/>
                <w:color w:val="3F4A54"/>
                <w:sz w:val="16"/>
              </w:rPr>
              <w:t>Review Priority Score</w:t>
            </w:r>
          </w:p>
        </w:tc>
        <w:tc>
          <w:tcPr>
            <w:tcW w:type="dxa" w:w="6984"/>
            <w:tcMar>
              <w:top w:w="60" w:type="dxa"/>
              <w:start w:w="70" w:type="dxa"/>
              <w:bottom w:w="60" w:type="dxa"/>
              <w:end w:w="70" w:type="dxa"/>
            </w:tcMar>
            <w:shd w:fill="FAFBFC"/>
            <w:vAlign w:val="top"/>
          </w:tcPr>
          <w:p>
            <w:pPr>
              <w:spacing w:after="0" w:line="240" w:lineRule="auto"/>
            </w:pPr>
            <w:r>
              <w:rPr>
                <w:rFonts w:ascii="Lato" w:hAnsi="Lato"/>
                <w:color w:val="3F4A54"/>
                <w:sz w:val="16"/>
              </w:rPr>
              <w:t>A ranking used to decide what the audit team should investigate first; it is not a fraud verdict.</w:t>
            </w:r>
          </w:p>
        </w:tc>
      </w:tr>
      <w:tr>
        <w:trPr>
          <w:cantSplit/>
        </w:trPr>
        <w:tc>
          <w:tcPr>
            <w:tcW w:type="dxa" w:w="2376"/>
            <w:tcMar>
              <w:top w:w="60" w:type="dxa"/>
              <w:start w:w="70" w:type="dxa"/>
              <w:bottom w:w="60" w:type="dxa"/>
              <w:end w:w="70" w:type="dxa"/>
            </w:tcMar>
            <w:vAlign w:val="top"/>
          </w:tcPr>
          <w:p>
            <w:pPr>
              <w:spacing w:after="0" w:line="240" w:lineRule="auto"/>
            </w:pPr>
            <w:r>
              <w:rPr>
                <w:rFonts w:ascii="Lato" w:hAnsi="Lato"/>
                <w:color w:val="3F4A54"/>
                <w:sz w:val="16"/>
              </w:rPr>
              <w:t>Workpaper</w:t>
            </w:r>
          </w:p>
        </w:tc>
        <w:tc>
          <w:tcPr>
            <w:tcW w:type="dxa" w:w="6984"/>
            <w:tcMar>
              <w:top w:w="60" w:type="dxa"/>
              <w:start w:w="70" w:type="dxa"/>
              <w:bottom w:w="60" w:type="dxa"/>
              <w:end w:w="70" w:type="dxa"/>
            </w:tcMar>
            <w:vAlign w:val="top"/>
          </w:tcPr>
          <w:p>
            <w:pPr>
              <w:spacing w:after="0" w:line="240" w:lineRule="auto"/>
            </w:pPr>
            <w:r>
              <w:rPr>
                <w:rFonts w:ascii="Lato" w:hAnsi="Lato"/>
                <w:color w:val="3F4A54"/>
                <w:sz w:val="16"/>
              </w:rPr>
              <w:t>The documented record of audit objective, data, procedures, evidence, judgement and review.</w:t>
            </w:r>
          </w:p>
        </w:tc>
      </w:tr>
    </w:tbl>
    <w:p>
      <w:pPr>
        <w:widowControl/>
        <w:spacing w:after="0"/>
      </w:pPr>
    </w:p>
    <w:p>
      <w:pPr>
        <w:pStyle w:val="Heading1"/>
        <w:keepNext/>
        <w:pageBreakBefore w:val="0"/>
        <w:widowControl/>
        <w:spacing w:before="240" w:after="100"/>
      </w:pPr>
      <w:r>
        <w:rPr>
          <w:rFonts w:ascii="Lato" w:hAnsi="Lato"/>
          <w:b/>
          <w:color w:val="17324D"/>
          <w:sz w:val="34"/>
        </w:rPr>
        <w:t>25. Regulatory and professional reference points</w:t>
      </w:r>
    </w:p>
    <w:p>
      <w:pPr>
        <w:widowControl/>
        <w:spacing w:after="80" w:line="259" w:lineRule="auto"/>
      </w:pPr>
      <w:r>
        <w:rPr>
          <w:rFonts w:ascii="Lato" w:hAnsi="Lato"/>
          <w:i w:val="0"/>
          <w:color w:val="3F4A54"/>
          <w:sz w:val="20"/>
        </w:rPr>
        <w:t>The product should be aligned to the audit firm's approved methodology and reviewed whenever professional standards, law, GST processes or official file formats change. The following official sources informed this BRD. They are reference points, not a claim that software use automatically satisfies the underlying requirement.</w:t>
      </w:r>
    </w:p>
    <w:p>
      <w:pPr>
        <w:widowControl/>
        <w:spacing w:after="100"/>
        <w:ind w:left="216" w:hanging="216"/>
      </w:pPr>
      <w:r>
        <w:rPr>
          <w:rFonts w:ascii="Lato" w:hAnsi="Lato"/>
          <w:color w:val="3F4A54"/>
          <w:sz w:val="18"/>
        </w:rPr>
        <w:t xml:space="preserve">1. ICAI - Engagement and Quality Control Standards: SA 230, SA 240, SA 315, SA 500, SA 520 and related standards - </w:t>
      </w:r>
      <w:hyperlink r:id="rId11">
        <w:r>
          <w:rPr>
            <w:color w:val="2F6690"/>
            <w:u w:val="single"/>
            <w:rFonts w:ascii="Lato" w:hAnsi="Lato"/>
          </w:rPr>
          <w:t>Official source</w:t>
        </w:r>
      </w:hyperlink>
    </w:p>
    <w:p>
      <w:pPr>
        <w:widowControl/>
        <w:spacing w:after="100"/>
        <w:ind w:left="216" w:hanging="216"/>
      </w:pPr>
      <w:r>
        <w:rPr>
          <w:rFonts w:ascii="Lato" w:hAnsi="Lato"/>
          <w:color w:val="3F4A54"/>
          <w:sz w:val="18"/>
        </w:rPr>
        <w:t xml:space="preserve">2. ICAI - Auditing and Assurance Standards Board publications, including the revised implementation guide on audit trail under Rule 11(g) - </w:t>
      </w:r>
      <w:hyperlink r:id="rId12">
        <w:r>
          <w:rPr>
            <w:color w:val="2F6690"/>
            <w:u w:val="single"/>
            <w:rFonts w:ascii="Lato" w:hAnsi="Lato"/>
          </w:rPr>
          <w:t>Official source</w:t>
        </w:r>
      </w:hyperlink>
    </w:p>
    <w:p>
      <w:pPr>
        <w:widowControl/>
        <w:spacing w:after="100"/>
        <w:ind w:left="216" w:hanging="216"/>
      </w:pPr>
      <w:r>
        <w:rPr>
          <w:rFonts w:ascii="Lato" w:hAnsi="Lato"/>
          <w:color w:val="3F4A54"/>
          <w:sz w:val="18"/>
        </w:rPr>
        <w:t xml:space="preserve">3. GST Portal - Form GSTR-1 guidance - </w:t>
      </w:r>
      <w:hyperlink r:id="rId13">
        <w:r>
          <w:rPr>
            <w:color w:val="2F6690"/>
            <w:u w:val="single"/>
            <w:rFonts w:ascii="Lato" w:hAnsi="Lato"/>
          </w:rPr>
          <w:t>Official source</w:t>
        </w:r>
      </w:hyperlink>
    </w:p>
    <w:p>
      <w:pPr>
        <w:widowControl/>
        <w:spacing w:after="100"/>
        <w:ind w:left="216" w:hanging="216"/>
      </w:pPr>
      <w:r>
        <w:rPr>
          <w:rFonts w:ascii="Lato" w:hAnsi="Lato"/>
          <w:color w:val="3F4A54"/>
          <w:sz w:val="18"/>
        </w:rPr>
        <w:t xml:space="preserve">4. GST Portal - Form GSTR-2B manual and guidance - </w:t>
      </w:r>
      <w:hyperlink r:id="rId14">
        <w:r>
          <w:rPr>
            <w:color w:val="2F6690"/>
            <w:u w:val="single"/>
            <w:rFonts w:ascii="Lato" w:hAnsi="Lato"/>
          </w:rPr>
          <w:t>Official source</w:t>
        </w:r>
      </w:hyperlink>
    </w:p>
    <w:p>
      <w:pPr>
        <w:widowControl/>
        <w:spacing w:after="100"/>
        <w:ind w:left="216" w:hanging="216"/>
      </w:pPr>
      <w:r>
        <w:rPr>
          <w:rFonts w:ascii="Lato" w:hAnsi="Lato"/>
          <w:color w:val="3F4A54"/>
          <w:sz w:val="18"/>
        </w:rPr>
        <w:t xml:space="preserve">5. GST Portal - Form GSTR-3B guidance - </w:t>
      </w:r>
      <w:hyperlink r:id="rId15">
        <w:r>
          <w:rPr>
            <w:color w:val="2F6690"/>
            <w:u w:val="single"/>
            <w:rFonts w:ascii="Lato" w:hAnsi="Lato"/>
          </w:rPr>
          <w:t>Official source</w:t>
        </w:r>
      </w:hyperlink>
    </w:p>
    <w:p>
      <w:pPr>
        <w:pStyle w:val="Heading2"/>
        <w:keepNext/>
        <w:pageBreakBefore w:val="0"/>
        <w:widowControl/>
        <w:spacing w:before="140" w:after="60"/>
      </w:pPr>
      <w:r>
        <w:rPr>
          <w:rFonts w:ascii="Lato" w:hAnsi="Lato"/>
          <w:b/>
          <w:color w:val="0F766E"/>
          <w:sz w:val="26"/>
        </w:rPr>
        <w:t>25.1 Professional alignment map</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168"/>
            <w:shd w:fill="0F766E"/>
            <w:tcMar>
              <w:top w:w="70" w:type="dxa"/>
              <w:start w:w="70" w:type="dxa"/>
              <w:bottom w:w="70" w:type="dxa"/>
              <w:end w:w="70" w:type="dxa"/>
            </w:tcMar>
          </w:tcPr>
          <w:p>
            <w:pPr>
              <w:jc w:val="left"/>
            </w:pPr>
            <w:r>
              <w:rPr>
                <w:rFonts w:ascii="Lato" w:hAnsi="Lato"/>
                <w:b/>
                <w:color w:val="FFFFFF"/>
                <w:sz w:val="17"/>
              </w:rPr>
              <w:t>Product area</w:t>
            </w:r>
          </w:p>
        </w:tc>
        <w:tc>
          <w:tcPr>
            <w:tcW w:type="dxa" w:w="6192"/>
            <w:shd w:fill="0F766E"/>
            <w:tcMar>
              <w:top w:w="70" w:type="dxa"/>
              <w:start w:w="70" w:type="dxa"/>
              <w:bottom w:w="70" w:type="dxa"/>
              <w:end w:w="70" w:type="dxa"/>
            </w:tcMar>
          </w:tcPr>
          <w:p>
            <w:pPr>
              <w:jc w:val="left"/>
            </w:pPr>
            <w:r>
              <w:rPr>
                <w:rFonts w:ascii="Lato" w:hAnsi="Lato"/>
                <w:b/>
                <w:color w:val="FFFFFF"/>
                <w:sz w:val="17"/>
              </w:rPr>
              <w:t>Reference point supported in the audit workflow</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Audit documentation and workpapers</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SA 230 and firm documentation methodology.</w:t>
            </w:r>
          </w:p>
        </w:tc>
      </w:tr>
      <w:tr>
        <w:trPr>
          <w:cantSplit/>
        </w:trPr>
        <w:tc>
          <w:tcPr>
            <w:tcW w:type="dxa" w:w="3168"/>
            <w:tcMar>
              <w:top w:w="60" w:type="dxa"/>
              <w:start w:w="70" w:type="dxa"/>
              <w:bottom w:w="60" w:type="dxa"/>
              <w:end w:w="70" w:type="dxa"/>
            </w:tcMar>
            <w:vAlign w:val="top"/>
          </w:tcPr>
          <w:p>
            <w:pPr>
              <w:spacing w:after="0" w:line="240" w:lineRule="auto"/>
            </w:pPr>
            <w:r>
              <w:rPr>
                <w:rFonts w:ascii="Lato" w:hAnsi="Lato"/>
                <w:color w:val="3F4A54"/>
                <w:sz w:val="17"/>
              </w:rPr>
              <w:t>Fraud-risk and management-override procedures</w:t>
            </w:r>
          </w:p>
        </w:tc>
        <w:tc>
          <w:tcPr>
            <w:tcW w:type="dxa" w:w="6192"/>
            <w:tcMar>
              <w:top w:w="60" w:type="dxa"/>
              <w:start w:w="70" w:type="dxa"/>
              <w:bottom w:w="60" w:type="dxa"/>
              <w:end w:w="70" w:type="dxa"/>
            </w:tcMar>
            <w:vAlign w:val="top"/>
          </w:tcPr>
          <w:p>
            <w:pPr>
              <w:spacing w:after="0" w:line="240" w:lineRule="auto"/>
            </w:pPr>
            <w:r>
              <w:rPr>
                <w:rFonts w:ascii="Lato" w:hAnsi="Lato"/>
                <w:color w:val="3F4A54"/>
                <w:sz w:val="17"/>
              </w:rPr>
              <w:t>SA 240 and engagement-specific risk assessment.</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Understanding and assessing risk</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SA 315 and related firm procedures.</w:t>
            </w:r>
          </w:p>
        </w:tc>
      </w:tr>
      <w:tr>
        <w:trPr>
          <w:cantSplit/>
        </w:trPr>
        <w:tc>
          <w:tcPr>
            <w:tcW w:type="dxa" w:w="3168"/>
            <w:tcMar>
              <w:top w:w="60" w:type="dxa"/>
              <w:start w:w="70" w:type="dxa"/>
              <w:bottom w:w="60" w:type="dxa"/>
              <w:end w:w="70" w:type="dxa"/>
            </w:tcMar>
            <w:vAlign w:val="top"/>
          </w:tcPr>
          <w:p>
            <w:pPr>
              <w:spacing w:after="0" w:line="240" w:lineRule="auto"/>
            </w:pPr>
            <w:r>
              <w:rPr>
                <w:rFonts w:ascii="Lato" w:hAnsi="Lato"/>
                <w:color w:val="3F4A54"/>
                <w:sz w:val="17"/>
              </w:rPr>
              <w:t>Evidence collection and sufficiency</w:t>
            </w:r>
          </w:p>
        </w:tc>
        <w:tc>
          <w:tcPr>
            <w:tcW w:type="dxa" w:w="6192"/>
            <w:tcMar>
              <w:top w:w="60" w:type="dxa"/>
              <w:start w:w="70" w:type="dxa"/>
              <w:bottom w:w="60" w:type="dxa"/>
              <w:end w:w="70" w:type="dxa"/>
            </w:tcMar>
            <w:vAlign w:val="top"/>
          </w:tcPr>
          <w:p>
            <w:pPr>
              <w:spacing w:after="0" w:line="240" w:lineRule="auto"/>
            </w:pPr>
            <w:r>
              <w:rPr>
                <w:rFonts w:ascii="Lato" w:hAnsi="Lato"/>
                <w:color w:val="3F4A54"/>
                <w:sz w:val="17"/>
              </w:rPr>
              <w:t>SA 500 and approved evidence methodology.</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Analytical procedures</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SA 520 and firm-approved analytical techniques.</w:t>
            </w:r>
          </w:p>
        </w:tc>
      </w:tr>
      <w:tr>
        <w:trPr>
          <w:cantSplit/>
        </w:trPr>
        <w:tc>
          <w:tcPr>
            <w:tcW w:type="dxa" w:w="3168"/>
            <w:tcMar>
              <w:top w:w="60" w:type="dxa"/>
              <w:start w:w="70" w:type="dxa"/>
              <w:bottom w:w="60" w:type="dxa"/>
              <w:end w:w="70" w:type="dxa"/>
            </w:tcMar>
            <w:vAlign w:val="top"/>
          </w:tcPr>
          <w:p>
            <w:pPr>
              <w:spacing w:after="0" w:line="240" w:lineRule="auto"/>
            </w:pPr>
            <w:r>
              <w:rPr>
                <w:rFonts w:ascii="Lato" w:hAnsi="Lato"/>
                <w:color w:val="3F4A54"/>
                <w:sz w:val="17"/>
              </w:rPr>
              <w:t>Accounting-software audit trail</w:t>
            </w:r>
          </w:p>
        </w:tc>
        <w:tc>
          <w:tcPr>
            <w:tcW w:type="dxa" w:w="6192"/>
            <w:tcMar>
              <w:top w:w="60" w:type="dxa"/>
              <w:start w:w="70" w:type="dxa"/>
              <w:bottom w:w="60" w:type="dxa"/>
              <w:end w:w="70" w:type="dxa"/>
            </w:tcMar>
            <w:vAlign w:val="top"/>
          </w:tcPr>
          <w:p>
            <w:pPr>
              <w:spacing w:after="0" w:line="240" w:lineRule="auto"/>
            </w:pPr>
            <w:r>
              <w:rPr>
                <w:rFonts w:ascii="Lato" w:hAnsi="Lato"/>
                <w:color w:val="3F4A54"/>
                <w:sz w:val="17"/>
              </w:rPr>
              <w:t>Applicable law, Rule 11(g) reporting guidance and the firm's audit-trail procedure.</w:t>
            </w:r>
          </w:p>
        </w:tc>
      </w:tr>
      <w:tr>
        <w:trPr>
          <w:cantSplit/>
        </w:trPr>
        <w:tc>
          <w:tcPr>
            <w:tcW w:type="dxa" w:w="3168"/>
            <w:tcMar>
              <w:top w:w="60" w:type="dxa"/>
              <w:start w:w="70" w:type="dxa"/>
              <w:bottom w:w="60" w:type="dxa"/>
              <w:end w:w="70" w:type="dxa"/>
            </w:tcMar>
            <w:shd w:fill="FAFBFC"/>
            <w:vAlign w:val="top"/>
          </w:tcPr>
          <w:p>
            <w:pPr>
              <w:spacing w:after="0" w:line="240" w:lineRule="auto"/>
            </w:pPr>
            <w:r>
              <w:rPr>
                <w:rFonts w:ascii="Lato" w:hAnsi="Lato"/>
                <w:color w:val="3F4A54"/>
                <w:sz w:val="17"/>
              </w:rPr>
              <w:t>GST reconciliation</w:t>
            </w:r>
          </w:p>
        </w:tc>
        <w:tc>
          <w:tcPr>
            <w:tcW w:type="dxa" w:w="6192"/>
            <w:tcMar>
              <w:top w:w="60" w:type="dxa"/>
              <w:start w:w="70" w:type="dxa"/>
              <w:bottom w:w="60" w:type="dxa"/>
              <w:end w:w="70" w:type="dxa"/>
            </w:tcMar>
            <w:shd w:fill="FAFBFC"/>
            <w:vAlign w:val="top"/>
          </w:tcPr>
          <w:p>
            <w:pPr>
              <w:spacing w:after="0" w:line="240" w:lineRule="auto"/>
            </w:pPr>
            <w:r>
              <w:rPr>
                <w:rFonts w:ascii="Lato" w:hAnsi="Lato"/>
                <w:color w:val="3F4A54"/>
                <w:sz w:val="17"/>
              </w:rPr>
              <w:t>Official GSTR-1, GSTR-2B and GSTR-3B definitions and current GST professional guidance.</w:t>
            </w:r>
          </w:p>
        </w:tc>
      </w:tr>
    </w:tbl>
    <w:p>
      <w:pPr>
        <w:widowControl/>
        <w:spacing w:after="0"/>
      </w:pPr>
    </w:p>
    <w:tbl>
      <w:tblPr>
        <w:tblW w:type="auto" w:w="0"/>
        <w:jc w:val="center"/>
        <w:tblLayout w:type="fixed"/>
        <w:tblLook w:firstColumn="1" w:firstRow="1" w:lastColumn="0" w:lastRow="0" w:noHBand="0" w:noVBand="1" w:val="04A0"/>
      </w:tblPr>
      <w:tblGrid>
        <w:gridCol w:w="10086"/>
      </w:tblGrid>
      <w:tr>
        <w:tc>
          <w:tcPr>
            <w:tcW w:type="dxa" w:w="9360"/>
            <w:shd w:fill="E8F5F2"/>
            <w:tcMar>
              <w:top w:w="110" w:type="dxa"/>
              <w:start w:w="150" w:type="dxa"/>
              <w:bottom w:w="110" w:type="dxa"/>
              <w:end w:w="150" w:type="dxa"/>
            </w:tcMar>
            <w:tcBorders>
              <w:top w:val="single" w:sz="2" w:color="E8F5F2"/>
              <w:start w:val="single" w:sz="18" w:color="0F766E"/>
              <w:bottom w:val="single" w:sz="2" w:color="E8F5F2"/>
              <w:end w:val="single" w:sz="2" w:color="E8F5F2"/>
            </w:tcBorders>
          </w:tcPr>
          <w:p>
            <w:pPr>
              <w:spacing w:after="40"/>
            </w:pPr>
            <w:r>
              <w:rPr>
                <w:rFonts w:ascii="Lato" w:hAnsi="Lato"/>
                <w:b/>
                <w:color w:val="0F766E"/>
                <w:sz w:val="21"/>
              </w:rPr>
              <w:t>Final product governance requirement</w:t>
            </w:r>
          </w:p>
          <w:p>
            <w:pPr>
              <w:spacing w:after="0" w:line="252" w:lineRule="auto"/>
            </w:pPr>
            <w:r>
              <w:rPr>
                <w:rFonts w:ascii="Lato" w:hAnsi="Lato"/>
                <w:color w:val="3F4A54"/>
                <w:sz w:val="19"/>
              </w:rPr>
              <w:t>Before commercial release, an Audit Methodology Committee and GST Subject-Matter Committee should approve every rule, threshold, system wording, workpaper template and regulatory mapping. Product code must implement versioned, approved methodology rather than informal assumptions.</w:t>
            </w:r>
          </w:p>
        </w:tc>
      </w:tr>
    </w:tbl>
    <w:p>
      <w:pPr>
        <w:widowControl/>
        <w:spacing w:after="0"/>
      </w:pP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680"/>
      <w:gridCol w:w="4680"/>
    </w:tblGrid>
    <w:tr>
      <w:tc>
        <w:tcPr>
          <w:tcW w:type="dxa" w:w="6912"/>
          <w:tcBorders>
            <w:top w:val="single" w:sz="4" w:color="D9E0E6"/>
            <w:start w:val="nil"/>
            <w:bottom w:val="nil"/>
            <w:end w:val="nil"/>
          </w:tcBorders>
          <w:tcMar>
            <w:top w:w="50" w:type="dxa"/>
            <w:start w:w="20" w:type="dxa"/>
            <w:bottom w:w="0" w:type="dxa"/>
            <w:end w:w="20" w:type="dxa"/>
          </w:tcMar>
        </w:tcPr>
        <w:p>
          <w:pPr>
            <w:jc w:val="left"/>
          </w:pPr>
          <w:r>
            <w:rPr>
              <w:rFonts w:ascii="Lato" w:hAnsi="Lato"/>
              <w:color w:val="6D7A86"/>
              <w:sz w:val="14"/>
            </w:rPr>
            <w:t>Confidential working document - for product design and validation</w:t>
          </w:r>
        </w:p>
      </w:tc>
      <w:tc>
        <w:tcPr>
          <w:tcW w:type="dxa" w:w="2448"/>
          <w:tcBorders>
            <w:top w:val="single" w:sz="4" w:color="D9E0E6"/>
            <w:start w:val="nil"/>
            <w:bottom w:val="nil"/>
            <w:end w:val="nil"/>
          </w:tcBorders>
          <w:tcMar>
            <w:top w:w="50" w:type="dxa"/>
            <w:start w:w="20" w:type="dxa"/>
            <w:bottom w:w="0" w:type="dxa"/>
            <w:end w:w="20" w:type="dxa"/>
          </w:tcMar>
        </w:tcPr>
        <w:p>
          <w:pPr>
            <w:jc w:val="right"/>
          </w:pPr>
          <w:r>
            <w:rPr>
              <w:rFonts w:ascii="Lato" w:hAnsi="Lato"/>
              <w:color w:val="66737F"/>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color w:val="6D7A86"/>
        <w:sz w:val="15"/>
      </w:rPr>
      <w:t>Ledger Integrity &amp; Audit Intelligence Platform | BRD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3F4A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rPr>
  </w:style>
  <w:style w:type="paragraph" w:styleId="ListBullet2">
    <w:name w:val="List Bullet 2"/>
    <w:basedOn w:val="Normal"/>
    <w:uiPriority w:val="99"/>
    <w:unhideWhenUsed/>
    <w:rsid w:val="00326F90"/>
    <w:pPr>
      <w:numPr>
        <w:numId w:val="2"/>
      </w:numPr>
      <w:contextualSpacing/>
    </w:pPr>
    <w:rPr>
      <w:rFonts w:ascii="Lato" w:hAnsi="Lat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cai.org/post/auditing-review-and-other-standards-formerly-known-as-aas-complete-text" TargetMode="External"/><Relationship Id="rId12" Type="http://schemas.openxmlformats.org/officeDocument/2006/relationships/hyperlink" Target="https://www.icai.org/post/icai-publications-auditing-assurance-standards-board" TargetMode="External"/><Relationship Id="rId13" Type="http://schemas.openxmlformats.org/officeDocument/2006/relationships/hyperlink" Target="https://tutorial.gst.gov.in/userguide/returns/GSTR_1.htm" TargetMode="External"/><Relationship Id="rId14" Type="http://schemas.openxmlformats.org/officeDocument/2006/relationships/hyperlink" Target="https://tutorial.gst.gov.in/userguide/returns/Manual_gstr2b.htm" TargetMode="External"/><Relationship Id="rId15" Type="http://schemas.openxmlformats.org/officeDocument/2006/relationships/hyperlink" Target="https://tutorial.gst.gov.in/userguide/returns/GSTR3B.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 Integrity &amp; Audit Intelligence Platform - Business Requirements Document</dc:title>
  <dc:subject>Audit analytics, GST reconciliation, Benford analysis and evidence workflow</dc:subject>
  <dc:creator>Product Design Team</dc:creator>
  <cp:keywords>BRD, audit analytics, GST reconciliation, Benford law, CA firms, journal testing</cp:keywords>
  <dc:description>Prepared as a business requirements baseline for stakeholder validation.</dc:description>
  <cp:lastModifiedBy/>
  <cp:revision>1</cp:revision>
  <dcterms:created xsi:type="dcterms:W3CDTF">2013-12-23T23:15:00Z</dcterms:created>
  <dcterms:modified xsi:type="dcterms:W3CDTF">2013-12-23T23:15:00Z</dcterms:modified>
  <cp:category/>
</cp:coreProperties>
</file>