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runApp(MyApp());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  primarySwatch: Colors.deepOrange,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home: HomePage(),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class HomePage extends StatefulWidget {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HomePageState createState() =&gt; HomePageState();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class HomePageState extends State&lt;HomePage&gt; {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    title: const Text('Shape'),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    backgroundColor:Colors.blue,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  body: Column(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      children: &lt;Widget&gt;[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        const SizedBox(height:40),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        Row(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            children: &lt;Widget&gt;[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       Container(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      width: 220.0,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      height: 220.0,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      decoration: const  BoxDecoration(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          color: Colors.orange,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          shape: BoxShape.rectangle,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          borderRadius: BorderRadius.only( topLeft: Radius.circular(150), topRight: Radius.circular(150),bottomRight: Radius.circular(150),bottomLeft: Radius.circular(150)),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      ),   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             const  SizedBox(width:60),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              Container(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      width: 220.0,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      height: 220.0,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      decoration: const  BoxDecoration(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          color: Colors.orange,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          shape: BoxShape.rectangle,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      ),   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                 const  SizedBox(width:60),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              Container(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      width: 4.0,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      height: 220.0,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      decoration: const  BoxDecoration(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          color: Colors.orange,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          shape: BoxShape.rectangle,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     ),   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            ],),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       const SizedBox(height:60),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        Container(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        width: 240.0,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      height: 120.0,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      decoration: const BoxDecoration(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            color: Colors.orange,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            shape: BoxShape.rectangle,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),);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