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документ</w:t>
      </w:r>
    </w:p>
    <w:p>
      <w:r>
        <w:t>Настоящий документ является тестовым для проверки парсинга документов.</w:t>
      </w:r>
    </w:p>
    <w:p>
      <w:pPr>
        <w:pStyle w:val="Heading1"/>
      </w:pPr>
      <w:r>
        <w:t>Общие положения</w:t>
      </w:r>
    </w:p>
    <w:p>
      <w:r>
        <w:t>Настоящий регламент устанавливает порядок взаимодействия между подразделениями.</w:t>
      </w:r>
    </w:p>
    <w:p>
      <w:pPr>
        <w:pStyle w:val="Heading2"/>
      </w:pPr>
      <w:r>
        <w:t>Область применения</w:t>
      </w:r>
    </w:p>
    <w:p>
      <w:r>
        <w:t>Настоящий регламент распространяется на все подразделения холдинга.</w:t>
      </w:r>
    </w:p>
    <w:p>
      <w:pPr>
        <w:pStyle w:val="Heading2"/>
      </w:pPr>
      <w:r>
        <w:t>Нормативные ссылки</w:t>
      </w:r>
    </w:p>
    <w:p>
      <w:r>
        <w:t>ГОСТ Р 7.0.97-2016 Система стандартов по информации, библиотечному и издательскому делу.</w:t>
      </w:r>
    </w:p>
    <w:p>
      <w:pPr>
        <w:pStyle w:val="Heading1"/>
      </w:pPr>
      <w:r>
        <w:t>Термины и определения</w:t>
      </w:r>
    </w:p>
    <w:p>
      <w:r>
        <w:t>Регламент — документ, устанавливающий порядок выполнения бизнес-процессов.</w:t>
      </w:r>
    </w:p>
    <w:p>
      <w:r>
        <w:t>Холдинг — совокупность юридических лиц, связанных отношениями управления.</w:t>
      </w:r>
    </w:p>
    <w:p>
      <w:r>
        <w:t>Подразделение — структурная единица холдинга, выполняющая определённые функции.</w:t>
      </w:r>
    </w:p>
    <w:p>
      <w:pPr>
        <w:pStyle w:val="Heading1"/>
      </w:pPr>
      <w:r>
        <w:t>Сокращения</w:t>
      </w:r>
    </w:p>
    <w:p>
      <w:r>
        <w:t>ООО — Общество с ограниченной ответственностью</w:t>
      </w:r>
    </w:p>
    <w:p>
      <w:r>
        <w:t>АО — Акционерное общество</w:t>
      </w:r>
    </w:p>
    <w:p>
      <w:r>
        <w:t>СЭД (Система электронного документооборота)</w:t>
      </w:r>
    </w:p>
    <w:p>
      <w:pPr>
        <w:pStyle w:val="Heading1"/>
      </w:pPr>
      <w:r>
        <w:t>Порядок взаимодействия</w:t>
      </w:r>
    </w:p>
    <w:p>
      <w:r>
        <w:t>Взаимодействие между подразделениями осуществляется через СЭД.</w:t>
      </w:r>
    </w:p>
    <w:p>
      <w:pPr>
        <w:pStyle w:val="Heading2"/>
      </w:pPr>
      <w:r>
        <w:t>Обмен документами</w:t>
      </w:r>
    </w:p>
    <w:p>
      <w:r>
        <w:t>Передача документов осуществляется в электронном виде.</w:t>
      </w:r>
    </w:p>
    <w:p>
      <w:pPr>
        <w:pStyle w:val="Heading2"/>
      </w:pPr>
      <w:r>
        <w:t>Формы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Код формы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Срок хранения</w:t>
            </w:r>
          </w:p>
        </w:tc>
      </w:tr>
      <w:tr>
        <w:tc>
          <w:tcPr>
            <w:tcW w:type="dxa" w:w="2880"/>
          </w:tcPr>
          <w:p>
            <w:r>
              <w:t>Ф-001</w:t>
            </w:r>
          </w:p>
        </w:tc>
        <w:tc>
          <w:tcPr>
            <w:tcW w:type="dxa" w:w="2880"/>
          </w:tcPr>
          <w:p>
            <w:r>
              <w:t>Заявка на закупку</w:t>
            </w:r>
          </w:p>
        </w:tc>
        <w:tc>
          <w:tcPr>
            <w:tcW w:type="dxa" w:w="2880"/>
          </w:tcPr>
          <w:p>
            <w:r>
              <w:t>5 лет</w:t>
            </w:r>
          </w:p>
        </w:tc>
      </w:tr>
      <w:tr>
        <w:tc>
          <w:tcPr>
            <w:tcW w:type="dxa" w:w="2880"/>
          </w:tcPr>
          <w:p>
            <w:r>
              <w:t>Ф-002</w:t>
            </w:r>
          </w:p>
        </w:tc>
        <w:tc>
          <w:tcPr>
            <w:tcW w:type="dxa" w:w="2880"/>
          </w:tcPr>
          <w:p>
            <w:r>
              <w:t>Акт приёма-передачи</w:t>
            </w:r>
          </w:p>
        </w:tc>
        <w:tc>
          <w:tcPr>
            <w:tcW w:type="dxa" w:w="2880"/>
          </w:tcPr>
          <w:p>
            <w:r>
              <w:t>3 года</w:t>
            </w:r>
          </w:p>
        </w:tc>
      </w:tr>
      <w:tr>
        <w:tc>
          <w:tcPr>
            <w:tcW w:type="dxa" w:w="2880"/>
          </w:tcPr>
          <w:p>
            <w:r>
              <w:t>Ф-003</w:t>
            </w:r>
          </w:p>
        </w:tc>
        <w:tc>
          <w:tcPr>
            <w:tcW w:type="dxa" w:w="2880"/>
          </w:tcPr>
          <w:p>
            <w:r>
              <w:t>Служебная записка</w:t>
            </w:r>
          </w:p>
        </w:tc>
        <w:tc>
          <w:tcPr>
            <w:tcW w:type="dxa" w:w="2880"/>
          </w:tcPr>
          <w:p>
            <w:r>
              <w:t>1 год</w:t>
            </w:r>
          </w:p>
        </w:tc>
      </w:tr>
    </w:tbl>
    <w:p>
      <w:pPr>
        <w:pStyle w:val="Heading1"/>
      </w:pPr>
      <w:r>
        <w:t>Заключительные положения</w:t>
      </w:r>
    </w:p>
    <w:p>
      <w:r>
        <w:t>Настоящий регламент вступает в силу с даты утверждения.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