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1"/>
        <w:gridCol w:w="1425"/>
        <w:gridCol w:w="2392"/>
        <w:gridCol w:w="1193"/>
        <w:gridCol w:w="1376"/>
        <w:gridCol w:w="1143"/>
      </w:tblGrid>
      <w:tr>
        <w:trPr>
          <w:trHeight w:val="617" w:hRule="auto"/>
          <w:tblHeader/>
        </w:trPr>
        header 1
        <w:tc>
          <w:tcPr>
            <w:gridSpan w:val="6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Table S2. Enhanced Leave-One-Out Sensitivity Analysis Results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Study Excluded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Log 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Influence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Δτ² (%)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0.044 (0.016, 0.072)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0.046 (0.018, 0.075)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5.7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0.044 (0.016, 0.072)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0.045 (0.016, 0.073)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10.4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0.046 (0.017, 0.074)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7.9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0.043 (0.015, 0.072)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0.052 (0.023, 0.081)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-12.8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0.047 (0.018, 0.075)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-5.4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0.047 (0.017, 0.077)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8.8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0.036 (0.01, 0.062)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-18.0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0.043 (0.014, 0.072)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16.1</w:t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0.048 (0.023, 0.074)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-47.8</w:t>
            </w:r>
          </w:p>
        </w:tc>
      </w:tr>
      <w:tr>
        <w:trPr>
          <w:trHeight w:val="617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0.046 (0.017, 0.075)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15.3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0.045 (0.015, 0.074)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10.1</w:t>
            </w:r>
          </w:p>
        </w:tc>
      </w:tr>
      <w:tr>
        <w:trPr>
          <w:trHeight w:val="617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0.043 (0.014, 0.072)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3.3</w:t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0.043 (0.014, 0.072)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-3.4</w:t>
            </w:r>
          </w:p>
        </w:tc>
      </w:tr>
      <w:tr>
        <w:trPr>
          <w:trHeight w:val="617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0.039 (0.013, 0.066)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-36.3</w:t>
            </w:r>
          </w:p>
        </w:tc>
      </w:tr>
      <w:tr>
        <w:trPr>
          <w:trHeight w:val="617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0.038 (0.008, 0.068)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53.4</w:t>
            </w:r>
          </w:p>
        </w:tc>
      </w:tr>
      <w:tr>
        <w:trPr>
          <w:trHeight w:val="617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0.046 (0.017, 0.074)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4.0</w:t>
            </w:r>
          </w:p>
        </w:tc>
      </w:tr>
      <w:tr>
        <w:trPr>
          <w:trHeight w:val="617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0.042 (0.013, 0.07)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-1.5</w:t>
            </w:r>
          </w:p>
        </w:tc>
      </w:tr>
      <w:tr>
        <w:trPr>
          <w:trHeight w:val="617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0.045 (0.017, 0.074)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-3.6</w:t>
            </w:r>
          </w:p>
        </w:tc>
      </w:tr>
      <w:tr>
        <w:trPr>
          <w:trHeight w:val="617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0.041 (0.013, 0.069)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-7.2</w:t>
            </w:r>
          </w:p>
        </w:tc>
      </w:tr>
      <w:tr>
        <w:trPr>
          <w:trHeight w:val="617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ma_103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0.049 (0.022, 0.076)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-36.5</w:t>
            </w:r>
          </w:p>
        </w:tc>
      </w:tr>
      <w:tr>
        <w:trPr>
          <w:trHeight w:val="617" w:hRule="auto"/>
        </w:trPr>
        body24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ma_104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0.046 (0.016, 0.076)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30.2</w:t>
            </w:r>
          </w:p>
        </w:tc>
      </w:tr>
    </w:tbl>
    <w:p>
      <w:pPr>
        <w:pStyle w:val="Normal"/>
      </w:pPr>
      <w:r>
        <w:t xml:space="preserve">Results of leave-one-out sensitivity analyses examining the impact of excluding each meta-analysis individually. The overall model includes all meta-analyses. Log OR = log odds ratio; CI = confidence interval; Influence = absolute change in log OR when study excluded; Δτ² = percentage change in between-study heterogeneity (τ²) when study excluded. Studies with influence &gt; 0.1 are highlighted in yellow as potentially influential.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2025-08-23T15:15:04Z</dcterms:modified>
  <cp:category/>
</cp:coreProperties>
</file>