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C8846">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 xml:space="preserve">МИНИСТЕРСТВО ЦИФРОВОГО РАЗВИТИЯ, СВЯЗИ И МАССОВЫХ </w:t>
      </w:r>
    </w:p>
    <w:p w14:paraId="2544D2AD">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КОММУНИКАЦИЙ РОССИЙСКОЙ ФЕДЕРАЦИИ</w:t>
      </w:r>
    </w:p>
    <w:p w14:paraId="5C530A3E">
      <w:pPr>
        <w:keepNext/>
        <w:spacing w:after="0" w:line="240" w:lineRule="auto"/>
        <w:jc w:val="center"/>
        <w:outlineLvl w:val="1"/>
        <w:rPr>
          <w:rFonts w:ascii="Times New Roman" w:hAnsi="Times New Roman" w:eastAsia="Times New Roman" w:cs="Times New Roman"/>
          <w:bCs/>
          <w:iCs/>
          <w:sz w:val="24"/>
          <w:szCs w:val="24"/>
          <w:lang w:eastAsia="ru-RU"/>
        </w:rPr>
      </w:pPr>
      <w:r>
        <w:rPr>
          <w:rFonts w:ascii="Times New Roman" w:hAnsi="Times New Roman" w:eastAsia="Times New Roman" w:cs="Times New Roman"/>
          <w:bCs/>
          <w:iCs/>
          <w:sz w:val="24"/>
          <w:szCs w:val="24"/>
          <w:lang w:eastAsia="ru-RU"/>
        </w:rPr>
        <w:t xml:space="preserve">ФЕДЕРАЛЬНОЕ ГОСУДАРСТВЕННОЕ БЮДЖЕТНОЕ </w:t>
      </w:r>
    </w:p>
    <w:p w14:paraId="78BCCCBA">
      <w:pPr>
        <w:keepNext/>
        <w:spacing w:after="0" w:line="240" w:lineRule="auto"/>
        <w:jc w:val="center"/>
        <w:outlineLvl w:val="1"/>
        <w:rPr>
          <w:rFonts w:ascii="Times New Roman" w:hAnsi="Times New Roman" w:eastAsia="Times New Roman" w:cs="Times New Roman"/>
          <w:bCs/>
          <w:iCs/>
          <w:sz w:val="24"/>
          <w:szCs w:val="24"/>
          <w:lang w:eastAsia="ru-RU"/>
        </w:rPr>
      </w:pPr>
      <w:r>
        <w:rPr>
          <w:rFonts w:ascii="Times New Roman" w:hAnsi="Times New Roman" w:eastAsia="Times New Roman" w:cs="Times New Roman"/>
          <w:bCs/>
          <w:iCs/>
          <w:sz w:val="24"/>
          <w:szCs w:val="24"/>
          <w:lang w:eastAsia="ru-RU"/>
        </w:rPr>
        <w:t>ОБРАЗОВАТЕЛЬНОЕ УЧРЕЖДЕНИЕ ВЫСШЕГО ОБРАЗОВАНИЯ</w:t>
      </w:r>
    </w:p>
    <w:p w14:paraId="7E070476">
      <w:pPr>
        <w:keepNext/>
        <w:spacing w:after="0" w:line="240" w:lineRule="auto"/>
        <w:jc w:val="center"/>
        <w:outlineLvl w:val="1"/>
        <w:rPr>
          <w:rFonts w:ascii="Times New Roman" w:hAnsi="Times New Roman" w:eastAsia="Times New Roman" w:cs="Times New Roman"/>
          <w:bCs/>
          <w:iCs/>
          <w:sz w:val="24"/>
          <w:szCs w:val="24"/>
          <w:lang w:eastAsia="ru-RU"/>
        </w:rPr>
      </w:pPr>
      <w:r>
        <w:rPr>
          <w:rFonts w:ascii="Times New Roman" w:hAnsi="Times New Roman" w:eastAsia="Times New Roman" w:cs="Times New Roman"/>
          <w:bCs/>
          <w:iCs/>
          <w:sz w:val="24"/>
          <w:szCs w:val="24"/>
          <w:lang w:eastAsia="ru-RU"/>
        </w:rPr>
        <w:t xml:space="preserve">«СИБИРСКИЙ ГОСУДАРСТВЕННЫЙ УНИВЕРСИТЕТ </w:t>
      </w:r>
    </w:p>
    <w:p w14:paraId="6E431DAC">
      <w:pPr>
        <w:keepNext/>
        <w:spacing w:after="0" w:line="240" w:lineRule="auto"/>
        <w:jc w:val="center"/>
        <w:outlineLvl w:val="1"/>
        <w:rPr>
          <w:rFonts w:ascii="Times New Roman" w:hAnsi="Times New Roman" w:eastAsia="Times New Roman" w:cs="Times New Roman"/>
          <w:bCs/>
          <w:iCs/>
          <w:sz w:val="24"/>
          <w:szCs w:val="24"/>
          <w:lang w:eastAsia="ru-RU"/>
        </w:rPr>
      </w:pPr>
      <w:r>
        <w:rPr>
          <w:rFonts w:ascii="Times New Roman" w:hAnsi="Times New Roman" w:eastAsia="Times New Roman" w:cs="Times New Roman"/>
          <w:bCs/>
          <w:iCs/>
          <w:sz w:val="24"/>
          <w:szCs w:val="24"/>
          <w:lang w:eastAsia="ru-RU"/>
        </w:rPr>
        <w:t>ТЕЛЕКОММУНИКАЦИЙ И ИНФОРМАТИКИ»</w:t>
      </w:r>
    </w:p>
    <w:p w14:paraId="1FD64499">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(СибГУТИ)</w:t>
      </w:r>
    </w:p>
    <w:p w14:paraId="7A1277D2">
      <w:pPr>
        <w:keepNext/>
        <w:spacing w:after="0" w:line="240" w:lineRule="auto"/>
        <w:jc w:val="center"/>
        <w:outlineLvl w:val="1"/>
        <w:rPr>
          <w:rFonts w:ascii="Times New Roman" w:hAnsi="Times New Roman" w:eastAsia="Times New Roman" w:cs="Times New Roman"/>
          <w:bCs/>
          <w:iCs/>
          <w:sz w:val="24"/>
          <w:szCs w:val="24"/>
          <w:lang w:eastAsia="ru-RU"/>
        </w:rPr>
      </w:pPr>
      <w:r>
        <w:rPr>
          <w:rFonts w:ascii="Times New Roman" w:hAnsi="Times New Roman" w:eastAsia="Times New Roman" w:cs="Times New Roman"/>
          <w:bCs/>
          <w:iCs/>
          <w:sz w:val="24"/>
          <w:szCs w:val="24"/>
          <w:lang w:eastAsia="ru-RU"/>
        </w:rPr>
        <w:t>ХАБАРОВСКИЙ ИНСТИТУТ ИНФОКОММУНИКАЦИЙ (ФИЛИАЛ)</w:t>
      </w:r>
    </w:p>
    <w:p w14:paraId="318BB61D">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(ХИИК СибГУТИ)</w:t>
      </w:r>
    </w:p>
    <w:p w14:paraId="57D65611">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СРЕДНЕЕ ПРОФЕССИОНАЛЬНОЕ ОБРАЗОВАНИЕ</w:t>
      </w:r>
    </w:p>
    <w:p w14:paraId="7DA0C5A0">
      <w:pPr>
        <w:spacing w:line="360" w:lineRule="auto"/>
        <w:ind w:firstLine="851"/>
        <w:rPr>
          <w:rFonts w:ascii="Times New Roman" w:hAnsi="Times New Roman" w:cs="Times New Roman"/>
          <w:sz w:val="28"/>
          <w:szCs w:val="28"/>
        </w:rPr>
      </w:pPr>
    </w:p>
    <w:p w14:paraId="45C87665">
      <w:pPr>
        <w:spacing w:line="360" w:lineRule="auto"/>
        <w:ind w:firstLine="851"/>
        <w:rPr>
          <w:rFonts w:ascii="Times New Roman" w:hAnsi="Times New Roman" w:cs="Times New Roman"/>
          <w:sz w:val="28"/>
          <w:szCs w:val="28"/>
        </w:rPr>
      </w:pPr>
    </w:p>
    <w:p w14:paraId="6FF135C0">
      <w:pPr>
        <w:spacing w:line="360" w:lineRule="auto"/>
        <w:ind w:firstLine="851"/>
        <w:rPr>
          <w:rFonts w:ascii="Times New Roman" w:hAnsi="Times New Roman" w:cs="Times New Roman"/>
          <w:sz w:val="28"/>
          <w:szCs w:val="28"/>
        </w:rPr>
      </w:pPr>
    </w:p>
    <w:p w14:paraId="2D5C7034">
      <w:pPr>
        <w:spacing w:line="360" w:lineRule="auto"/>
        <w:ind w:firstLine="851"/>
        <w:rPr>
          <w:rFonts w:ascii="Times New Roman" w:hAnsi="Times New Roman" w:cs="Times New Roman"/>
          <w:sz w:val="28"/>
          <w:szCs w:val="28"/>
        </w:rPr>
      </w:pPr>
    </w:p>
    <w:p w14:paraId="056CC1CB">
      <w:pPr>
        <w:spacing w:line="360" w:lineRule="auto"/>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38533627">
      <w:pPr>
        <w:spacing w:line="360" w:lineRule="auto"/>
        <w:jc w:val="center"/>
        <w:rPr>
          <w:rFonts w:ascii="Times New Roman" w:hAnsi="Times New Roman" w:cs="Times New Roman"/>
          <w:sz w:val="28"/>
          <w:szCs w:val="28"/>
        </w:rPr>
      </w:pPr>
      <w:r>
        <w:rPr>
          <w:rFonts w:ascii="Times New Roman" w:hAnsi="Times New Roman" w:cs="Times New Roman"/>
          <w:sz w:val="28"/>
          <w:szCs w:val="28"/>
        </w:rPr>
        <w:t>к концепции по обеспечению информационной безопасности</w:t>
      </w:r>
    </w:p>
    <w:p w14:paraId="29E4697C">
      <w:pPr>
        <w:spacing w:line="360" w:lineRule="auto"/>
        <w:jc w:val="center"/>
        <w:rPr>
          <w:rFonts w:ascii="Times New Roman" w:hAnsi="Times New Roman" w:cs="Times New Roman"/>
          <w:sz w:val="28"/>
          <w:szCs w:val="28"/>
        </w:rPr>
      </w:pPr>
      <w:r>
        <w:rPr>
          <w:rFonts w:ascii="Times New Roman" w:hAnsi="Times New Roman" w:cs="Times New Roman"/>
          <w:sz w:val="28"/>
          <w:szCs w:val="28"/>
        </w:rPr>
        <w:t>сети связи VoIP в ОА «Искра технологии»</w:t>
      </w:r>
    </w:p>
    <w:p w14:paraId="6BF15660">
      <w:pPr>
        <w:spacing w:line="360" w:lineRule="auto"/>
        <w:ind w:firstLine="851"/>
        <w:rPr>
          <w:rFonts w:ascii="Times New Roman" w:hAnsi="Times New Roman" w:cs="Times New Roman"/>
          <w:sz w:val="28"/>
          <w:szCs w:val="28"/>
        </w:rPr>
      </w:pPr>
    </w:p>
    <w:p w14:paraId="173A216F">
      <w:pPr>
        <w:spacing w:line="360" w:lineRule="auto"/>
        <w:ind w:firstLine="851"/>
        <w:rPr>
          <w:rFonts w:ascii="Times New Roman" w:hAnsi="Times New Roman" w:cs="Times New Roman"/>
          <w:sz w:val="28"/>
          <w:szCs w:val="28"/>
        </w:rPr>
      </w:pPr>
    </w:p>
    <w:p w14:paraId="156F7447">
      <w:pPr>
        <w:spacing w:line="360" w:lineRule="auto"/>
        <w:ind w:firstLine="851"/>
        <w:rPr>
          <w:rFonts w:ascii="Times New Roman" w:hAnsi="Times New Roman" w:cs="Times New Roman"/>
          <w:sz w:val="28"/>
          <w:szCs w:val="28"/>
        </w:rPr>
      </w:pPr>
    </w:p>
    <w:p w14:paraId="132EB168">
      <w:pPr>
        <w:spacing w:line="360" w:lineRule="auto"/>
        <w:ind w:firstLine="851"/>
        <w:rPr>
          <w:rFonts w:ascii="Times New Roman" w:hAnsi="Times New Roman" w:cs="Times New Roman"/>
          <w:sz w:val="28"/>
          <w:szCs w:val="28"/>
        </w:rPr>
      </w:pPr>
    </w:p>
    <w:p w14:paraId="3CF6C5C1">
      <w:pPr>
        <w:spacing w:line="360" w:lineRule="auto"/>
        <w:ind w:firstLine="851"/>
        <w:rPr>
          <w:rFonts w:ascii="Times New Roman" w:hAnsi="Times New Roman" w:cs="Times New Roman"/>
          <w:sz w:val="28"/>
          <w:szCs w:val="28"/>
        </w:rPr>
      </w:pPr>
    </w:p>
    <w:p w14:paraId="34F5E9F8">
      <w:pPr>
        <w:spacing w:line="360" w:lineRule="auto"/>
        <w:ind w:firstLine="851"/>
        <w:rPr>
          <w:rFonts w:ascii="Times New Roman" w:hAnsi="Times New Roman" w:cs="Times New Roman"/>
          <w:sz w:val="28"/>
          <w:szCs w:val="28"/>
        </w:rPr>
      </w:pPr>
    </w:p>
    <w:p w14:paraId="5DBC3A79">
      <w:pPr>
        <w:spacing w:line="360" w:lineRule="auto"/>
        <w:ind w:firstLine="851"/>
        <w:rPr>
          <w:rFonts w:ascii="Times New Roman" w:hAnsi="Times New Roman" w:cs="Times New Roman"/>
          <w:sz w:val="28"/>
          <w:szCs w:val="28"/>
        </w:rPr>
      </w:pPr>
    </w:p>
    <w:p w14:paraId="6921050A">
      <w:pPr>
        <w:spacing w:line="360" w:lineRule="auto"/>
        <w:ind w:firstLine="851"/>
        <w:rPr>
          <w:rFonts w:ascii="Times New Roman" w:hAnsi="Times New Roman" w:cs="Times New Roman"/>
          <w:sz w:val="28"/>
          <w:szCs w:val="28"/>
        </w:rPr>
      </w:pPr>
    </w:p>
    <w:p w14:paraId="3B1FE7FA">
      <w:pPr>
        <w:spacing w:line="360" w:lineRule="auto"/>
        <w:ind w:firstLine="851"/>
        <w:rPr>
          <w:rFonts w:ascii="Times New Roman" w:hAnsi="Times New Roman" w:cs="Times New Roman"/>
          <w:sz w:val="28"/>
          <w:szCs w:val="28"/>
        </w:rPr>
      </w:pPr>
    </w:p>
    <w:p w14:paraId="02E36500">
      <w:pPr>
        <w:spacing w:line="360" w:lineRule="auto"/>
        <w:rPr>
          <w:rFonts w:ascii="Times New Roman" w:hAnsi="Times New Roman" w:cs="Times New Roman"/>
          <w:sz w:val="28"/>
          <w:szCs w:val="28"/>
        </w:rPr>
      </w:pPr>
    </w:p>
    <w:p w14:paraId="54D37230">
      <w:pPr>
        <w:spacing w:line="360" w:lineRule="auto"/>
        <w:jc w:val="center"/>
        <w:rPr>
          <w:rFonts w:ascii="Times New Roman" w:hAnsi="Times New Roman" w:cs="Times New Roman"/>
          <w:sz w:val="28"/>
          <w:szCs w:val="28"/>
        </w:rPr>
      </w:pPr>
      <w:r>
        <w:rPr>
          <w:rFonts w:ascii="Times New Roman" w:hAnsi="Times New Roman" w:cs="Times New Roman"/>
          <w:sz w:val="28"/>
          <w:szCs w:val="28"/>
        </w:rPr>
        <w:t>Хабаровск, 2025</w:t>
      </w:r>
    </w:p>
    <w:p w14:paraId="278D7715">
      <w:pPr>
        <w:spacing w:line="360" w:lineRule="auto"/>
        <w:ind w:firstLine="851"/>
        <w:rPr>
          <w:rFonts w:ascii="Times New Roman" w:hAnsi="Times New Roman" w:cs="Times New Roman"/>
          <w:sz w:val="28"/>
          <w:szCs w:val="28"/>
        </w:rPr>
      </w:pPr>
      <w:r>
        <w:rPr>
          <w:rFonts w:ascii="Times New Roman" w:hAnsi="Times New Roman" w:cs="Times New Roman"/>
          <w:sz w:val="28"/>
          <w:szCs w:val="28"/>
        </w:rPr>
        <w:br w:type="page"/>
      </w:r>
    </w:p>
    <w:p w14:paraId="5C605E4E">
      <w:pPr>
        <w:spacing w:line="360" w:lineRule="auto"/>
        <w:ind w:firstLine="851"/>
        <w:rPr>
          <w:rFonts w:ascii="Times New Roman" w:hAnsi="Times New Roman" w:cs="Times New Roman"/>
          <w:sz w:val="28"/>
          <w:szCs w:val="28"/>
        </w:rPr>
      </w:pPr>
      <w:r>
        <w:rPr>
          <w:rFonts w:ascii="Times New Roman" w:hAnsi="Times New Roman" w:cs="Times New Roman"/>
          <w:sz w:val="28"/>
          <w:szCs w:val="28"/>
        </w:rPr>
        <w:t>СОДЕРЖАНИЕ</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7"/>
        <w:gridCol w:w="1128"/>
      </w:tblGrid>
      <w:tr w14:paraId="18967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67" w:type="dxa"/>
          </w:tcPr>
          <w:p w14:paraId="4207159D">
            <w:pPr>
              <w:spacing w:after="0" w:line="360" w:lineRule="auto"/>
              <w:rPr>
                <w:rFonts w:ascii="Times New Roman" w:hAnsi="Times New Roman" w:cs="Times New Roman"/>
                <w:sz w:val="28"/>
                <w:szCs w:val="28"/>
              </w:rPr>
            </w:pPr>
            <w:r>
              <w:rPr>
                <w:rFonts w:ascii="Times New Roman" w:hAnsi="Times New Roman" w:cs="Times New Roman"/>
                <w:sz w:val="28"/>
                <w:szCs w:val="28"/>
              </w:rPr>
              <w:t>Введение</w:t>
            </w:r>
          </w:p>
        </w:tc>
        <w:tc>
          <w:tcPr>
            <w:tcW w:w="1128" w:type="dxa"/>
          </w:tcPr>
          <w:p w14:paraId="24D4F3B7">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14:paraId="2D3CF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5F993869">
            <w:pPr>
              <w:spacing w:after="0" w:line="360" w:lineRule="auto"/>
              <w:rPr>
                <w:rFonts w:ascii="Times New Roman" w:hAnsi="Times New Roman" w:cs="Times New Roman"/>
                <w:sz w:val="28"/>
                <w:szCs w:val="28"/>
              </w:rPr>
            </w:pPr>
            <w:r>
              <w:rPr>
                <w:rFonts w:ascii="Times New Roman" w:hAnsi="Times New Roman" w:cs="Times New Roman"/>
                <w:sz w:val="28"/>
                <w:szCs w:val="28"/>
              </w:rPr>
              <w:t>1 Объекты защиты в составе сети связи VoIP</w:t>
            </w:r>
          </w:p>
        </w:tc>
        <w:tc>
          <w:tcPr>
            <w:tcW w:w="1128" w:type="dxa"/>
          </w:tcPr>
          <w:p w14:paraId="14160EA8">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6</w:t>
            </w:r>
          </w:p>
        </w:tc>
      </w:tr>
      <w:tr w14:paraId="40D60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417B59F6">
            <w:pPr>
              <w:spacing w:after="0" w:line="360" w:lineRule="auto"/>
              <w:ind w:left="25" w:firstLine="851"/>
              <w:rPr>
                <w:rFonts w:ascii="Times New Roman" w:hAnsi="Times New Roman" w:cs="Times New Roman"/>
                <w:sz w:val="28"/>
                <w:szCs w:val="28"/>
              </w:rPr>
            </w:pPr>
            <w:r>
              <w:rPr>
                <w:rFonts w:ascii="Times New Roman" w:hAnsi="Times New Roman" w:cs="Times New Roman"/>
                <w:sz w:val="28"/>
                <w:szCs w:val="28"/>
              </w:rPr>
              <w:t>1.1 Программно-аппаратные комплексы, обрабатывающие информацию (голосовой трафик, сигнальную информацию, данные управления)</w:t>
            </w:r>
          </w:p>
        </w:tc>
        <w:tc>
          <w:tcPr>
            <w:tcW w:w="1128" w:type="dxa"/>
          </w:tcPr>
          <w:p w14:paraId="34371965">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6</w:t>
            </w:r>
          </w:p>
        </w:tc>
      </w:tr>
      <w:tr w14:paraId="342A0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2D1158CA">
            <w:pPr>
              <w:spacing w:after="0" w:line="360" w:lineRule="auto"/>
              <w:ind w:left="25" w:firstLine="851"/>
              <w:rPr>
                <w:rFonts w:ascii="Times New Roman" w:hAnsi="Times New Roman" w:cs="Times New Roman"/>
                <w:sz w:val="28"/>
                <w:szCs w:val="28"/>
              </w:rPr>
            </w:pPr>
            <w:r>
              <w:rPr>
                <w:rFonts w:ascii="Times New Roman" w:hAnsi="Times New Roman" w:cs="Times New Roman"/>
                <w:sz w:val="28"/>
                <w:szCs w:val="28"/>
              </w:rPr>
              <w:t>1.2 Информационные ресурсы и системы, содержащие данные управления, аутентификации и учета</w:t>
            </w:r>
          </w:p>
        </w:tc>
        <w:tc>
          <w:tcPr>
            <w:tcW w:w="1128" w:type="dxa"/>
          </w:tcPr>
          <w:p w14:paraId="0D87F761">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7</w:t>
            </w:r>
          </w:p>
        </w:tc>
      </w:tr>
      <w:tr w14:paraId="4EBFA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62E31864">
            <w:pPr>
              <w:spacing w:after="0" w:line="360" w:lineRule="auto"/>
              <w:ind w:left="25" w:firstLine="851"/>
              <w:rPr>
                <w:rFonts w:ascii="Times New Roman" w:hAnsi="Times New Roman" w:cs="Times New Roman"/>
                <w:sz w:val="28"/>
                <w:szCs w:val="28"/>
              </w:rPr>
            </w:pPr>
            <w:r>
              <w:rPr>
                <w:rFonts w:ascii="Times New Roman" w:hAnsi="Times New Roman" w:cs="Times New Roman"/>
                <w:sz w:val="28"/>
                <w:szCs w:val="28"/>
              </w:rPr>
              <w:t>1.3 Каналы передачи данных, по которым циркулирует информация, критичная для функционирования объекта КИИ</w:t>
            </w:r>
          </w:p>
        </w:tc>
        <w:tc>
          <w:tcPr>
            <w:tcW w:w="1128" w:type="dxa"/>
          </w:tcPr>
          <w:p w14:paraId="3D2BA758">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7</w:t>
            </w:r>
          </w:p>
        </w:tc>
      </w:tr>
      <w:tr w14:paraId="5561C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205DD4FC">
            <w:pPr>
              <w:spacing w:after="0" w:line="360" w:lineRule="auto"/>
              <w:ind w:left="25" w:firstLine="851"/>
              <w:rPr>
                <w:rFonts w:ascii="Times New Roman" w:hAnsi="Times New Roman" w:cs="Times New Roman"/>
                <w:sz w:val="28"/>
                <w:szCs w:val="28"/>
                <w:lang w:val="en-US"/>
              </w:rPr>
            </w:pPr>
            <w:r>
              <w:rPr>
                <w:rFonts w:ascii="Times New Roman" w:hAnsi="Times New Roman" w:cs="Times New Roman"/>
                <w:sz w:val="28"/>
                <w:szCs w:val="28"/>
              </w:rPr>
              <w:t>1.4 Конечные пользовательские устройства</w:t>
            </w:r>
          </w:p>
        </w:tc>
        <w:tc>
          <w:tcPr>
            <w:tcW w:w="1128" w:type="dxa"/>
          </w:tcPr>
          <w:p w14:paraId="4AC07BFF">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8</w:t>
            </w:r>
          </w:p>
        </w:tc>
      </w:tr>
      <w:tr w14:paraId="006AC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16AFCC11">
            <w:pPr>
              <w:spacing w:after="0" w:line="360" w:lineRule="auto"/>
              <w:rPr>
                <w:rFonts w:ascii="Times New Roman" w:hAnsi="Times New Roman" w:cs="Times New Roman"/>
                <w:sz w:val="28"/>
                <w:szCs w:val="28"/>
              </w:rPr>
            </w:pPr>
            <w:r>
              <w:rPr>
                <w:rFonts w:ascii="Times New Roman" w:hAnsi="Times New Roman" w:cs="Times New Roman"/>
                <w:sz w:val="28"/>
                <w:szCs w:val="28"/>
              </w:rPr>
              <w:t>2 Анализ актуальных угроз ИБ</w:t>
            </w:r>
          </w:p>
        </w:tc>
        <w:tc>
          <w:tcPr>
            <w:tcW w:w="1128" w:type="dxa"/>
          </w:tcPr>
          <w:p w14:paraId="713459ED">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10</w:t>
            </w:r>
          </w:p>
        </w:tc>
      </w:tr>
      <w:tr w14:paraId="30EB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0EE2A9EA">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2.1 Угрозы нарушения конфиденциальности обрабатываемой информации</w:t>
            </w:r>
          </w:p>
        </w:tc>
        <w:tc>
          <w:tcPr>
            <w:tcW w:w="1128" w:type="dxa"/>
          </w:tcPr>
          <w:p w14:paraId="289D2D9B">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10</w:t>
            </w:r>
          </w:p>
        </w:tc>
      </w:tr>
      <w:tr w14:paraId="3502A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350A071B">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2.2 Угрозы нарушения целостности информации и компонентов системы</w:t>
            </w:r>
          </w:p>
        </w:tc>
        <w:tc>
          <w:tcPr>
            <w:tcW w:w="1128" w:type="dxa"/>
          </w:tcPr>
          <w:p w14:paraId="5CBF6140">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10</w:t>
            </w:r>
          </w:p>
        </w:tc>
      </w:tr>
      <w:tr w14:paraId="02838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5016C5B2">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2.3 Угрозы нарушения доступности (отказ в обслуживании)</w:t>
            </w:r>
          </w:p>
        </w:tc>
        <w:tc>
          <w:tcPr>
            <w:tcW w:w="1128" w:type="dxa"/>
          </w:tcPr>
          <w:p w14:paraId="14AB164F">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11</w:t>
            </w:r>
          </w:p>
        </w:tc>
      </w:tr>
      <w:tr w14:paraId="39D40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6E2F8945">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2.4 Угрозы, связанные с уязвимостями используемого программного обеспечения и инфраструктуры</w:t>
            </w:r>
          </w:p>
        </w:tc>
        <w:tc>
          <w:tcPr>
            <w:tcW w:w="1128" w:type="dxa"/>
          </w:tcPr>
          <w:p w14:paraId="30B20E1C">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11</w:t>
            </w:r>
          </w:p>
        </w:tc>
      </w:tr>
      <w:tr w14:paraId="63266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1BE04A96">
            <w:pPr>
              <w:spacing w:after="0" w:line="360" w:lineRule="auto"/>
              <w:rPr>
                <w:rFonts w:ascii="Times New Roman" w:hAnsi="Times New Roman" w:cs="Times New Roman"/>
                <w:sz w:val="28"/>
                <w:szCs w:val="28"/>
              </w:rPr>
            </w:pPr>
            <w:r>
              <w:rPr>
                <w:rFonts w:ascii="Times New Roman" w:hAnsi="Times New Roman" w:cs="Times New Roman"/>
                <w:sz w:val="28"/>
                <w:szCs w:val="28"/>
              </w:rPr>
              <w:t>3 Технические и организационные меры защиты</w:t>
            </w:r>
          </w:p>
        </w:tc>
        <w:tc>
          <w:tcPr>
            <w:tcW w:w="1128" w:type="dxa"/>
          </w:tcPr>
          <w:p w14:paraId="069A2913">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13</w:t>
            </w:r>
          </w:p>
        </w:tc>
      </w:tr>
      <w:tr w14:paraId="23C21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7E625639">
            <w:pPr>
              <w:spacing w:after="0" w:line="360" w:lineRule="auto"/>
              <w:ind w:firstLine="876"/>
              <w:rPr>
                <w:rFonts w:ascii="Times New Roman" w:hAnsi="Times New Roman" w:cs="Times New Roman"/>
                <w:sz w:val="28"/>
                <w:szCs w:val="28"/>
                <w:lang w:val="en-US"/>
              </w:rPr>
            </w:pPr>
            <w:r>
              <w:rPr>
                <w:rFonts w:ascii="Times New Roman" w:hAnsi="Times New Roman" w:cs="Times New Roman"/>
                <w:sz w:val="28"/>
                <w:szCs w:val="28"/>
              </w:rPr>
              <w:t>3.1 Организационные меры</w:t>
            </w:r>
          </w:p>
        </w:tc>
        <w:tc>
          <w:tcPr>
            <w:tcW w:w="1128" w:type="dxa"/>
          </w:tcPr>
          <w:p w14:paraId="1D92CCA8">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13</w:t>
            </w:r>
          </w:p>
        </w:tc>
      </w:tr>
      <w:tr w14:paraId="5F814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0A3B4DD5">
            <w:pPr>
              <w:spacing w:after="0" w:line="360" w:lineRule="auto"/>
              <w:ind w:firstLine="876"/>
              <w:rPr>
                <w:rFonts w:ascii="Times New Roman" w:hAnsi="Times New Roman" w:cs="Times New Roman"/>
                <w:sz w:val="28"/>
                <w:szCs w:val="28"/>
                <w:lang w:val="en-US"/>
              </w:rPr>
            </w:pPr>
            <w:r>
              <w:rPr>
                <w:rFonts w:ascii="Times New Roman" w:hAnsi="Times New Roman" w:cs="Times New Roman"/>
                <w:sz w:val="28"/>
                <w:szCs w:val="28"/>
              </w:rPr>
              <w:t>3.2 Технические меры</w:t>
            </w:r>
          </w:p>
        </w:tc>
        <w:tc>
          <w:tcPr>
            <w:tcW w:w="1128" w:type="dxa"/>
          </w:tcPr>
          <w:p w14:paraId="2025A6EB">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14</w:t>
            </w:r>
          </w:p>
        </w:tc>
      </w:tr>
      <w:tr w14:paraId="2EA63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0116DBE9">
            <w:pPr>
              <w:spacing w:after="0" w:line="360" w:lineRule="auto"/>
              <w:rPr>
                <w:rFonts w:ascii="Times New Roman" w:hAnsi="Times New Roman" w:cs="Times New Roman"/>
                <w:sz w:val="28"/>
                <w:szCs w:val="28"/>
              </w:rPr>
            </w:pPr>
            <w:r>
              <w:rPr>
                <w:rFonts w:ascii="Times New Roman" w:hAnsi="Times New Roman" w:cs="Times New Roman"/>
                <w:sz w:val="28"/>
                <w:szCs w:val="28"/>
              </w:rPr>
              <w:t>4. Предложения по техническим средствам защиты для сети связи VoIP</w:t>
            </w:r>
          </w:p>
        </w:tc>
        <w:tc>
          <w:tcPr>
            <w:tcW w:w="1128" w:type="dxa"/>
          </w:tcPr>
          <w:p w14:paraId="64FF3BCE">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17</w:t>
            </w:r>
          </w:p>
        </w:tc>
      </w:tr>
      <w:tr w14:paraId="31E6C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0C567494">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4.1. Меры по управлению доступом и аутентификации</w:t>
            </w:r>
          </w:p>
        </w:tc>
        <w:tc>
          <w:tcPr>
            <w:tcW w:w="1128" w:type="dxa"/>
          </w:tcPr>
          <w:p w14:paraId="6BC2F966">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17</w:t>
            </w:r>
          </w:p>
        </w:tc>
      </w:tr>
      <w:tr w14:paraId="5ECE2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0266D81A">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4.2. Меры по защите от несанкционированного доступа и вторжений</w:t>
            </w:r>
          </w:p>
        </w:tc>
        <w:tc>
          <w:tcPr>
            <w:tcW w:w="1128" w:type="dxa"/>
          </w:tcPr>
          <w:p w14:paraId="3E7D0FA6">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18</w:t>
            </w:r>
          </w:p>
        </w:tc>
      </w:tr>
      <w:tr w14:paraId="04428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45CCB6C6">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4.3. Меры по обеспечению целостности и доступности</w:t>
            </w:r>
          </w:p>
        </w:tc>
        <w:tc>
          <w:tcPr>
            <w:tcW w:w="1128" w:type="dxa"/>
          </w:tcPr>
          <w:p w14:paraId="598CA92A">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20</w:t>
            </w:r>
          </w:p>
        </w:tc>
      </w:tr>
      <w:tr w14:paraId="46427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5689D90E">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4.4. Меры по регистрации и мониторингу</w:t>
            </w:r>
          </w:p>
        </w:tc>
        <w:tc>
          <w:tcPr>
            <w:tcW w:w="1128" w:type="dxa"/>
          </w:tcPr>
          <w:p w14:paraId="0158C9CD">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23</w:t>
            </w:r>
          </w:p>
        </w:tc>
      </w:tr>
      <w:tr w14:paraId="22429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547AFC1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5 Требования к по и оборудованию </w:t>
            </w:r>
          </w:p>
        </w:tc>
        <w:tc>
          <w:tcPr>
            <w:tcW w:w="1128" w:type="dxa"/>
          </w:tcPr>
          <w:p w14:paraId="0D26BD8E">
            <w:pPr>
              <w:spacing w:after="0" w:line="360" w:lineRule="auto"/>
              <w:jc w:val="right"/>
              <w:rPr>
                <w:rFonts w:hint="default" w:ascii="Times New Roman" w:hAnsi="Times New Roman" w:cs="Times New Roman"/>
                <w:sz w:val="28"/>
                <w:szCs w:val="28"/>
                <w:lang w:val="ru-RU"/>
              </w:rPr>
            </w:pPr>
            <w:r>
              <w:rPr>
                <w:rFonts w:ascii="Times New Roman" w:hAnsi="Times New Roman" w:cs="Times New Roman"/>
                <w:sz w:val="28"/>
                <w:szCs w:val="28"/>
                <w:lang w:val="en-US"/>
              </w:rPr>
              <w:t>2</w:t>
            </w:r>
            <w:r>
              <w:rPr>
                <w:rFonts w:hint="default" w:ascii="Times New Roman" w:hAnsi="Times New Roman" w:cs="Times New Roman"/>
                <w:sz w:val="28"/>
                <w:szCs w:val="28"/>
                <w:lang w:val="ru-RU"/>
              </w:rPr>
              <w:t>6</w:t>
            </w:r>
          </w:p>
        </w:tc>
      </w:tr>
      <w:tr w14:paraId="2D180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11229C2B">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5.1 Требования к прикладному программному обеспечению</w:t>
            </w:r>
          </w:p>
        </w:tc>
        <w:tc>
          <w:tcPr>
            <w:tcW w:w="1128" w:type="dxa"/>
          </w:tcPr>
          <w:p w14:paraId="77CDCC00">
            <w:pPr>
              <w:spacing w:after="0" w:line="360" w:lineRule="auto"/>
              <w:jc w:val="right"/>
              <w:rPr>
                <w:rFonts w:hint="default" w:ascii="Times New Roman" w:hAnsi="Times New Roman" w:cs="Times New Roman"/>
                <w:sz w:val="28"/>
                <w:szCs w:val="28"/>
                <w:lang w:val="ru-RU"/>
              </w:rPr>
            </w:pPr>
            <w:r>
              <w:rPr>
                <w:rFonts w:ascii="Times New Roman" w:hAnsi="Times New Roman" w:cs="Times New Roman"/>
                <w:sz w:val="28"/>
                <w:szCs w:val="28"/>
                <w:lang w:val="en-US"/>
              </w:rPr>
              <w:t>2</w:t>
            </w:r>
            <w:r>
              <w:rPr>
                <w:rFonts w:hint="default" w:ascii="Times New Roman" w:hAnsi="Times New Roman" w:cs="Times New Roman"/>
                <w:sz w:val="28"/>
                <w:szCs w:val="28"/>
                <w:lang w:val="ru-RU"/>
              </w:rPr>
              <w:t>6</w:t>
            </w:r>
          </w:p>
        </w:tc>
      </w:tr>
      <w:tr w14:paraId="7DECB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1B5D4E8A">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5.2 Требования к системному программному обеспечению</w:t>
            </w:r>
          </w:p>
        </w:tc>
        <w:tc>
          <w:tcPr>
            <w:tcW w:w="1128" w:type="dxa"/>
          </w:tcPr>
          <w:p w14:paraId="659AC7B7">
            <w:pPr>
              <w:spacing w:after="0" w:line="360" w:lineRule="auto"/>
              <w:jc w:val="right"/>
              <w:rPr>
                <w:rFonts w:hint="default" w:ascii="Times New Roman" w:hAnsi="Times New Roman" w:cs="Times New Roman"/>
                <w:sz w:val="28"/>
                <w:szCs w:val="28"/>
                <w:lang w:val="ru-RU"/>
              </w:rPr>
            </w:pPr>
            <w:r>
              <w:rPr>
                <w:rFonts w:ascii="Times New Roman" w:hAnsi="Times New Roman" w:cs="Times New Roman"/>
                <w:sz w:val="28"/>
                <w:szCs w:val="28"/>
                <w:lang w:val="en-US"/>
              </w:rPr>
              <w:t>2</w:t>
            </w:r>
            <w:r>
              <w:rPr>
                <w:rFonts w:hint="default" w:ascii="Times New Roman" w:hAnsi="Times New Roman" w:cs="Times New Roman"/>
                <w:sz w:val="28"/>
                <w:szCs w:val="28"/>
                <w:lang w:val="ru-RU"/>
              </w:rPr>
              <w:t>7</w:t>
            </w:r>
          </w:p>
        </w:tc>
      </w:tr>
      <w:tr w14:paraId="268AE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6AAB2D5D">
            <w:pPr>
              <w:spacing w:after="0" w:line="360" w:lineRule="auto"/>
              <w:ind w:firstLine="876"/>
              <w:rPr>
                <w:rFonts w:ascii="Times New Roman" w:hAnsi="Times New Roman" w:cs="Times New Roman"/>
                <w:sz w:val="28"/>
                <w:szCs w:val="28"/>
                <w:lang w:val="en-US"/>
              </w:rPr>
            </w:pPr>
            <w:r>
              <w:rPr>
                <w:rFonts w:ascii="Times New Roman" w:hAnsi="Times New Roman" w:cs="Times New Roman"/>
                <w:sz w:val="28"/>
                <w:szCs w:val="28"/>
              </w:rPr>
              <w:t>5.3 Требования к оборудованию</w:t>
            </w:r>
          </w:p>
        </w:tc>
        <w:tc>
          <w:tcPr>
            <w:tcW w:w="1128" w:type="dxa"/>
          </w:tcPr>
          <w:p w14:paraId="43F84564">
            <w:pPr>
              <w:spacing w:after="0" w:line="360" w:lineRule="auto"/>
              <w:jc w:val="right"/>
              <w:rPr>
                <w:rFonts w:hint="default" w:ascii="Times New Roman" w:hAnsi="Times New Roman" w:cs="Times New Roman"/>
                <w:sz w:val="28"/>
                <w:szCs w:val="28"/>
                <w:lang w:val="ru-RU"/>
              </w:rPr>
            </w:pPr>
            <w:r>
              <w:rPr>
                <w:rFonts w:ascii="Times New Roman" w:hAnsi="Times New Roman" w:cs="Times New Roman"/>
                <w:sz w:val="28"/>
                <w:szCs w:val="28"/>
                <w:lang w:val="en-US"/>
              </w:rPr>
              <w:t>2</w:t>
            </w:r>
            <w:r>
              <w:rPr>
                <w:rFonts w:hint="default" w:ascii="Times New Roman" w:hAnsi="Times New Roman" w:cs="Times New Roman"/>
                <w:sz w:val="28"/>
                <w:szCs w:val="28"/>
                <w:lang w:val="ru-RU"/>
              </w:rPr>
              <w:t>8</w:t>
            </w:r>
          </w:p>
        </w:tc>
      </w:tr>
      <w:tr w14:paraId="06F2A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461AD7F1">
            <w:pPr>
              <w:spacing w:after="0" w:line="360" w:lineRule="auto"/>
              <w:ind w:firstLine="876"/>
              <w:rPr>
                <w:rFonts w:ascii="Times New Roman" w:hAnsi="Times New Roman" w:cs="Times New Roman"/>
                <w:sz w:val="28"/>
                <w:szCs w:val="28"/>
              </w:rPr>
            </w:pPr>
            <w:r>
              <w:rPr>
                <w:rFonts w:ascii="Times New Roman" w:hAnsi="Times New Roman" w:cs="Times New Roman"/>
                <w:sz w:val="28"/>
                <w:szCs w:val="28"/>
              </w:rPr>
              <w:t>5.4 Общие требования ко всем компонентам</w:t>
            </w:r>
          </w:p>
        </w:tc>
        <w:tc>
          <w:tcPr>
            <w:tcW w:w="1128" w:type="dxa"/>
          </w:tcPr>
          <w:p w14:paraId="0EDB1CF5">
            <w:pPr>
              <w:spacing w:after="0" w:line="360" w:lineRule="auto"/>
              <w:jc w:val="right"/>
              <w:rPr>
                <w:rFonts w:hint="default" w:ascii="Times New Roman" w:hAnsi="Times New Roman" w:cs="Times New Roman"/>
                <w:sz w:val="28"/>
                <w:szCs w:val="28"/>
                <w:lang w:val="ru-RU"/>
              </w:rPr>
            </w:pPr>
            <w:r>
              <w:rPr>
                <w:rFonts w:ascii="Times New Roman" w:hAnsi="Times New Roman" w:cs="Times New Roman"/>
                <w:sz w:val="28"/>
                <w:szCs w:val="28"/>
                <w:lang w:val="en-US"/>
              </w:rPr>
              <w:t>2</w:t>
            </w:r>
            <w:r>
              <w:rPr>
                <w:rFonts w:hint="default" w:ascii="Times New Roman" w:hAnsi="Times New Roman" w:cs="Times New Roman"/>
                <w:sz w:val="28"/>
                <w:szCs w:val="28"/>
                <w:lang w:val="ru-RU"/>
              </w:rPr>
              <w:t>8</w:t>
            </w:r>
          </w:p>
        </w:tc>
      </w:tr>
      <w:tr w14:paraId="26A51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70665973">
            <w:pPr>
              <w:spacing w:after="0" w:line="360" w:lineRule="auto"/>
              <w:rPr>
                <w:rFonts w:ascii="Times New Roman" w:hAnsi="Times New Roman" w:cs="Times New Roman"/>
                <w:sz w:val="28"/>
                <w:szCs w:val="28"/>
              </w:rPr>
            </w:pPr>
            <w:r>
              <w:rPr>
                <w:rFonts w:ascii="Times New Roman" w:hAnsi="Times New Roman" w:cs="Times New Roman"/>
                <w:sz w:val="28"/>
                <w:szCs w:val="28"/>
              </w:rPr>
              <w:t>Заключение</w:t>
            </w:r>
          </w:p>
        </w:tc>
        <w:tc>
          <w:tcPr>
            <w:tcW w:w="1128" w:type="dxa"/>
          </w:tcPr>
          <w:p w14:paraId="2182813F">
            <w:pPr>
              <w:spacing w:after="0" w:line="360" w:lineRule="auto"/>
              <w:jc w:val="right"/>
              <w:rPr>
                <w:rFonts w:hint="default" w:ascii="Times New Roman" w:hAnsi="Times New Roman" w:cs="Times New Roman"/>
                <w:sz w:val="28"/>
                <w:szCs w:val="28"/>
                <w:lang w:val="ru-RU"/>
              </w:rPr>
            </w:pPr>
            <w:r>
              <w:rPr>
                <w:rFonts w:hint="default" w:ascii="Times New Roman" w:hAnsi="Times New Roman" w:cs="Times New Roman"/>
                <w:sz w:val="28"/>
                <w:szCs w:val="28"/>
                <w:lang w:val="ru-RU"/>
              </w:rPr>
              <w:t>30</w:t>
            </w:r>
          </w:p>
        </w:tc>
      </w:tr>
      <w:tr w14:paraId="11558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7" w:type="dxa"/>
          </w:tcPr>
          <w:p w14:paraId="496981B0">
            <w:pPr>
              <w:spacing w:after="0" w:line="360" w:lineRule="auto"/>
              <w:rPr>
                <w:rFonts w:ascii="Times New Roman" w:hAnsi="Times New Roman" w:cs="Times New Roman"/>
                <w:sz w:val="28"/>
                <w:szCs w:val="28"/>
              </w:rPr>
            </w:pPr>
            <w:r>
              <w:rPr>
                <w:rFonts w:ascii="Times New Roman" w:hAnsi="Times New Roman" w:cs="Times New Roman"/>
                <w:sz w:val="28"/>
                <w:szCs w:val="28"/>
              </w:rPr>
              <w:t>Приложение А. Ссылки на нормативные правовые акты и документы, регулирующие обеспечение безопасности значимых объектов критической информационной инфраструктуры (КИИ) Российской Федерации</w:t>
            </w:r>
          </w:p>
        </w:tc>
        <w:tc>
          <w:tcPr>
            <w:tcW w:w="1128" w:type="dxa"/>
          </w:tcPr>
          <w:p w14:paraId="6FA112A7">
            <w:pPr>
              <w:spacing w:after="0" w:line="360" w:lineRule="auto"/>
              <w:jc w:val="right"/>
              <w:rPr>
                <w:rFonts w:hint="default" w:ascii="Times New Roman" w:hAnsi="Times New Roman" w:cs="Times New Roman"/>
                <w:sz w:val="28"/>
                <w:szCs w:val="28"/>
                <w:lang w:val="ru-RU"/>
              </w:rPr>
            </w:pPr>
            <w:r>
              <w:rPr>
                <w:rFonts w:ascii="Times New Roman" w:hAnsi="Times New Roman" w:cs="Times New Roman"/>
                <w:sz w:val="28"/>
                <w:szCs w:val="28"/>
                <w:lang w:val="en-US"/>
              </w:rPr>
              <w:t>3</w:t>
            </w:r>
            <w:r>
              <w:rPr>
                <w:rFonts w:hint="default" w:ascii="Times New Roman" w:hAnsi="Times New Roman" w:cs="Times New Roman"/>
                <w:sz w:val="28"/>
                <w:szCs w:val="28"/>
                <w:lang w:val="ru-RU"/>
              </w:rPr>
              <w:t>2</w:t>
            </w:r>
            <w:bookmarkStart w:id="0" w:name="_GoBack"/>
            <w:bookmarkEnd w:id="0"/>
          </w:p>
        </w:tc>
      </w:tr>
    </w:tbl>
    <w:p w14:paraId="4CC32D5F">
      <w:pPr>
        <w:spacing w:line="360" w:lineRule="auto"/>
        <w:ind w:firstLine="851"/>
        <w:rPr>
          <w:rFonts w:ascii="Times New Roman" w:hAnsi="Times New Roman" w:cs="Times New Roman"/>
          <w:sz w:val="28"/>
          <w:szCs w:val="28"/>
        </w:rPr>
      </w:pPr>
    </w:p>
    <w:p w14:paraId="686D8FB8">
      <w:pPr>
        <w:spacing w:line="360" w:lineRule="auto"/>
        <w:ind w:firstLine="851"/>
        <w:rPr>
          <w:rFonts w:ascii="Times New Roman" w:hAnsi="Times New Roman" w:cs="Times New Roman"/>
          <w:sz w:val="28"/>
          <w:szCs w:val="28"/>
        </w:rPr>
      </w:pPr>
      <w:r>
        <w:rPr>
          <w:rFonts w:ascii="Times New Roman" w:hAnsi="Times New Roman" w:cs="Times New Roman"/>
          <w:sz w:val="28"/>
          <w:szCs w:val="28"/>
        </w:rPr>
        <w:br w:type="page"/>
      </w:r>
    </w:p>
    <w:p w14:paraId="7C1FA3E8">
      <w:pPr>
        <w:spacing w:after="600" w:line="360" w:lineRule="auto"/>
        <w:ind w:firstLine="851"/>
        <w:jc w:val="both"/>
        <w:rPr>
          <w:rFonts w:ascii="Times New Roman" w:hAnsi="Times New Roman" w:cs="Times New Roman"/>
          <w:sz w:val="28"/>
          <w:szCs w:val="28"/>
        </w:rPr>
      </w:pPr>
      <w:r>
        <w:rPr>
          <w:rFonts w:ascii="Times New Roman" w:hAnsi="Times New Roman" w:cs="Times New Roman"/>
          <w:sz w:val="28"/>
          <w:szCs w:val="28"/>
        </w:rPr>
        <w:t>ВВЕДЕНИЕ</w:t>
      </w:r>
    </w:p>
    <w:p w14:paraId="0043CFD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Настоящая пояснительная записка разработана в рамках выполнения задания на Всероссийский хакатон связи 2025 по кейсу «Информационная безопасность в сетях связи VoIP», подготовленному АО «Искра Технологии». Целью работы является разработка концепции системы информационной безопасности (СИБ) для территориально-распределённой сети связи VoIP, классифицированной как значимый объект КИИ 3-й категории в соответствии с требованиями нормативно-правовой базы Российской Федерации.</w:t>
      </w:r>
    </w:p>
    <w:p w14:paraId="4489741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Целью данного документа является:</w:t>
      </w:r>
    </w:p>
    <w:p w14:paraId="6836D83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определение и классификация объектов защиты,</w:t>
      </w:r>
    </w:p>
    <w:p w14:paraId="1B12947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анализ актуальных угроз ИБ,</w:t>
      </w:r>
    </w:p>
    <w:p w14:paraId="32D79B0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формулирование комплекса технических и организационных мер защиты,</w:t>
      </w:r>
    </w:p>
    <w:p w14:paraId="14638C6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обоснование выбора технических средств,</w:t>
      </w:r>
    </w:p>
    <w:p w14:paraId="4A0D0C2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формулирование требований к ПО и оборудованию в усиленной конфигурации.</w:t>
      </w:r>
    </w:p>
    <w:p w14:paraId="71970BE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Все решения соответствуют требованиям:</w:t>
      </w:r>
    </w:p>
    <w:p w14:paraId="4AAF91E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Федерального закона №187-ФЗ от 26.07.2017 «О безопасности КИИ»,</w:t>
      </w:r>
    </w:p>
    <w:p w14:paraId="4C7E0D2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Указа Президента РФ №1085 от 16.08.2004 «Вопросы ФСТЭК России»,</w:t>
      </w:r>
    </w:p>
    <w:p w14:paraId="1ACCA6F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Приказа ФСТЭК России №239 от 25.12.2017 «Об утверждении требований к обеспечению безопасности значимых объектов КИ»,</w:t>
      </w:r>
    </w:p>
    <w:p w14:paraId="3FAFBCB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Приказа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375B990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Приказа ФСТЭК России от 14.03.2022 № 41 «Об утверждении Требований к обеспечению безопасности значимых объектов КИИ при проведении работ, связанных с проектированием, разработкой, производством и эксплуатацией программного обеспечения»</w:t>
      </w:r>
    </w:p>
    <w:p w14:paraId="382EBC0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Архитектура сети связи VoIP приведена на рисунке 1</w:t>
      </w:r>
    </w:p>
    <w:p w14:paraId="79C7106E">
      <w:pPr>
        <w:spacing w:after="0" w:line="360" w:lineRule="auto"/>
        <w:rPr>
          <w:rFonts w:ascii="Times New Roman" w:hAnsi="Times New Roman" w:cs="Times New Roman"/>
          <w:sz w:val="28"/>
          <w:szCs w:val="28"/>
        </w:rPr>
      </w:pPr>
      <w:r>
        <w:drawing>
          <wp:inline distT="0" distB="0" distL="0" distR="0">
            <wp:extent cx="6480175" cy="4172585"/>
            <wp:effectExtent l="0" t="0" r="0" b="0"/>
            <wp:docPr id="952903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03905" name="Рисунок 1"/>
                    <pic:cNvPicPr>
                      <a:picLocks noChangeAspect="1"/>
                    </pic:cNvPicPr>
                  </pic:nvPicPr>
                  <pic:blipFill>
                    <a:blip r:embed="rId7"/>
                    <a:stretch>
                      <a:fillRect/>
                    </a:stretch>
                  </pic:blipFill>
                  <pic:spPr>
                    <a:xfrm>
                      <a:off x="0" y="0"/>
                      <a:ext cx="6480175" cy="4172585"/>
                    </a:xfrm>
                    <a:prstGeom prst="rect">
                      <a:avLst/>
                    </a:prstGeom>
                  </pic:spPr>
                </pic:pic>
              </a:graphicData>
            </a:graphic>
          </wp:inline>
        </w:drawing>
      </w:r>
    </w:p>
    <w:p w14:paraId="667B09B4">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 Архитектура сети связи VoIP</w:t>
      </w:r>
    </w:p>
    <w:p w14:paraId="19302C77">
      <w:pPr>
        <w:spacing w:after="600" w:line="360" w:lineRule="auto"/>
        <w:ind w:firstLine="851"/>
        <w:rPr>
          <w:rFonts w:ascii="Times New Roman" w:hAnsi="Times New Roman" w:cs="Times New Roman"/>
          <w:sz w:val="28"/>
          <w:szCs w:val="28"/>
        </w:rPr>
      </w:pPr>
      <w:r>
        <w:rPr>
          <w:rFonts w:ascii="Times New Roman" w:hAnsi="Times New Roman" w:cs="Times New Roman"/>
          <w:sz w:val="28"/>
          <w:szCs w:val="28"/>
        </w:rPr>
        <w:br w:type="page"/>
      </w:r>
    </w:p>
    <w:p w14:paraId="66C33E3C">
      <w:pPr>
        <w:spacing w:after="600" w:line="360" w:lineRule="auto"/>
        <w:ind w:firstLine="851"/>
        <w:rPr>
          <w:rFonts w:ascii="Times New Roman" w:hAnsi="Times New Roman" w:cs="Times New Roman"/>
          <w:sz w:val="28"/>
          <w:szCs w:val="28"/>
        </w:rPr>
      </w:pPr>
      <w:r>
        <w:rPr>
          <w:rFonts w:ascii="Times New Roman" w:hAnsi="Times New Roman" w:cs="Times New Roman"/>
          <w:sz w:val="28"/>
          <w:szCs w:val="28"/>
        </w:rPr>
        <w:t>1 ОБЪЕКТЫ ЗАЩИТЫ В СОСТАВЕ СЕТИ СВЯЗИ VOIP</w:t>
      </w:r>
    </w:p>
    <w:p w14:paraId="14CE6B9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основе анализа архитектуры сети связи VoIP, представленной в кейсе, а также в соответствии с требованиями нормативных правовых актов Российской Федерации в области безопасности критической информационной инфраструктуры (КИИ), можно определить и классифицировать следующие объекты защиты.</w:t>
      </w:r>
    </w:p>
    <w:p w14:paraId="5B54B9C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соответствии с пунктом 17 Приказа ФСТЭК России от 25.12.2017 № 239, к объектам защиты информации на значимом объекте КИИ относятся информационные ресурсы, информационные системы, системы управления технологическими процессами, а также технические средства, принимающие участие в обработке и передаче информации, критичной для функционирования объекта. Учитывая распределенный характер рассматриваемой VoIP-системы, являющейся значимым объектом КИИ 3-й категории, объекты защиты целесообразно классифицировать по следующим группам.</w:t>
      </w:r>
    </w:p>
    <w:p w14:paraId="5C66F4B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1.1 Программно-аппаратные комплексы, обрабатывающие информацию (голосовой трафик, сигнальную информацию, данные управления)</w:t>
      </w:r>
    </w:p>
    <w:p w14:paraId="74C79F0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 данной группе относятся ключевые технологические компоненты, обеспечивающие функционирование сети связи. В их числе:</w:t>
      </w:r>
    </w:p>
    <w:p w14:paraId="292D658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Центральное ядро системы связи, включающее программный коммутатор (Softswitch) и контроллер сессий (SBC), которые осуществляют маршрутизацию вызовов и управление сессиями. Эти компоненты обрабатывают критичную сигнальную информацию и являются центральным элементом управления всей сетью.</w:t>
      </w:r>
    </w:p>
    <w:p w14:paraId="4D9CC1A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Система управления сетью связи, обеспечивающая мониторинг, конфигурирование и управление всеми элементами инфраструктуры. Данная система аккумулирует информацию о состоянии сети, что делает ее высокозначимым объектом защиты.</w:t>
      </w:r>
    </w:p>
    <w:p w14:paraId="11BF480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Медиашлюзы (MGW), обеспечивающие стык с телефонной сетью общего пользования (ТфОП). Они преобразуют трафик между IP-сетью и каналами E1, обрабатывая как медиапотоки, так и сигнальную информацию протокола DSS1.</w:t>
      </w:r>
    </w:p>
    <w:p w14:paraId="4D6A1DA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Виртуальная инфраструктура на базе гипервизора KVM и стандартного серверного оборудования х86, на которой функционирует прикладное ПО. Гипервизор и серверы являются основой для всех виртуальных сред, обрабатывающих информацию, и их целостность и доступность критичны для работы всей системы.</w:t>
      </w:r>
    </w:p>
    <w:p w14:paraId="7B00AD8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1.2 Информационные ресурсы и системы, содержащие данные управления, аутентификации и учета</w:t>
      </w:r>
    </w:p>
    <w:p w14:paraId="640E7C7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Эта группа включает объекты, содержащие конфиденциальную служебную информацию, нарушение целостности или конфиденциальности которой может парализовать работу сети. Согласно требованиям Федерального закона от 26.07.2017 № 187-ФЗ «О безопасности критической информационной инфраструктуры Российской Федерации», к защите подлежит информация, воздействие на которую может привести к нарушению функционирования объекта КИИ. Сюда относятся:</w:t>
      </w:r>
    </w:p>
    <w:p w14:paraId="1AC9F2D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Базы данных программного коммутатора и системы управления, содержащие данные абонентов, правила маршрутизации, биллинговую информацию и журналы событий.</w:t>
      </w:r>
    </w:p>
    <w:p w14:paraId="366676A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Web-портал, предоставляющий интерфейс для управления услугами и доступа к функционалу системы. Он обрабатывает учетные данные пользователей и данные конфигурации, передаваемые по протоколам HTTP/HTTPS.</w:t>
      </w:r>
    </w:p>
    <w:p w14:paraId="13E309D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1.3 Каналы передачи данных, по которым циркулирует информация, критичная для функционирования объекта КИИ</w:t>
      </w:r>
    </w:p>
    <w:p w14:paraId="07FC30E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Угрозы утечки или модификации информации, передаваемой по каналам связи, регламентированы в том числе Приказом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 Применительно к VoIP-сети к защите подлежат:</w:t>
      </w:r>
    </w:p>
    <w:p w14:paraId="70EDCF0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Каналы сигнализации (например, SIP, WebRTC), используемые для установления и управления сеансами связи. Их компрометация может привести к перехвату вызовов, несанкционированной маршрутизации или сбою всей системы.</w:t>
      </w:r>
    </w:p>
    <w:p w14:paraId="6E2D5FE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Медиаканалы (RTP), по которым передается непосредственно голосовой трафик. Защита этих каналов направлена на предотвращение прослушивания и модификации разговоров.</w:t>
      </w:r>
    </w:p>
    <w:p w14:paraId="5DC5A2B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Каналы управления и мониторинга, использующие протоколы SSH, Telnet, FTP, SNMP. Доступ к этим каналам позволяет осуществлять удаленное управление сетевым оборудованием и компонентами VoIP, и их защита является обязательной.</w:t>
      </w:r>
    </w:p>
    <w:p w14:paraId="080AE7E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Каналы стыка с внешними сетями – ТфОП (через E1) и Интернет. Эти каналы являются точкой входа потенциальных угроз извне и требуют применения специальных мер защиты, таких как межсетевые экраны и системы обнаружения вторжений.</w:t>
      </w:r>
    </w:p>
    <w:p w14:paraId="257081E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1.4 Конечные пользовательские устройства</w:t>
      </w:r>
    </w:p>
    <w:p w14:paraId="20637A8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Абонентские терминалы (IP-телефоны, программные клиенты), хотя и могут находиться на периферии сети, являются точкой входа для атак, направленных на ядро системы. Их компрометация может быть использована для проведения атак типа «отказ в обслуживании» или для несанкционированного доступа к сетевым ресурсам.</w:t>
      </w:r>
    </w:p>
    <w:p w14:paraId="648CB90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Классификация объектов защиты VoIP-сети в таблице 1.1.</w:t>
      </w:r>
    </w:p>
    <w:p w14:paraId="652AB04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1.1 - Сводная таблица классификации объектов защиты VoIP-сети</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6315"/>
      </w:tblGrid>
      <w:tr w14:paraId="0B72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393B6EF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Компонент VoIP-сети (из вашего анализа) </w:t>
            </w:r>
          </w:p>
        </w:tc>
        <w:tc>
          <w:tcPr>
            <w:tcW w:w="3030" w:type="pct"/>
          </w:tcPr>
          <w:p w14:paraId="3BE641B1">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Конкретный тип объекта защиты по п. 17 Приказа ФСТЭК 239</w:t>
            </w:r>
          </w:p>
        </w:tc>
      </w:tr>
      <w:tr w14:paraId="797C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318623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 Информационные системы (п. 17а)</w:t>
            </w:r>
          </w:p>
        </w:tc>
      </w:tr>
      <w:tr w14:paraId="488E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4838D552">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Базы данных (абонентов, маршрутизации, биллинга, событий) </w:t>
            </w:r>
          </w:p>
        </w:tc>
        <w:tc>
          <w:tcPr>
            <w:tcW w:w="3030" w:type="pct"/>
          </w:tcPr>
          <w:p w14:paraId="42B22DA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Информация, обрабатываемая в информационной системе </w:t>
            </w:r>
          </w:p>
        </w:tc>
      </w:tr>
      <w:tr w14:paraId="2090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20026EF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Система управления сетью связи </w:t>
            </w:r>
          </w:p>
        </w:tc>
        <w:tc>
          <w:tcPr>
            <w:tcW w:w="3030" w:type="pct"/>
          </w:tcPr>
          <w:p w14:paraId="7EABD17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Программно-аппаратные средства (серверы) </w:t>
            </w:r>
          </w:p>
        </w:tc>
      </w:tr>
      <w:tr w14:paraId="6BBC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5967902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Система управления сетью связи </w:t>
            </w:r>
          </w:p>
        </w:tc>
        <w:tc>
          <w:tcPr>
            <w:tcW w:w="3030" w:type="pct"/>
          </w:tcPr>
          <w:p w14:paraId="482FC59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Программные средства (прикладное ПО) </w:t>
            </w:r>
          </w:p>
        </w:tc>
      </w:tr>
      <w:tr w14:paraId="5E7D9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3FCAAC7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Web-портал управления </w:t>
            </w:r>
          </w:p>
        </w:tc>
        <w:tc>
          <w:tcPr>
            <w:tcW w:w="3030" w:type="pct"/>
          </w:tcPr>
          <w:p w14:paraId="04AF91E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Программные средства (прикладное ПО) </w:t>
            </w:r>
          </w:p>
        </w:tc>
      </w:tr>
      <w:tr w14:paraId="45BC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12E0F563">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Виртуальная инфраструктура (KVM, серверы x86) </w:t>
            </w:r>
          </w:p>
        </w:tc>
        <w:tc>
          <w:tcPr>
            <w:tcW w:w="3030" w:type="pct"/>
          </w:tcPr>
          <w:p w14:paraId="3E2C54C2">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Программно-аппаратные средства (серверы, средства обработки информации) </w:t>
            </w:r>
          </w:p>
        </w:tc>
      </w:tr>
      <w:tr w14:paraId="09B46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65A70DB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Гипервизор KVM </w:t>
            </w:r>
          </w:p>
        </w:tc>
        <w:tc>
          <w:tcPr>
            <w:tcW w:w="3030" w:type="pct"/>
          </w:tcPr>
          <w:p w14:paraId="3DC3558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Программные средства (общесистемное ПО) </w:t>
            </w:r>
          </w:p>
        </w:tc>
      </w:tr>
      <w:tr w14:paraId="4188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69EB5B5E">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Архитектура виртуальной инфраструктуры и системы управления </w:t>
            </w:r>
          </w:p>
        </w:tc>
        <w:tc>
          <w:tcPr>
            <w:tcW w:w="3030" w:type="pct"/>
          </w:tcPr>
          <w:p w14:paraId="49544932">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Архитектура и конфигурация информационной системы </w:t>
            </w:r>
          </w:p>
        </w:tc>
      </w:tr>
      <w:tr w14:paraId="6CEA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193A2BBE">
            <w:pPr>
              <w:spacing w:after="0" w:line="240" w:lineRule="auto"/>
              <w:rPr>
                <w:rFonts w:ascii="Times New Roman" w:hAnsi="Times New Roman" w:cs="Times New Roman"/>
                <w:sz w:val="28"/>
                <w:szCs w:val="28"/>
              </w:rPr>
            </w:pPr>
            <w:r>
              <w:rPr>
                <w:rFonts w:ascii="Times New Roman" w:hAnsi="Times New Roman" w:cs="Times New Roman"/>
                <w:sz w:val="28"/>
                <w:szCs w:val="28"/>
              </w:rPr>
              <w:t>– Конечные пользовательские устройства (IP-телефоны, софтфоны)</w:t>
            </w:r>
          </w:p>
        </w:tc>
        <w:tc>
          <w:tcPr>
            <w:tcW w:w="3030" w:type="pct"/>
          </w:tcPr>
          <w:p w14:paraId="67ACD81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Программно-аппаратные средства (автоматизированные рабочие места) </w:t>
            </w:r>
          </w:p>
        </w:tc>
      </w:tr>
      <w:tr w14:paraId="168A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3C42C78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Средства защиты информации (МЭ, СОВ и т.д.) </w:t>
            </w:r>
          </w:p>
        </w:tc>
        <w:tc>
          <w:tcPr>
            <w:tcW w:w="3030" w:type="pct"/>
          </w:tcPr>
          <w:p w14:paraId="68EE3C3E">
            <w:pPr>
              <w:spacing w:after="0" w:line="240" w:lineRule="auto"/>
              <w:rPr>
                <w:rFonts w:ascii="Times New Roman" w:hAnsi="Times New Roman" w:cs="Times New Roman"/>
                <w:sz w:val="28"/>
                <w:szCs w:val="28"/>
              </w:rPr>
            </w:pPr>
            <w:r>
              <w:rPr>
                <w:rFonts w:ascii="Times New Roman" w:hAnsi="Times New Roman" w:cs="Times New Roman"/>
                <w:sz w:val="28"/>
                <w:szCs w:val="28"/>
              </w:rPr>
              <w:t>Средства защиты информации</w:t>
            </w:r>
          </w:p>
        </w:tc>
      </w:tr>
      <w:tr w14:paraId="3F95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57A7132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 Информационно-телекоммуникационные сети (п. 17б)</w:t>
            </w:r>
          </w:p>
        </w:tc>
      </w:tr>
      <w:tr w14:paraId="7EA4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6F9DC24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Центральное ядро (Softswitch, SBC) </w:t>
            </w:r>
          </w:p>
        </w:tc>
        <w:tc>
          <w:tcPr>
            <w:tcW w:w="3030" w:type="pct"/>
          </w:tcPr>
          <w:p w14:paraId="6398F9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Телекоммуникационное оборудование (в т.ч. ПО, система управления) </w:t>
            </w:r>
          </w:p>
        </w:tc>
      </w:tr>
      <w:tr w14:paraId="5D54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003D9E4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Медиашлюзы (MGW) </w:t>
            </w:r>
          </w:p>
        </w:tc>
        <w:tc>
          <w:tcPr>
            <w:tcW w:w="3030" w:type="pct"/>
          </w:tcPr>
          <w:p w14:paraId="08CDE19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Телекоммуникационное оборудование (в т.ч. ПО) </w:t>
            </w:r>
          </w:p>
        </w:tc>
      </w:tr>
      <w:tr w14:paraId="70B3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0EB9714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Сигнальная информация (SIP, WebRTC) </w:t>
            </w:r>
          </w:p>
        </w:tc>
        <w:tc>
          <w:tcPr>
            <w:tcW w:w="3030" w:type="pct"/>
          </w:tcPr>
          <w:p w14:paraId="41A4F763">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Информация, передаваемая по линиям связи </w:t>
            </w:r>
          </w:p>
        </w:tc>
      </w:tr>
      <w:tr w14:paraId="142F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2E712E5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Голосовой трафик (RTP) </w:t>
            </w:r>
          </w:p>
        </w:tc>
        <w:tc>
          <w:tcPr>
            <w:tcW w:w="3030" w:type="pct"/>
          </w:tcPr>
          <w:p w14:paraId="4E7907D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Информация, передаваемая по линиям связи </w:t>
            </w:r>
          </w:p>
        </w:tc>
      </w:tr>
      <w:tr w14:paraId="4665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6F4A1B20">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Информация управления (SSH, Telnet, SNMP) </w:t>
            </w:r>
          </w:p>
        </w:tc>
        <w:tc>
          <w:tcPr>
            <w:tcW w:w="3030" w:type="pct"/>
          </w:tcPr>
          <w:p w14:paraId="4E5FA5B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Информация, передаваемая по линиям связи </w:t>
            </w:r>
          </w:p>
        </w:tc>
      </w:tr>
      <w:tr w14:paraId="30F7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4C5D1E3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Архитектура сети связи (взаимосвязь узлов, сегментация) </w:t>
            </w:r>
          </w:p>
        </w:tc>
        <w:tc>
          <w:tcPr>
            <w:tcW w:w="3030" w:type="pct"/>
          </w:tcPr>
          <w:p w14:paraId="24F0479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Архитектура и конфигурация информационно-телекоммуникационной сети </w:t>
            </w:r>
          </w:p>
        </w:tc>
      </w:tr>
      <w:tr w14:paraId="5FEC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78483C42">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Средства защиты информации (МЭ, СОВ и т.д.) </w:t>
            </w:r>
          </w:p>
        </w:tc>
        <w:tc>
          <w:tcPr>
            <w:tcW w:w="3030" w:type="pct"/>
          </w:tcPr>
          <w:p w14:paraId="063CA757">
            <w:pPr>
              <w:spacing w:after="0" w:line="240" w:lineRule="auto"/>
              <w:rPr>
                <w:rFonts w:ascii="Times New Roman" w:hAnsi="Times New Roman" w:cs="Times New Roman"/>
                <w:sz w:val="28"/>
                <w:szCs w:val="28"/>
              </w:rPr>
            </w:pPr>
            <w:r>
              <w:rPr>
                <w:rFonts w:ascii="Times New Roman" w:hAnsi="Times New Roman" w:cs="Times New Roman"/>
                <w:sz w:val="28"/>
                <w:szCs w:val="28"/>
              </w:rPr>
              <w:t>Средства защиты информации</w:t>
            </w:r>
          </w:p>
        </w:tc>
      </w:tr>
      <w:tr w14:paraId="0900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3AE89DF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 Автоматизированные системы управления (п. 17в)</w:t>
            </w:r>
          </w:p>
        </w:tc>
      </w:tr>
      <w:tr w14:paraId="1651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7E3EF2E3">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Система управления сетью связи (мониторинг, конфигурирование) </w:t>
            </w:r>
          </w:p>
        </w:tc>
        <w:tc>
          <w:tcPr>
            <w:tcW w:w="3030" w:type="pct"/>
          </w:tcPr>
          <w:p w14:paraId="1A003DD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Программно-аппаратные средства (серверы, АРМ) </w:t>
            </w:r>
          </w:p>
        </w:tc>
      </w:tr>
      <w:tr w14:paraId="0C82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5909A45C">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Контролируемая информация о состоянии сети (метрики, логи, события) </w:t>
            </w:r>
          </w:p>
        </w:tc>
        <w:tc>
          <w:tcPr>
            <w:tcW w:w="3030" w:type="pct"/>
          </w:tcPr>
          <w:p w14:paraId="4C08E69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Контрольно-измерительная информация, иная критически важная информация </w:t>
            </w:r>
          </w:p>
        </w:tc>
      </w:tr>
      <w:tr w14:paraId="0294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162E71A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Управляющая информация (команды конфигурации, маршрутизации) </w:t>
            </w:r>
          </w:p>
        </w:tc>
        <w:tc>
          <w:tcPr>
            <w:tcW w:w="3030" w:type="pct"/>
          </w:tcPr>
          <w:p w14:paraId="25608327">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Управляющая (командная) информация </w:t>
            </w:r>
          </w:p>
        </w:tc>
      </w:tr>
      <w:tr w14:paraId="118C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0A382C2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Программное обеспечение системы управления </w:t>
            </w:r>
          </w:p>
        </w:tc>
        <w:tc>
          <w:tcPr>
            <w:tcW w:w="3030" w:type="pct"/>
          </w:tcPr>
          <w:p w14:paraId="71DB9FC2">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Программные средства (прикладное ПО) </w:t>
            </w:r>
          </w:p>
        </w:tc>
      </w:tr>
      <w:tr w14:paraId="1C595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pct"/>
          </w:tcPr>
          <w:p w14:paraId="62713B8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Архитектура системы управления </w:t>
            </w:r>
          </w:p>
        </w:tc>
        <w:tc>
          <w:tcPr>
            <w:tcW w:w="3030" w:type="pct"/>
          </w:tcPr>
          <w:p w14:paraId="62F2EC1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Архитектура и конфигурация автоматизированной системы управления </w:t>
            </w:r>
          </w:p>
        </w:tc>
      </w:tr>
      <w:tr w14:paraId="43769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0" w:type="pct"/>
          </w:tcPr>
          <w:p w14:paraId="0D400A93">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 Средства защиты информации (МЭ, СОВ и т.д.) </w:t>
            </w:r>
          </w:p>
        </w:tc>
        <w:tc>
          <w:tcPr>
            <w:tcW w:w="3030" w:type="pct"/>
          </w:tcPr>
          <w:p w14:paraId="6CE25F80">
            <w:pPr>
              <w:spacing w:after="0" w:line="240" w:lineRule="auto"/>
              <w:rPr>
                <w:rFonts w:ascii="Times New Roman" w:hAnsi="Times New Roman" w:cs="Times New Roman"/>
                <w:sz w:val="28"/>
                <w:szCs w:val="28"/>
              </w:rPr>
            </w:pPr>
            <w:r>
              <w:rPr>
                <w:rFonts w:ascii="Times New Roman" w:hAnsi="Times New Roman" w:cs="Times New Roman"/>
                <w:sz w:val="28"/>
                <w:szCs w:val="28"/>
              </w:rPr>
              <w:t>Средства защиты информации</w:t>
            </w:r>
          </w:p>
        </w:tc>
      </w:tr>
    </w:tbl>
    <w:p w14:paraId="2858CC1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Таким образом, объекты защиты в составе VoIP-сети представляют собой комплекс взаимосвязанных технических средств, программного обеспечения и информационных ресурсов, распределенных по всей архитектуре. Их классификация позволяет применить дифференцированный подход к планированию и реализации мер безопасности в соответствии с актуальными угрозами и требованиями регуляторов.</w:t>
      </w:r>
      <w:r>
        <w:rPr>
          <w:rFonts w:ascii="Times New Roman" w:hAnsi="Times New Roman" w:cs="Times New Roman"/>
          <w:sz w:val="28"/>
          <w:szCs w:val="28"/>
        </w:rPr>
        <w:br w:type="page"/>
      </w:r>
    </w:p>
    <w:p w14:paraId="6B558B91">
      <w:pPr>
        <w:spacing w:after="600" w:line="360" w:lineRule="auto"/>
        <w:ind w:firstLine="851"/>
        <w:jc w:val="both"/>
        <w:rPr>
          <w:rFonts w:ascii="Times New Roman" w:hAnsi="Times New Roman" w:cs="Times New Roman"/>
          <w:sz w:val="28"/>
          <w:szCs w:val="28"/>
        </w:rPr>
      </w:pPr>
      <w:r>
        <w:rPr>
          <w:rFonts w:ascii="Times New Roman" w:hAnsi="Times New Roman" w:cs="Times New Roman"/>
          <w:sz w:val="28"/>
          <w:szCs w:val="28"/>
        </w:rPr>
        <w:t>2 АНАЛИЗ АКТУАЛЬНЫХ УГРОЗ ИБ</w:t>
      </w:r>
    </w:p>
    <w:p w14:paraId="60E1FEA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основе классификации объектов защиты и в соответствии с требованиями нормативных правовых актов Российской Федерации в области безопасности критической информационной инфраструктуры (КИИ), а также с учетом «Банка данных угроз безопасности информации» ФСТЭК России, для предлагаемой распределенной сети связи VoIP можно определить следующие виды актуальных угроз.</w:t>
      </w:r>
    </w:p>
    <w:p w14:paraId="25836E8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2.1 Угрозы нарушения конфиденциальности обрабатываемой информации</w:t>
      </w:r>
    </w:p>
    <w:p w14:paraId="3E338DD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Данная группа угроз напрямую связана с несанкционированным доступом к критичной информации, что противоречит требованиям Федерального закона от 26.07.2017 № 187-ФЗ «О безопасности критической информационной инфраструктуры Российской Федерации» в части защиты информации от несанкционированного доступа. К актуальным угрозам относятся:</w:t>
      </w:r>
    </w:p>
    <w:p w14:paraId="304796C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Перехват голосового трафика (медиапотоков RTP) и сигнальной информации (протоколы SIP, WebRTC) в сегментах сети, включая каналы связи между филиалами и при передаче в Интернет. Реализация угрозы приводит к утечке конфиденциальных переговоров.</w:t>
      </w:r>
    </w:p>
    <w:p w14:paraId="1FD6045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Несанкционированный доступ к базам данных системы управления, программного коммутатора и Web-портала, содержащим персональные данные абонентов, учетные записи, правила маршрутизации и биллинговую информацию. Это может быть следствием уязвимостей в веб-приложениях или недостаточной аутентификации, что соответствует угрозам из банка данных ФСТЭК, таким как «Утечка информации вследствие недостаточной аутентификации».</w:t>
      </w:r>
    </w:p>
    <w:p w14:paraId="58E0F68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Копирование, хищение конфигурационных файлов критических компонентов (SBC, медиашлюзов) через уязвимые сервисы управления (FTP, Telnet).</w:t>
      </w:r>
    </w:p>
    <w:p w14:paraId="46E01FF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2.2 Угрозы нарушения целостности информации и компонентов системы</w:t>
      </w:r>
    </w:p>
    <w:p w14:paraId="1F37BF9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Угрозы этой группы направлены на модификацию информации, программного обеспечения или конфигураций, что может привести к нарушению и разрушению функционирования объекта КИИ, как того требует пункт 18 Приказа ФСТЭК России № 239. Актуальными являются:</w:t>
      </w:r>
    </w:p>
    <w:p w14:paraId="45C0A57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Модификация сигнальных сообщений (SIP) для перенаправления вызовов, сброса активных сеансов связи или маскировки под легитимного абонента (спуфинг). Это соответствует угрозе «Нарушение функционирования вследствие модификации управляющей информации».</w:t>
      </w:r>
    </w:p>
    <w:p w14:paraId="46E9D8E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Изменение конфигурации сетевого оборудования и программных компонентов через уязвимые протоколы SNMP, SSH или Web-интерфейс для нарушения маршрутизации трафика или вывода системы из строя.</w:t>
      </w:r>
    </w:p>
    <w:p w14:paraId="00869E4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Внедрение вредоносного программного обеспечения в операционные системы виртуальных машин или на серверы, приводящее к нарушению целостности системного и прикладного ПО. Угроза актуализируется через уязвимости в ОС Linux, системе виртуализации KVM или через зараженные образы виртуальных машин.</w:t>
      </w:r>
    </w:p>
    <w:p w14:paraId="05FC3F3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2.3 Угрозы нарушения доступности (отказ в обслуживании)</w:t>
      </w:r>
    </w:p>
    <w:p w14:paraId="3912E04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Эта группа угроз является одной из наиболее критичных для объекта КИИ, поскольку напрямую ведет к нарушению основного вида деятельности – предоставления услуг связи. Требования по противодействию таким угрозам содержатся в Приказе ФСТЭК России № 239 (п. 19). К актуальным угрозам относятся:</w:t>
      </w:r>
    </w:p>
    <w:p w14:paraId="260412F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Распределенные атаки типа «отказ в обслуживании» (DDoS) на ключевые элементы инфраструктуры: программный коммутатор, SBC, медиашлюзы и каналы связи. Целью атак может быть исчерпание вычислительных ресурсов (CPU, память) или пропускной способности сетевых каналов.</w:t>
      </w:r>
    </w:p>
    <w:p w14:paraId="2EFC960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Исчерпание ресурсов системы в результате целевых атак на уровне VoIP-протоколов, например, флуд SIP-INVITE запросами или REGISTER-сообщениями, что приводит к «зависанию» сервисов и недоступности для легитимных абонентов.</w:t>
      </w:r>
    </w:p>
    <w:p w14:paraId="2BAB7FB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Блокирование или нарушение работы за счет компрометации системы управления, включая несанкционированное отключение виртуальных машин или изменение правил межсетевого экранирования, изолирующих критичные компоненты.</w:t>
      </w:r>
    </w:p>
    <w:p w14:paraId="06214B7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2.4 Угрозы, связанные с уязвимостями используемого программного обеспечения и инфраструктуры</w:t>
      </w:r>
    </w:p>
    <w:p w14:paraId="465834F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Данная группа угроз вытекает из исходных данных кейса об использовании Linux-систем и средств виртуализации. Согласно «Банку данных угроз безопасности информации» ФСТЭК, уязвимости в системном и прикладном ПО являются основным источником реализации угроз.</w:t>
      </w:r>
    </w:p>
    <w:p w14:paraId="3777151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Эксплуатация уязвимостей в операционных системах и системах виртуализации (KVM) для получения несанкционированных привилегий, обхода механизмов защиты и воздействия на другие виртуальные машины.</w:t>
      </w:r>
    </w:p>
    <w:p w14:paraId="5E19EFF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Использование «закладок» и уязвимостей в стороннем прикладном ПО (программный коммутатор, SBC), поставляемом в составе виртуальных образов.</w:t>
      </w:r>
    </w:p>
    <w:p w14:paraId="30BB3CB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Несанкционированный доступ к системе управления виртуализацией, что может привести к компрометации всей программно-аппаратной платформы.</w:t>
      </w:r>
    </w:p>
    <w:p w14:paraId="2EEDBCF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Таким образом, спектр актуальных угроз для сети связи VoIP является комплексным и охватывает все классические свойства безопасности: конфиденциальность, целостность и доступность. Наиболее критичными, учитывая статус значимого объекта КИИ 3-й категории, являются угрозы нарушения доступности и целостности, реализация которых может привести к полному прекращению функционирования услуги связи. Противодействие этим угрозам требует реализации как технических, так и организационных мер, соответствующих требованиям регуляторов.</w:t>
      </w:r>
      <w:r>
        <w:rPr>
          <w:rFonts w:ascii="Times New Roman" w:hAnsi="Times New Roman" w:cs="Times New Roman"/>
          <w:sz w:val="28"/>
          <w:szCs w:val="28"/>
        </w:rPr>
        <w:br w:type="page"/>
      </w:r>
    </w:p>
    <w:p w14:paraId="45E3BBE7">
      <w:pPr>
        <w:spacing w:after="600" w:line="360" w:lineRule="auto"/>
        <w:ind w:firstLine="851"/>
        <w:rPr>
          <w:rFonts w:ascii="Times New Roman" w:hAnsi="Times New Roman" w:cs="Times New Roman"/>
          <w:sz w:val="28"/>
          <w:szCs w:val="28"/>
        </w:rPr>
      </w:pPr>
      <w:r>
        <w:rPr>
          <w:rFonts w:ascii="Times New Roman" w:hAnsi="Times New Roman" w:cs="Times New Roman"/>
          <w:sz w:val="28"/>
          <w:szCs w:val="28"/>
        </w:rPr>
        <w:t>3 ТЕХНИЧЕСКИЕ И ОРГАНИЗАЦИОННЫЕ МЕРЫ ЗАЩИТЫ</w:t>
      </w:r>
    </w:p>
    <w:p w14:paraId="2857EC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основе анализа объектов защиты и актуальных угроз для сети связи VoIP, являющейся значимым объектом КИИ 3-й категории, меры по обеспечению ее безопасности определяются и классифицируются в соответствии с требованиями Приказа ФСТЭК России от 25.12.2017 № 239, а также других нормативных правовых актов (НПА) Российской Федерации.</w:t>
      </w:r>
    </w:p>
    <w:p w14:paraId="5AA43EF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3.1 Организационные меры</w:t>
      </w:r>
    </w:p>
    <w:p w14:paraId="1F2B0F8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Данные меры направлены на создание регламентирующей базы и управление процессами обеспечения безопасности в соответствии с разделом </w:t>
      </w:r>
      <w:r>
        <w:rPr>
          <w:rFonts w:ascii="Times New Roman" w:hAnsi="Times New Roman" w:cs="Times New Roman"/>
          <w:sz w:val="28"/>
          <w:szCs w:val="28"/>
          <w:lang w:val="en-US"/>
        </w:rPr>
        <w:t>III</w:t>
      </w:r>
      <w:r>
        <w:rPr>
          <w:rFonts w:ascii="Times New Roman" w:hAnsi="Times New Roman" w:cs="Times New Roman"/>
          <w:sz w:val="28"/>
          <w:szCs w:val="28"/>
        </w:rPr>
        <w:t xml:space="preserve">  Приказа ФСТЭК России № 239, который предписывает субъекту КИИ разработать и утвердить систему защиты информации.</w:t>
      </w:r>
    </w:p>
    <w:p w14:paraId="5200922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 Разработка организационно-распорядительной документации.</w:t>
      </w:r>
    </w:p>
    <w:p w14:paraId="7AF4AF2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Политика информационной безопасности объекта КИИ. Является основополагающим документом, определяющим подходы, цели и принципы защиты информации.</w:t>
      </w:r>
    </w:p>
    <w:p w14:paraId="17F026B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Регламенты и инструкции по безопасной настройке и администрированию всех компонентов сети (ПО коммутатора, SBC, ОС Linux, гипервизора KVM, сетевого оборудования).</w:t>
      </w:r>
    </w:p>
    <w:p w14:paraId="730AE3B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Правила разграничения доступа к информационным ресурсам и системам управления, основанные на принципе минимальных привилегий.</w:t>
      </w:r>
    </w:p>
    <w:p w14:paraId="03CEF97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План мероприятий по обеспечению безопасности информации, требуемый пунктом 10 Приказа ФСТЭК России № 239.</w:t>
      </w:r>
    </w:p>
    <w:p w14:paraId="35FEA23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 Управление персоналом и доступом.</w:t>
      </w:r>
    </w:p>
    <w:p w14:paraId="04A164C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Регулярное проведение проверок сотрудников, допущенных к управлению и администрированию объекта КИИ, в соответствии с законодательством. Данная мера соответствует пункту 11 Приказа ФСТЭК России № 239, который обязывает устанавливать требования к гражданам, допускаемым к выполнению работ, связанных с обеспечением безопасности значимого объекта КИИ.</w:t>
      </w:r>
    </w:p>
    <w:p w14:paraId="3EA50A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Обучение и информирование персонала о политике безопасности и актуальных киберугрозах.</w:t>
      </w:r>
    </w:p>
    <w:p w14:paraId="5C8AFE8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Оформление обязательств о неразглашении конфиденциальной информации.</w:t>
      </w:r>
    </w:p>
    <w:p w14:paraId="29A6ECB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 Реагирование на инциденты.</w:t>
      </w:r>
    </w:p>
    <w:p w14:paraId="03D32E8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Создание группы реагирования на компьютерные инциденты (CERT/SOC).</w:t>
      </w:r>
    </w:p>
    <w:p w14:paraId="57ABA31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Разработка и регулярное обновление регламента по реагированию на инциденты. Документ должен определять порядок действий при обнаружении атак, нарушающих нормальное функционирование объекта КИИ, что соответствует требованию пункта 26 Приказа ФСТЭК России № 239.</w:t>
      </w:r>
    </w:p>
    <w:p w14:paraId="6E9B905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Ведение журналов инцидентов и проведение пост-инцидентного анализа.</w:t>
      </w:r>
    </w:p>
    <w:p w14:paraId="7E6EE19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4) Обеспечение надежности и восстановления.</w:t>
      </w:r>
    </w:p>
    <w:p w14:paraId="7ED05A4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Регулярное резервное копирование критичных данных (конфигурации, базы данных абонентов, биллинг) и проверка их целостности и возможности восстановления.</w:t>
      </w:r>
    </w:p>
    <w:p w14:paraId="7F3D66C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Разработка и тестирование плана восстановления функционирования объекта КИИ после сбоев и инцидентов.</w:t>
      </w:r>
    </w:p>
    <w:p w14:paraId="417BCFA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3.2 Технические меры</w:t>
      </w:r>
    </w:p>
    <w:p w14:paraId="45DB004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Технические меры реализуются для непосредственного противодействия угрозам и выполняют функции предотвращения, обнаружения и отражения атак. Их выбор должен быть основан на положениях Приказа ФСТЭК России № 239 (например, пункты 14, 15, 16, 19), а также Приказа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(как смежный НПА).</w:t>
      </w:r>
    </w:p>
    <w:p w14:paraId="7B9DEE7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 Меры по управлению доступом и аутентификации.</w:t>
      </w:r>
    </w:p>
    <w:p w14:paraId="74D12DF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Строгая аутентификация для доступа к системам управления (SSH, Web-портал) и сетевым устройствам с использованием многофакторной аутентификации (МФА).</w:t>
      </w:r>
    </w:p>
    <w:p w14:paraId="17DCDFC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Разграничение прав доступа на основе ролевой модели (RBAC) для администраторов и пользователей.</w:t>
      </w:r>
    </w:p>
    <w:p w14:paraId="0F82A68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Блокировка учетных записей после превышения числа неудачных попыток входа.</w:t>
      </w:r>
    </w:p>
    <w:p w14:paraId="758AFB8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 Меры по защите от несанкционированного доступа (НСД) и вторжений.</w:t>
      </w:r>
    </w:p>
    <w:p w14:paraId="6FE0B4C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Сегментация сети. Выделение отдельных VLAN/VXLAN для голосового трафика, сигнализации, управления и мониторинга. Изоляция критичных систем (Система управления) в защищенный сегмент.</w:t>
      </w:r>
    </w:p>
    <w:p w14:paraId="1A84E40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Применение межсетевых экранов (МЭ) следующего поколения (NGFW) на границах сетевых сегментов и на стыке с внешними сетями (Интернет). Настройка правил, запрещающих прямой доступ из Интернета к критичным компонентам.</w:t>
      </w:r>
    </w:p>
    <w:p w14:paraId="772CCC5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Внедрение систем обнаружения и предотвращения вторжений (IDS/IPS), настроенных на анализ VoIP-трафика (SIP, RTP) и выявление аномальной активности и сигнатур атак.</w:t>
      </w:r>
    </w:p>
    <w:p w14:paraId="0CA8F43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Защита систем виртуализации. Настройка безопасной конфигурации гипервизора KVM, разграничение прав доступа к панели управления виртуализацией.</w:t>
      </w:r>
    </w:p>
    <w:p w14:paraId="6A005FE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 Меры по обеспечению целостности и доступности.</w:t>
      </w:r>
    </w:p>
    <w:p w14:paraId="2B6CA30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Защита от DDoS-атак. Использование специализированных систем (DDoS Mitigation) или услуг провайдера для очистки трафика на периметре сети.</w:t>
      </w:r>
    </w:p>
    <w:p w14:paraId="01B7D3B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Шифрование критичной информации. Применение протоколов TLS для защиты сигнальной информации (SIP over TLS) и SRTP для шифрования голосового трафика.</w:t>
      </w:r>
    </w:p>
    <w:p w14:paraId="0440AFA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Контроль целостности программного обеспечения и конфигураций. Использование средств контроля целостности файлов (HIDS) на серверах с ОС Linux для обнаружения несанкционированных изменений.</w:t>
      </w:r>
    </w:p>
    <w:p w14:paraId="409E58C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Резервирование критичных компонентов (SBC, коммутаторы, каналы связи) для обеспечения отказоустойчивости.</w:t>
      </w:r>
    </w:p>
    <w:p w14:paraId="42F6AEC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4) Меры по регистрации и мониторингу.</w:t>
      </w:r>
    </w:p>
    <w:p w14:paraId="0C9B1B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Централизованный сбор и анализ логов. Внедрение системы SIEM (Security Information and Event Management) для агрегации событий безопасности со всех компонентов сети (ОС, МЭ, VoIP-компонентов, СХД). Это прямое выполнение требования пункта 24 Приказа ФСТЭК России № 239 о необходимости регистрации событий безопасности.</w:t>
      </w:r>
    </w:p>
    <w:p w14:paraId="3574FB2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Настройка правил корреляции в системе SIEM для оперативного выявления сложных многокомпонентных атак.</w:t>
      </w:r>
    </w:p>
    <w:p w14:paraId="2A0E0C5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Организация мониторинга доступности ключевых сервисов и каналов связи.</w:t>
      </w:r>
    </w:p>
    <w:p w14:paraId="3955466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Таким образом, обеспечение безопасности сети связи VoIP требует комплексного подхода, сочетающего строгие организационные регламенты и современные технические средства защиты. Реализация указанных мер в совокупности позволит создать систему защиты информации, адекватную выявленным угрозам и соответствующую требованиям регуляторов для значимых объектов КИИ.</w:t>
      </w:r>
    </w:p>
    <w:p w14:paraId="4358A542">
      <w:pPr>
        <w:spacing w:line="360" w:lineRule="auto"/>
        <w:ind w:firstLine="851"/>
        <w:rPr>
          <w:rFonts w:ascii="Times New Roman" w:hAnsi="Times New Roman" w:cs="Times New Roman"/>
          <w:sz w:val="28"/>
          <w:szCs w:val="28"/>
        </w:rPr>
      </w:pPr>
      <w:r>
        <w:rPr>
          <w:rFonts w:ascii="Times New Roman" w:hAnsi="Times New Roman" w:cs="Times New Roman"/>
          <w:sz w:val="28"/>
          <w:szCs w:val="28"/>
        </w:rPr>
        <w:br w:type="page"/>
      </w:r>
    </w:p>
    <w:p w14:paraId="2DC4CECE">
      <w:pPr>
        <w:spacing w:after="600" w:line="360" w:lineRule="auto"/>
        <w:ind w:firstLine="851"/>
        <w:rPr>
          <w:rFonts w:ascii="Times New Roman" w:hAnsi="Times New Roman" w:cs="Times New Roman"/>
          <w:sz w:val="28"/>
          <w:szCs w:val="28"/>
        </w:rPr>
      </w:pPr>
      <w:r>
        <w:rPr>
          <w:rFonts w:ascii="Times New Roman" w:hAnsi="Times New Roman" w:cs="Times New Roman"/>
          <w:sz w:val="28"/>
          <w:szCs w:val="28"/>
        </w:rPr>
        <w:t>4. ПРЕДЛОЖЕНИЯ ПО ТЕХНИЧЕСКИМ СРЕДСТВАМ ЗАЩИТЫ ДЛЯ СЕТИ СВЯЗИ VOIP</w:t>
      </w:r>
    </w:p>
    <w:p w14:paraId="723E73B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основе проведенной классификации технических мер защиты и в соответствии с требованиями нормативных документов, в частности Приказа ФСТЭК России от 25.12.2017 № 239, для каждого направления защиты предлагаются конкретные технические средства, обеспечивающие комплексную защиту значимого объекта КИИ - сети связи VoIP.</w:t>
      </w:r>
    </w:p>
    <w:p w14:paraId="022923B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4.1. Меры по управлению доступом и аутентификации</w:t>
      </w:r>
    </w:p>
    <w:p w14:paraId="2F7360F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Предлагаемое техническое средство защиты: Система многофакторной аутентификации (МФА)</w:t>
      </w:r>
    </w:p>
    <w:p w14:paraId="4A212EC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Данное средство является внешним техническим средством защиты, которое интегрируется с защищаемыми системами в качестве единого центра аутентификации.</w:t>
      </w:r>
    </w:p>
    <w:p w14:paraId="1F6896A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качестве основного технического средства защиты предлагается внедрение системы многофакторной аутентификации, которая должна быть развернута для контроля доступа ко всем критически важным компонентам инфраструктуры. Данное решение должно обеспечивать строгую аутентификацию при доступе к системам управления (SSH, Web-порталу), сетевым устройствам и другим важным элементам инфраструктуры.</w:t>
      </w:r>
    </w:p>
    <w:p w14:paraId="0A68E56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Конкретные примеры реализации: Secret Double Octopus, Рутокен ПАК, VASCO Digipass, Cisco Duo.</w:t>
      </w:r>
    </w:p>
    <w:p w14:paraId="75348A1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Система МФА функционирует на основе требования предоставления пользователем не менее двух независимых факторов аутентификации. Первым фактором typically выступает постоянный пароль (знание), вторым - одноразовый код, формируемый мобильным приложением, SMS-сообщение или аппаратный токен (владение). В наиболее защищенных конфигурациях может добавляться третий фактор - биометрические данные (отпечаток пальца, сканер радужной оболочки глаза). При попытке доступа к защищаемому ресурсу система формирует запрос на предоставление второго фактора, и доступ разрешается только после успешной проверки всех требуемых аутентификационных данных.</w:t>
      </w:r>
    </w:p>
    <w:p w14:paraId="7BA3462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Реализация системы МФА позволяет эффективно противостоять угрозам компрометации учетных записей, несанкционированного доступа к системам управления, хищения учетных данных. Даже в случае перехвата или подбора пароля злоумышленник не сможет получить доступ к защищаемым системам без possession второго фактора аутентификации.</w:t>
      </w:r>
    </w:p>
    <w:p w14:paraId="41C6913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Внедрение средств многофакторной аутентификации напрямую соответствует требованиям пункта 14 Приказа ФСТЭК России № 239, который предписывает использование надежных методов аутентификации для пользователей и администраторов информационных систем значимых объектов КИИ.</w:t>
      </w:r>
    </w:p>
    <w:p w14:paraId="09D1B31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4.2. Меры по защите от несанкционированного доступа и вторжений</w:t>
      </w:r>
    </w:p>
    <w:p w14:paraId="3ED4C28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 Сегментация сети и контроль трафика</w:t>
      </w:r>
    </w:p>
    <w:p w14:paraId="2585B44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Предлагаемое техническое средство защиты: Межсетевой экран следующего поколения (Next-Generation Firewall - NGFW)</w:t>
      </w:r>
    </w:p>
    <w:p w14:paraId="6D3982F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Это внешнее техническое средство защиты, которое развертывается в виде выделенных аппаратно-программных комплексов на границах сетевых сегментов и на периметре сети.</w:t>
      </w:r>
    </w:p>
    <w:p w14:paraId="78D4C05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реализации эффективной сегментации сети и контроля трафика предлагается развертывание межсетевых экранов следующего поколения, которые должны быть установлены на всех ключевых точках сети связи VoIP, особенно на границах сетевых сегментов и на стыках с внешними сетями.</w:t>
      </w:r>
    </w:p>
    <w:p w14:paraId="14E2E8BA">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sz w:val="28"/>
          <w:szCs w:val="28"/>
        </w:rPr>
        <w:t>Конкретные</w:t>
      </w:r>
      <w:r>
        <w:rPr>
          <w:rFonts w:ascii="Times New Roman" w:hAnsi="Times New Roman" w:cs="Times New Roman"/>
          <w:sz w:val="28"/>
          <w:szCs w:val="28"/>
          <w:lang w:val="en-US"/>
        </w:rPr>
        <w:t xml:space="preserve"> </w:t>
      </w:r>
      <w:r>
        <w:rPr>
          <w:rFonts w:ascii="Times New Roman" w:hAnsi="Times New Roman" w:cs="Times New Roman"/>
          <w:sz w:val="28"/>
          <w:szCs w:val="28"/>
        </w:rPr>
        <w:t>примеры</w:t>
      </w:r>
      <w:r>
        <w:rPr>
          <w:rFonts w:ascii="Times New Roman" w:hAnsi="Times New Roman" w:cs="Times New Roman"/>
          <w:sz w:val="28"/>
          <w:szCs w:val="28"/>
          <w:lang w:val="en-US"/>
        </w:rPr>
        <w:t xml:space="preserve"> </w:t>
      </w:r>
      <w:r>
        <w:rPr>
          <w:rFonts w:ascii="Times New Roman" w:hAnsi="Times New Roman" w:cs="Times New Roman"/>
          <w:sz w:val="28"/>
          <w:szCs w:val="28"/>
        </w:rPr>
        <w:t>реализации</w:t>
      </w:r>
      <w:r>
        <w:rPr>
          <w:rFonts w:ascii="Times New Roman" w:hAnsi="Times New Roman" w:cs="Times New Roman"/>
          <w:sz w:val="28"/>
          <w:szCs w:val="28"/>
          <w:lang w:val="en-US"/>
        </w:rPr>
        <w:t>: Palo Alto Networks PA-Series, Check Point Quantum Security Gateways, Fortinet FortiGate, Cisco Firepower NGFW.</w:t>
      </w:r>
    </w:p>
    <w:p w14:paraId="6006E07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NGFW осуществляет глубокий анализ трафика на прикладном уровне (Layer 7), что позволяет идентифицировать VoIP-протоколы (SIP, RTP, WebRTC) независимо от используемых транспортных портов. Это обеспечивает возможность создания детализированных политик безопасности, например: "разрешить только SIP-трафик от авторизованного пула IP-адресов SBC к медиашлюзам", "блокировать любые попытки установления соединений к системе управления из сети Интернет", "ограничить передачу медиатрафика только определенными кодеками". Дополнительно NGFW могут обеспечивать проверку трафика на наличие известных уязвимостей, предотвращать передачу вредоносного кода и осуществлять SSL-инспекцию для анализа зашифрованного трафика.</w:t>
      </w:r>
    </w:p>
    <w:p w14:paraId="02DD23B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Применение NGFW позволяет эффективно противостоять угрозам несанкционированного доступа к компонентам VoIP-инфраструктуры, сканированию сети, lateral movement злоумышленника внутри сети, а также блокировать попытки эксплуатации известных уязвимостей в сетевых протоколах и приложениях.</w:t>
      </w:r>
    </w:p>
    <w:p w14:paraId="19CB717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Использование межсетевых экранов соответствует требованиям пункта 15 Приказа ФСТЭК России № 239, который обязывает осуществлять контроль за соединениями в информационной системе и между информационными системами.</w:t>
      </w:r>
    </w:p>
    <w:p w14:paraId="1AF1B88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 Обнаружение и предотвращение вторжений</w:t>
      </w:r>
    </w:p>
    <w:p w14:paraId="5E51FA4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Предлагаемое техническое средство защиты: Система обнаружения и предотвращения вторжений (Intrusion Detection/Prevention System - IDS/IPS)</w:t>
      </w:r>
    </w:p>
    <w:p w14:paraId="3CF2B0B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анализа сетевого трафика используется сетевая система предотвращения вторжений, которая является внешним техническим средством. Для защиты критичных серверов могут дополнительно применяться хостовые системы предотвращения вторжений, которые функционируют как встроенное средство защиты на каждом конкретном сервере.</w:t>
      </w:r>
    </w:p>
    <w:p w14:paraId="32E46AF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обнаружения и блокирования сетевых атак целевого уровня предлагается внедрение систем обнаружения и предотвращения вторжений, специально настроенных на анализ VoIP-трафика и выявление аномальной активности, характерной для атак на телефонию.</w:t>
      </w:r>
    </w:p>
    <w:p w14:paraId="7FE7BEC5">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sz w:val="28"/>
          <w:szCs w:val="28"/>
        </w:rPr>
        <w:t>Конкретные</w:t>
      </w:r>
      <w:r>
        <w:rPr>
          <w:rFonts w:ascii="Times New Roman" w:hAnsi="Times New Roman" w:cs="Times New Roman"/>
          <w:sz w:val="28"/>
          <w:szCs w:val="28"/>
          <w:lang w:val="en-US"/>
        </w:rPr>
        <w:t xml:space="preserve"> </w:t>
      </w:r>
      <w:r>
        <w:rPr>
          <w:rFonts w:ascii="Times New Roman" w:hAnsi="Times New Roman" w:cs="Times New Roman"/>
          <w:sz w:val="28"/>
          <w:szCs w:val="28"/>
        </w:rPr>
        <w:t>примеры</w:t>
      </w:r>
      <w:r>
        <w:rPr>
          <w:rFonts w:ascii="Times New Roman" w:hAnsi="Times New Roman" w:cs="Times New Roman"/>
          <w:sz w:val="28"/>
          <w:szCs w:val="28"/>
          <w:lang w:val="en-US"/>
        </w:rPr>
        <w:t xml:space="preserve"> </w:t>
      </w:r>
      <w:r>
        <w:rPr>
          <w:rFonts w:ascii="Times New Roman" w:hAnsi="Times New Roman" w:cs="Times New Roman"/>
          <w:sz w:val="28"/>
          <w:szCs w:val="28"/>
        </w:rPr>
        <w:t>реализации</w:t>
      </w:r>
      <w:r>
        <w:rPr>
          <w:rFonts w:ascii="Times New Roman" w:hAnsi="Times New Roman" w:cs="Times New Roman"/>
          <w:sz w:val="28"/>
          <w:szCs w:val="28"/>
          <w:lang w:val="en-US"/>
        </w:rPr>
        <w:t>: Cisco Firepower IPS, Suricata, Darktrace, Positive Technologies MaxPatrol.</w:t>
      </w:r>
    </w:p>
    <w:p w14:paraId="788E8B3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Система IPS, работающая в режиме активного предотвращения, осуществляет непрерывный анализ всего сетевого трафика, включая специализированные VoIP-протоколы. Она использует комбинацию сигнатурного анализа (для выявления известных атак, таких как SIP-флуд, сканирование уязвимостей в SBC, попытки подбора учетных данных) и поведенческого анализа (для обнаружения аномалий, например, необычно высокого количества REGISTER- или INVITE-запросов от одного источника, трафика с нехарактерным распределением пакетов). При обнаружении признаков атаки система автоматически блокирует подозрительный трафик, разрывает соединения и уведомляет администраторов.</w:t>
      </w:r>
    </w:p>
    <w:p w14:paraId="0F80B72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Внедрение IPS позволяет эффективно противостоять целевым атакам на VoIP-протоколы, DDoS-атакам на уровне приложений, попыткам эксплуатации уязвимостей в компонентах телефонии, а также действиям злоумышленников, направленным на перехват вызовов или несанкционированное использование услуг связи.</w:t>
      </w:r>
    </w:p>
    <w:p w14:paraId="2066007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Применение систем обнаружения и предотвращения вторжений напрямую соответствует требованиям пункта 19 Приказа ФСТЭК России № 239, который обязывает принимать меры по обнаружению вторжений в информационную систему и реагированию на них.</w:t>
      </w:r>
    </w:p>
    <w:p w14:paraId="355E823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4.3. Меры по обеспечению целостности и доступности</w:t>
      </w:r>
    </w:p>
    <w:p w14:paraId="653BF80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 Защита от DDoS-атак</w:t>
      </w:r>
    </w:p>
    <w:p w14:paraId="30F9A17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Предлагаемое техническое средство защиты: Специализированная система защиты от распределенных атак типа "отказ в обслуживании" (DDoS Protection)</w:t>
      </w:r>
    </w:p>
    <w:p w14:paraId="77CFF54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защиты публичных сервисов, таких как Web-портал или SBC, наиболее эффективно использование внешней облачной службы скрабинга трафика. Для отражения атак изнутри сети или для защиты внутренних компонентов применяется локальное он-премис решение, которое является внешним сетевым средством защиты.</w:t>
      </w:r>
    </w:p>
    <w:p w14:paraId="5E7F291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обеспечения устойчивой доступности услуг телефонии предлагается внедрение специализированной системы защиты от DDoS-атак, способной противостоять как объемным, так и целевым атакам на уровне приложений.</w:t>
      </w:r>
    </w:p>
    <w:p w14:paraId="4F57BBB5">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sz w:val="28"/>
          <w:szCs w:val="28"/>
        </w:rPr>
        <w:t>Конкретные</w:t>
      </w:r>
      <w:r>
        <w:rPr>
          <w:rFonts w:ascii="Times New Roman" w:hAnsi="Times New Roman" w:cs="Times New Roman"/>
          <w:sz w:val="28"/>
          <w:szCs w:val="28"/>
          <w:lang w:val="en-US"/>
        </w:rPr>
        <w:t xml:space="preserve"> </w:t>
      </w:r>
      <w:r>
        <w:rPr>
          <w:rFonts w:ascii="Times New Roman" w:hAnsi="Times New Roman" w:cs="Times New Roman"/>
          <w:sz w:val="28"/>
          <w:szCs w:val="28"/>
        </w:rPr>
        <w:t>примеры</w:t>
      </w:r>
      <w:r>
        <w:rPr>
          <w:rFonts w:ascii="Times New Roman" w:hAnsi="Times New Roman" w:cs="Times New Roman"/>
          <w:sz w:val="28"/>
          <w:szCs w:val="28"/>
          <w:lang w:val="en-US"/>
        </w:rPr>
        <w:t xml:space="preserve"> </w:t>
      </w:r>
      <w:r>
        <w:rPr>
          <w:rFonts w:ascii="Times New Roman" w:hAnsi="Times New Roman" w:cs="Times New Roman"/>
          <w:sz w:val="28"/>
          <w:szCs w:val="28"/>
        </w:rPr>
        <w:t>реализации</w:t>
      </w:r>
      <w:r>
        <w:rPr>
          <w:rFonts w:ascii="Times New Roman" w:hAnsi="Times New Roman" w:cs="Times New Roman"/>
          <w:sz w:val="28"/>
          <w:szCs w:val="28"/>
          <w:lang w:val="en-US"/>
        </w:rPr>
        <w:t>: Radware DefensePro, Arbor Networks APS, Qrator Labs, Wallarm.</w:t>
      </w:r>
    </w:p>
    <w:p w14:paraId="73C8E79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Система защиты от DDoS-атак развертывается на периметре сети и использует многоуровневый подход к фильтрации трафика. На первом этапе осуществляется бихевиоральный анализ, в ходе которого формируется базовый профиль нормального VoIP-трафика (статистика по количеству вызовов в секунду, типичные размеры пакетов, распределение нагрузки между компонентами). На втором этапе производится непрерывный мониторинг на предмет аномалий, таких как лавина SIP-INVITE запросов, нехарактерные паттерны RTP-трафика или резкий всплеск запросов к Web-порталу. При обнаружении атаки система автоматически перенаправляет весь входящий трафик через скрабер-центры (scrubbing centers), где происходит его тщательная фильтрация, после чего очищенный легитимный трафик передается на защищаемые компоненты инфраструктуры (SBC, медиашлюзы, систему управления).</w:t>
      </w:r>
    </w:p>
    <w:p w14:paraId="7D6A829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Реализация системы защиты от DDoS-атак позволяет обеспечить доступность услуг связи даже в условиях интенсивных объемных и целевых атак, направленных на исчерпание ресурсов процессора, памяти или пропускной способности каналов связи.</w:t>
      </w:r>
    </w:p>
    <w:p w14:paraId="393B53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Внедрение средств защиты от DDoS-атак соответствует требованиям пункта 19 Приказа ФСТЭК России № 239, который предписывает обеспечивать устойчивость информационной системы к отказам в обслуживании.</w:t>
      </w:r>
    </w:p>
    <w:p w14:paraId="0CDF1DE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 Шифрование критичной информации</w:t>
      </w:r>
    </w:p>
    <w:p w14:paraId="7FB9CC5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Предлагаемое техническое средство защиты: Встроенные и внешние средства криптографической защиты информации</w:t>
      </w:r>
    </w:p>
    <w:p w14:paraId="74C19FA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Защита может обеспечиваться как встроенными средствами, которые являются функционалом самого программного обеспечения VoIP-систем, так и внешними специализированными аппаратными криптографическими шлюзами или SBC с аппаратным ускорением шифрования.</w:t>
      </w:r>
    </w:p>
    <w:p w14:paraId="063B74C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обеспечения конфиденциальности и целостности передаваемой информации предлагается повсеместное внедрение средств криптографической защиты как сигнальной информации, так и голосового трафика.</w:t>
      </w:r>
    </w:p>
    <w:p w14:paraId="31FBA6D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Конкретные примеры реализации: Использование встроенной поддержки TLS/SRTP в ПО (Asterisk, FreeSWITCH, Cisco CUCM), специализированные SBC с аппаратным ускорением шифрования (Ribbon Communications SBC, Oracle ACME Packet).</w:t>
      </w:r>
    </w:p>
    <w:p w14:paraId="1E3CA14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защиты сигнальной информации на всех участках сети настраивается принудительное использование протокола SIP over TLS, который обеспечивает шифрование сигнальных сообщений, аутентификацию сторон и защиту от подмены. Для защиты непосредственно голосового трафика активируется SRTP (Secure Real-time Transport Protocol), который шифрует медиапотоки, обеспечивая конфиденциальность переговоров. В наиболее ответственных сегментах сети могут дополнительно использоваться аппаратные средства криптографической защиты информации (VPN-шлюзы), обеспечивающие создание защищенных виртуальных каналов между территориально распределенными узлами связи.</w:t>
      </w:r>
    </w:p>
    <w:p w14:paraId="170427D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Криптографическая защита информации позволяет эффективно противостоять угрозам перехвата голосового трафика и сигнальной информации, прослушивания переговоров, спуфинга и модификации вызовов, а также подмены абонентов.</w:t>
      </w:r>
    </w:p>
    <w:p w14:paraId="40B75C2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Применение средств криптографической защиты информации соответствует требованиям пункта 16 Приказа ФСТЭК России № 239, который предписывает использовать средства защиты информации от уничтожения, блокирования, модификации и копирования.</w:t>
      </w:r>
    </w:p>
    <w:p w14:paraId="7686667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 Контроль целостности</w:t>
      </w:r>
    </w:p>
    <w:p w14:paraId="5EE4BF4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Предлагаемое техническое средство защиты: Система контроля целостности файлов (Host-based Intrusion Detection System - HIDS)</w:t>
      </w:r>
    </w:p>
    <w:p w14:paraId="426A666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Наиболее распространенной является агентная реализация, при которой на защищаемые серверы устанавливается специализированное программное обеспечение, функционирующее как встроенное средство контроля. Также существуют </w:t>
      </w:r>
      <w:r>
        <w:rPr>
          <w:rFonts w:ascii="Times New Roman" w:hAnsi="Times New Roman" w:cs="Times New Roman"/>
          <w:sz w:val="28"/>
          <w:szCs w:val="28"/>
          <w:lang w:val="en-US"/>
        </w:rPr>
        <w:t>agent</w:t>
      </w:r>
      <w:r>
        <w:rPr>
          <w:rFonts w:ascii="Times New Roman" w:hAnsi="Times New Roman" w:cs="Times New Roman"/>
          <w:sz w:val="28"/>
          <w:szCs w:val="28"/>
        </w:rPr>
        <w:t>less-реализации, где проверка целостности выполняется удаленно внешним средством путем периодического сканирования файловых систем серверов.</w:t>
      </w:r>
    </w:p>
    <w:p w14:paraId="546DC64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обеспечения контроля целостности программного обеспечения и конфигураций предлагается внедрение системы контроля целостности файлов на всех серверах, где функционируют компоненты VoIP-инфраструктуры.</w:t>
      </w:r>
    </w:p>
    <w:p w14:paraId="125CD8A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Конкретные примеры реализации: Wazuh, OSSEC, Tripwire, AIDE.</w:t>
      </w:r>
    </w:p>
    <w:p w14:paraId="0EF05B5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каждом защищаемом сервере с ОС Linux устанавливается агент системы контроля целостности, который периодически вычисляет криптографические хэш-суммы (SHA-256, SHA-512) критически важных файлов - исполняемых файлов программного обеспечения, файлов конфигураций, системных библиотек, скриптов. Полученные значения сравниваются с эталонными, хранящимися в защищенной базе данных. При обнаружении любых неавторизованных изменений система немедленно генерирует оповещение и передает его в центральную систему мониторинга и управления (SIEM). Например, если злоумышленник заменил бинарный файл программного коммутатора на вредоносный или изменил конфигурацию SBC, HIDS обнаружит это изменение на самой ранней стадии.</w:t>
      </w:r>
    </w:p>
    <w:p w14:paraId="35ED7FF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Система контроля целостности позволяет эффективно выявлять несанкционированные изменения программного обеспечения и конфигураций, факты внедрения закладок, руткитов и другого вредоносного кода, а также действия инсайдеров, направленные на модификацию параметров работы системы связи.</w:t>
      </w:r>
    </w:p>
    <w:p w14:paraId="6E7E6DD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Внедрение средств контроля целостности соответствует требованиям пункта 18 Приказа ФСТЭК России № 239, который обязывает осуществлять контроль целостности программной среды и информации в информационной системе.</w:t>
      </w:r>
    </w:p>
    <w:p w14:paraId="1C6D0B9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4.4. Меры по регистрации и мониторингу</w:t>
      </w:r>
    </w:p>
    <w:p w14:paraId="6B2A5A7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Предлагаемое техническое средство защиты: Система управления событиями и информационной безопасностью (Security Information and Event Management - SIEM).</w:t>
      </w:r>
    </w:p>
    <w:p w14:paraId="6CCD4DD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Данная система представляет собой внешнее централизованное техническое средство защиты. Оно осуществляет сбор и корреляцию данных от встроенных средств защиты, таких как журналы операционных систем и прикладного ПО, а также от внешних средств, таких как межсетевые экраны и системы предотвращения вторжений.</w:t>
      </w:r>
    </w:p>
    <w:p w14:paraId="779B6FE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обеспечения всестороннего мониторинга и оперативного реагирования на инциденты информационной безопасности предлагается внедрение системы управления событиями и информационной безопасностью.</w:t>
      </w:r>
    </w:p>
    <w:p w14:paraId="212105BA">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sz w:val="28"/>
          <w:szCs w:val="28"/>
        </w:rPr>
        <w:t>Конкретные</w:t>
      </w:r>
      <w:r>
        <w:rPr>
          <w:rFonts w:ascii="Times New Roman" w:hAnsi="Times New Roman" w:cs="Times New Roman"/>
          <w:sz w:val="28"/>
          <w:szCs w:val="28"/>
          <w:lang w:val="en-US"/>
        </w:rPr>
        <w:t xml:space="preserve"> </w:t>
      </w:r>
      <w:r>
        <w:rPr>
          <w:rFonts w:ascii="Times New Roman" w:hAnsi="Times New Roman" w:cs="Times New Roman"/>
          <w:sz w:val="28"/>
          <w:szCs w:val="28"/>
        </w:rPr>
        <w:t>примеры</w:t>
      </w:r>
      <w:r>
        <w:rPr>
          <w:rFonts w:ascii="Times New Roman" w:hAnsi="Times New Roman" w:cs="Times New Roman"/>
          <w:sz w:val="28"/>
          <w:szCs w:val="28"/>
          <w:lang w:val="en-US"/>
        </w:rPr>
        <w:t xml:space="preserve"> </w:t>
      </w:r>
      <w:r>
        <w:rPr>
          <w:rFonts w:ascii="Times New Roman" w:hAnsi="Times New Roman" w:cs="Times New Roman"/>
          <w:sz w:val="28"/>
          <w:szCs w:val="28"/>
        </w:rPr>
        <w:t>реализации</w:t>
      </w:r>
      <w:r>
        <w:rPr>
          <w:rFonts w:ascii="Times New Roman" w:hAnsi="Times New Roman" w:cs="Times New Roman"/>
          <w:sz w:val="28"/>
          <w:szCs w:val="28"/>
          <w:lang w:val="en-US"/>
        </w:rPr>
        <w:t>: Splunk Enterprise Security, IBM QRadar, Micro Focus ArcSight, MAXPATROL SIEM.</w:t>
      </w:r>
    </w:p>
    <w:p w14:paraId="0AE5808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SIEM-система выполняет централизованный сбор, нормализацию, корреляцию и анализ событий безопасности с разнородных источников по всей инфраструктуре сети связи VoIP. К числу таких источников относятся: логи VoIP-компонентов (SBC, программного коммутатора) о попытках неавторизованных вызовов, сбоях аутентификации; логи операционных систем серверов о неудачных попытках входа, изменениях в системе; события от межсетевых экранов (NGFW) и систем предотвращения вторжений (IPS) о блокированных атаках; данные от систем контроля целостности (HIDS) об изменениях файлов. SIEM-система позволяет настраивать сложные правила корреляции, например: "Если с одного IP-адреса зафиксировано 10 неудачных попыток входа по SSH на сервер управления, а через 5 минут IPS блокирует SIP-флуд с этого же адреса, то зафиксирована многоэтапная атака". При срабатывании таких правил система автоматически присваивает событию высший приоритет, уведомляет группу реагирования на инциденты и может запускать автоматизированные сценарии реагирования.</w:t>
      </w:r>
    </w:p>
    <w:p w14:paraId="218040E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Внедрение SIEM позволяет преодолеть проблему неэффективности мониторинга, обеспечивает своевременное обнаружение сложных многозвенных атак, координированных действий злоумышленников, а также обеспечивает накопление доказательной базы для последующего расследования инцидентов.</w:t>
      </w:r>
    </w:p>
    <w:p w14:paraId="28E4F7D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Использование SIEM-систем является прямым выполнением требований пункта 24 Приказа ФСТЭК России № 239, который обязывает регистрировать события безопасности в информационной системе и обеспечивать возможность их анализа.</w:t>
      </w:r>
    </w:p>
    <w:p w14:paraId="41E7BAC9">
      <w:pPr>
        <w:spacing w:after="0" w:line="360" w:lineRule="auto"/>
        <w:ind w:right="-1" w:firstLine="851"/>
        <w:jc w:val="both"/>
        <w:rPr>
          <w:rFonts w:ascii="Times New Roman" w:hAnsi="Times New Roman" w:cs="Times New Roman"/>
          <w:sz w:val="28"/>
          <w:szCs w:val="28"/>
        </w:rPr>
      </w:pPr>
      <w:r>
        <w:rPr>
          <w:rFonts w:ascii="Times New Roman" w:hAnsi="Times New Roman" w:cs="Times New Roman"/>
          <w:sz w:val="28"/>
          <w:szCs w:val="28"/>
        </w:rPr>
        <w:t>Соответствие актуальных угроз и мер защиты приведено в таблице 4.1.</w:t>
      </w:r>
    </w:p>
    <w:p w14:paraId="6DA5EFD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4.1 - Матрица соответствия актуальных угроз и мер защиты</w:t>
      </w:r>
    </w:p>
    <w:p w14:paraId="1E7D5EF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Примечание: П — Мера является Первоочередной (эффективно парирует угрозу), В — Мера является Вспомогательной.</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8"/>
        <w:gridCol w:w="3398"/>
        <w:gridCol w:w="3399"/>
      </w:tblGrid>
      <w:tr w14:paraId="4F0F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vAlign w:val="center"/>
          </w:tcPr>
          <w:p w14:paraId="16A80ADF">
            <w:pPr>
              <w:spacing w:after="0" w:line="360" w:lineRule="auto"/>
              <w:jc w:val="center"/>
              <w:rPr>
                <w:rFonts w:ascii="Times New Roman" w:hAnsi="Times New Roman" w:cs="Times New Roman"/>
                <w:sz w:val="28"/>
                <w:szCs w:val="28"/>
              </w:rPr>
            </w:pPr>
            <w:r>
              <w:rPr>
                <w:rFonts w:ascii="Times New Roman" w:hAnsi="Times New Roman" w:eastAsia="Segoe UI" w:cs="Times New Roman"/>
                <w:sz w:val="28"/>
                <w:szCs w:val="28"/>
                <w:lang w:val="en-US" w:eastAsia="zh-CN" w:bidi="ar"/>
              </w:rPr>
              <w:t>Актуальная угроза</w:t>
            </w:r>
          </w:p>
        </w:tc>
        <w:tc>
          <w:tcPr>
            <w:tcW w:w="3398" w:type="dxa"/>
            <w:vAlign w:val="center"/>
          </w:tcPr>
          <w:p w14:paraId="47B5C56F">
            <w:pPr>
              <w:spacing w:after="0" w:line="360" w:lineRule="auto"/>
              <w:jc w:val="center"/>
              <w:rPr>
                <w:rFonts w:ascii="Times New Roman" w:hAnsi="Times New Roman" w:cs="Times New Roman"/>
                <w:sz w:val="28"/>
                <w:szCs w:val="28"/>
              </w:rPr>
            </w:pPr>
            <w:r>
              <w:rPr>
                <w:rFonts w:ascii="Times New Roman" w:hAnsi="Times New Roman" w:eastAsia="Segoe UI" w:cs="Times New Roman"/>
                <w:sz w:val="28"/>
                <w:szCs w:val="28"/>
                <w:lang w:val="en-US" w:eastAsia="zh-CN" w:bidi="ar"/>
              </w:rPr>
              <w:t>Организационные меры</w:t>
            </w:r>
          </w:p>
        </w:tc>
        <w:tc>
          <w:tcPr>
            <w:tcW w:w="3399" w:type="dxa"/>
            <w:vAlign w:val="center"/>
          </w:tcPr>
          <w:p w14:paraId="2364048C">
            <w:pPr>
              <w:spacing w:after="0" w:line="360" w:lineRule="auto"/>
              <w:jc w:val="center"/>
              <w:rPr>
                <w:rFonts w:ascii="Times New Roman" w:hAnsi="Times New Roman" w:cs="Times New Roman"/>
                <w:sz w:val="28"/>
                <w:szCs w:val="28"/>
              </w:rPr>
            </w:pPr>
            <w:r>
              <w:rPr>
                <w:rFonts w:ascii="Times New Roman" w:hAnsi="Times New Roman" w:eastAsia="Segoe UI" w:cs="Times New Roman"/>
                <w:sz w:val="28"/>
                <w:szCs w:val="28"/>
                <w:lang w:val="en-US" w:eastAsia="zh-CN" w:bidi="ar"/>
              </w:rPr>
              <w:t>Технические меры (выборочно)</w:t>
            </w:r>
          </w:p>
        </w:tc>
      </w:tr>
      <w:tr w14:paraId="3142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vAlign w:val="center"/>
          </w:tcPr>
          <w:p w14:paraId="17CF536D">
            <w:pPr>
              <w:spacing w:after="0" w:line="360" w:lineRule="auto"/>
              <w:rPr>
                <w:rFonts w:ascii="Times New Roman" w:hAnsi="Times New Roman" w:cs="Times New Roman"/>
                <w:sz w:val="28"/>
                <w:szCs w:val="28"/>
              </w:rPr>
            </w:pPr>
            <w:r>
              <w:rPr>
                <w:rStyle w:val="14"/>
                <w:rFonts w:ascii="Times New Roman" w:hAnsi="Times New Roman" w:eastAsia="Segoe UI" w:cs="Times New Roman"/>
                <w:b w:val="0"/>
                <w:bCs w:val="0"/>
                <w:sz w:val="28"/>
                <w:szCs w:val="28"/>
                <w:lang w:val="en-US" w:eastAsia="zh-CN" w:bidi="ar"/>
              </w:rPr>
              <w:t>DDoS</w:t>
            </w:r>
            <w:r>
              <w:rPr>
                <w:rStyle w:val="14"/>
                <w:rFonts w:ascii="Times New Roman" w:hAnsi="Times New Roman" w:eastAsia="Segoe UI" w:cs="Times New Roman"/>
                <w:b w:val="0"/>
                <w:bCs w:val="0"/>
                <w:sz w:val="28"/>
                <w:szCs w:val="28"/>
                <w:lang w:eastAsia="zh-CN" w:bidi="ar"/>
              </w:rPr>
              <w:t xml:space="preserve">-атака на </w:t>
            </w:r>
            <w:r>
              <w:rPr>
                <w:rStyle w:val="14"/>
                <w:rFonts w:ascii="Times New Roman" w:hAnsi="Times New Roman" w:eastAsia="Segoe UI" w:cs="Times New Roman"/>
                <w:b w:val="0"/>
                <w:bCs w:val="0"/>
                <w:sz w:val="28"/>
                <w:szCs w:val="28"/>
                <w:lang w:val="en-US" w:eastAsia="zh-CN" w:bidi="ar"/>
              </w:rPr>
              <w:t>SBC</w:t>
            </w:r>
            <w:r>
              <w:rPr>
                <w:rStyle w:val="14"/>
                <w:rFonts w:ascii="Times New Roman" w:hAnsi="Times New Roman" w:eastAsia="Segoe UI" w:cs="Times New Roman"/>
                <w:b w:val="0"/>
                <w:bCs w:val="0"/>
                <w:sz w:val="28"/>
                <w:szCs w:val="28"/>
                <w:lang w:eastAsia="zh-CN" w:bidi="ar"/>
              </w:rPr>
              <w:t>/</w:t>
            </w:r>
            <w:r>
              <w:rPr>
                <w:rStyle w:val="14"/>
                <w:rFonts w:ascii="Times New Roman" w:hAnsi="Times New Roman" w:eastAsia="Segoe UI" w:cs="Times New Roman"/>
                <w:b w:val="0"/>
                <w:bCs w:val="0"/>
                <w:sz w:val="28"/>
                <w:szCs w:val="28"/>
                <w:lang w:val="en-US" w:eastAsia="zh-CN" w:bidi="ar"/>
              </w:rPr>
              <w:t>Softswitch</w:t>
            </w:r>
          </w:p>
        </w:tc>
        <w:tc>
          <w:tcPr>
            <w:tcW w:w="3398" w:type="dxa"/>
            <w:vAlign w:val="center"/>
          </w:tcPr>
          <w:p w14:paraId="07C0461B">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eastAsia="zh-CN" w:bidi="ar"/>
              </w:rPr>
              <w:t>Регламент реагирования на инциденты (П)</w:t>
            </w:r>
          </w:p>
        </w:tc>
        <w:tc>
          <w:tcPr>
            <w:tcW w:w="3399" w:type="dxa"/>
            <w:vAlign w:val="center"/>
          </w:tcPr>
          <w:p w14:paraId="764E348D">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eastAsia="zh-CN" w:bidi="ar"/>
              </w:rPr>
              <w:t>Анти-</w:t>
            </w:r>
            <w:r>
              <w:rPr>
                <w:rFonts w:ascii="Times New Roman" w:hAnsi="Times New Roman" w:eastAsia="Segoe UI" w:cs="Times New Roman"/>
                <w:sz w:val="28"/>
                <w:szCs w:val="28"/>
                <w:lang w:val="en-US" w:eastAsia="zh-CN" w:bidi="ar"/>
              </w:rPr>
              <w:t>DDoS</w:t>
            </w:r>
            <w:r>
              <w:rPr>
                <w:rFonts w:ascii="Times New Roman" w:hAnsi="Times New Roman" w:eastAsia="Segoe UI" w:cs="Times New Roman"/>
                <w:sz w:val="28"/>
                <w:szCs w:val="28"/>
                <w:lang w:eastAsia="zh-CN" w:bidi="ar"/>
              </w:rPr>
              <w:t xml:space="preserve"> система (П), </w:t>
            </w:r>
            <w:r>
              <w:rPr>
                <w:rFonts w:ascii="Times New Roman" w:hAnsi="Times New Roman" w:eastAsia="Segoe UI" w:cs="Times New Roman"/>
                <w:sz w:val="28"/>
                <w:szCs w:val="28"/>
                <w:lang w:val="en-US" w:eastAsia="zh-CN" w:bidi="ar"/>
              </w:rPr>
              <w:t>NGFW</w:t>
            </w:r>
            <w:r>
              <w:rPr>
                <w:rFonts w:ascii="Times New Roman" w:hAnsi="Times New Roman" w:eastAsia="Segoe UI" w:cs="Times New Roman"/>
                <w:sz w:val="28"/>
                <w:szCs w:val="28"/>
                <w:lang w:eastAsia="zh-CN" w:bidi="ar"/>
              </w:rPr>
              <w:t xml:space="preserve"> (В)</w:t>
            </w:r>
          </w:p>
        </w:tc>
      </w:tr>
      <w:tr w14:paraId="0FAC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vAlign w:val="center"/>
          </w:tcPr>
          <w:p w14:paraId="6FCA1FA8">
            <w:pPr>
              <w:spacing w:after="0" w:line="360" w:lineRule="auto"/>
              <w:rPr>
                <w:rFonts w:ascii="Times New Roman" w:hAnsi="Times New Roman" w:cs="Times New Roman"/>
                <w:sz w:val="28"/>
                <w:szCs w:val="28"/>
              </w:rPr>
            </w:pPr>
            <w:r>
              <w:rPr>
                <w:rStyle w:val="14"/>
                <w:rFonts w:ascii="Times New Roman" w:hAnsi="Times New Roman" w:eastAsia="Segoe UI" w:cs="Times New Roman"/>
                <w:b w:val="0"/>
                <w:bCs w:val="0"/>
                <w:sz w:val="28"/>
                <w:szCs w:val="28"/>
                <w:lang w:val="en-US" w:eastAsia="zh-CN" w:bidi="ar"/>
              </w:rPr>
              <w:t>Взлом Web-портала</w:t>
            </w:r>
          </w:p>
        </w:tc>
        <w:tc>
          <w:tcPr>
            <w:tcW w:w="3398" w:type="dxa"/>
            <w:vAlign w:val="center"/>
          </w:tcPr>
          <w:p w14:paraId="382D6991">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eastAsia="zh-CN" w:bidi="ar"/>
              </w:rPr>
              <w:t>Обучение персонала, Парольная политика (В)</w:t>
            </w:r>
          </w:p>
        </w:tc>
        <w:tc>
          <w:tcPr>
            <w:tcW w:w="3399" w:type="dxa"/>
            <w:vAlign w:val="center"/>
          </w:tcPr>
          <w:p w14:paraId="4137AB21">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val="en-US" w:eastAsia="zh-CN" w:bidi="ar"/>
              </w:rPr>
              <w:t>WAF</w:t>
            </w:r>
            <w:r>
              <w:rPr>
                <w:rFonts w:ascii="Times New Roman" w:hAnsi="Times New Roman" w:eastAsia="Segoe UI" w:cs="Times New Roman"/>
                <w:sz w:val="28"/>
                <w:szCs w:val="28"/>
                <w:lang w:eastAsia="zh-CN" w:bidi="ar"/>
              </w:rPr>
              <w:t xml:space="preserve"> (П), МФА (П), </w:t>
            </w:r>
            <w:r>
              <w:rPr>
                <w:rFonts w:ascii="Times New Roman" w:hAnsi="Times New Roman" w:eastAsia="Segoe UI" w:cs="Times New Roman"/>
                <w:sz w:val="28"/>
                <w:szCs w:val="28"/>
                <w:lang w:val="en-US" w:eastAsia="zh-CN" w:bidi="ar"/>
              </w:rPr>
              <w:t>SIEM</w:t>
            </w:r>
            <w:r>
              <w:rPr>
                <w:rFonts w:ascii="Times New Roman" w:hAnsi="Times New Roman" w:eastAsia="Segoe UI" w:cs="Times New Roman"/>
                <w:sz w:val="28"/>
                <w:szCs w:val="28"/>
                <w:lang w:eastAsia="zh-CN" w:bidi="ar"/>
              </w:rPr>
              <w:t xml:space="preserve"> (В)</w:t>
            </w:r>
          </w:p>
        </w:tc>
      </w:tr>
      <w:tr w14:paraId="7935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vAlign w:val="center"/>
          </w:tcPr>
          <w:p w14:paraId="77383E81">
            <w:pPr>
              <w:spacing w:after="0" w:line="360" w:lineRule="auto"/>
              <w:rPr>
                <w:rFonts w:ascii="Times New Roman" w:hAnsi="Times New Roman" w:cs="Times New Roman"/>
                <w:sz w:val="28"/>
                <w:szCs w:val="28"/>
              </w:rPr>
            </w:pPr>
            <w:r>
              <w:rPr>
                <w:rStyle w:val="14"/>
                <w:rFonts w:ascii="Times New Roman" w:hAnsi="Times New Roman" w:eastAsia="Segoe UI" w:cs="Times New Roman"/>
                <w:b w:val="0"/>
                <w:bCs w:val="0"/>
                <w:sz w:val="28"/>
                <w:szCs w:val="28"/>
                <w:lang w:val="en-US" w:eastAsia="zh-CN" w:bidi="ar"/>
              </w:rPr>
              <w:t>Подмена Caller ID (Спуфинг)</w:t>
            </w:r>
          </w:p>
        </w:tc>
        <w:tc>
          <w:tcPr>
            <w:tcW w:w="3398" w:type="dxa"/>
            <w:vAlign w:val="center"/>
          </w:tcPr>
          <w:p w14:paraId="43C2D43F">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val="en-US" w:eastAsia="zh-CN" w:bidi="ar"/>
              </w:rPr>
              <w:t>-</w:t>
            </w:r>
          </w:p>
        </w:tc>
        <w:tc>
          <w:tcPr>
            <w:tcW w:w="3399" w:type="dxa"/>
            <w:vAlign w:val="center"/>
          </w:tcPr>
          <w:p w14:paraId="2455589E">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val="en-US" w:eastAsia="zh-CN" w:bidi="ar"/>
              </w:rPr>
              <w:t>SBC</w:t>
            </w:r>
            <w:r>
              <w:rPr>
                <w:rFonts w:ascii="Times New Roman" w:hAnsi="Times New Roman" w:eastAsia="Segoe UI" w:cs="Times New Roman"/>
                <w:sz w:val="28"/>
                <w:szCs w:val="28"/>
                <w:lang w:eastAsia="zh-CN" w:bidi="ar"/>
              </w:rPr>
              <w:t xml:space="preserve"> с валидацией сигнализации (П)</w:t>
            </w:r>
          </w:p>
        </w:tc>
      </w:tr>
      <w:tr w14:paraId="2593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vAlign w:val="center"/>
          </w:tcPr>
          <w:p w14:paraId="1303487C">
            <w:pPr>
              <w:spacing w:after="0" w:line="360" w:lineRule="auto"/>
              <w:rPr>
                <w:rFonts w:ascii="Times New Roman" w:hAnsi="Times New Roman" w:cs="Times New Roman"/>
                <w:sz w:val="28"/>
                <w:szCs w:val="28"/>
              </w:rPr>
            </w:pPr>
            <w:r>
              <w:rPr>
                <w:rStyle w:val="14"/>
                <w:rFonts w:ascii="Times New Roman" w:hAnsi="Times New Roman" w:eastAsia="Segoe UI" w:cs="Times New Roman"/>
                <w:b w:val="0"/>
                <w:bCs w:val="0"/>
                <w:sz w:val="28"/>
                <w:szCs w:val="28"/>
                <w:lang w:val="en-US" w:eastAsia="zh-CN" w:bidi="ar"/>
              </w:rPr>
              <w:t>Перехват голосового трафика</w:t>
            </w:r>
          </w:p>
        </w:tc>
        <w:tc>
          <w:tcPr>
            <w:tcW w:w="3398" w:type="dxa"/>
            <w:vAlign w:val="center"/>
          </w:tcPr>
          <w:p w14:paraId="00007014">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val="en-US" w:eastAsia="zh-CN" w:bidi="ar"/>
              </w:rPr>
              <w:t>-</w:t>
            </w:r>
          </w:p>
        </w:tc>
        <w:tc>
          <w:tcPr>
            <w:tcW w:w="3399" w:type="dxa"/>
            <w:vAlign w:val="center"/>
          </w:tcPr>
          <w:p w14:paraId="2BD85721">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val="en-US" w:eastAsia="zh-CN" w:bidi="ar"/>
              </w:rPr>
              <w:t>Шифрование SRTP/TLS (П)</w:t>
            </w:r>
          </w:p>
        </w:tc>
      </w:tr>
      <w:tr w14:paraId="4146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vAlign w:val="center"/>
          </w:tcPr>
          <w:p w14:paraId="20C04ACA">
            <w:pPr>
              <w:spacing w:after="0" w:line="360" w:lineRule="auto"/>
              <w:rPr>
                <w:rFonts w:ascii="Times New Roman" w:hAnsi="Times New Roman" w:cs="Times New Roman"/>
                <w:sz w:val="28"/>
                <w:szCs w:val="28"/>
              </w:rPr>
            </w:pPr>
            <w:r>
              <w:rPr>
                <w:rStyle w:val="14"/>
                <w:rFonts w:ascii="Times New Roman" w:hAnsi="Times New Roman" w:eastAsia="Segoe UI" w:cs="Times New Roman"/>
                <w:b w:val="0"/>
                <w:bCs w:val="0"/>
                <w:sz w:val="28"/>
                <w:szCs w:val="28"/>
                <w:lang w:eastAsia="zh-CN" w:bidi="ar"/>
              </w:rPr>
              <w:t>Компрометация сервера через уязвимость ОС</w:t>
            </w:r>
          </w:p>
        </w:tc>
        <w:tc>
          <w:tcPr>
            <w:tcW w:w="3398" w:type="dxa"/>
            <w:vAlign w:val="center"/>
          </w:tcPr>
          <w:p w14:paraId="0C01F217">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val="en-US" w:eastAsia="zh-CN" w:bidi="ar"/>
              </w:rPr>
              <w:t>Регламент управления обновлениями (П)</w:t>
            </w:r>
          </w:p>
        </w:tc>
        <w:tc>
          <w:tcPr>
            <w:tcW w:w="3399" w:type="dxa"/>
            <w:vAlign w:val="center"/>
          </w:tcPr>
          <w:p w14:paraId="41B11381">
            <w:pPr>
              <w:spacing w:after="0" w:line="360" w:lineRule="auto"/>
              <w:rPr>
                <w:rFonts w:ascii="Times New Roman" w:hAnsi="Times New Roman" w:cs="Times New Roman"/>
                <w:sz w:val="28"/>
                <w:szCs w:val="28"/>
              </w:rPr>
            </w:pPr>
            <w:r>
              <w:rPr>
                <w:rFonts w:ascii="Times New Roman" w:hAnsi="Times New Roman" w:eastAsia="Segoe UI" w:cs="Times New Roman"/>
                <w:sz w:val="28"/>
                <w:szCs w:val="28"/>
                <w:lang w:eastAsia="zh-CN" w:bidi="ar"/>
              </w:rPr>
              <w:t xml:space="preserve">Контроль целостности </w:t>
            </w:r>
            <w:r>
              <w:rPr>
                <w:rFonts w:ascii="Times New Roman" w:hAnsi="Times New Roman" w:eastAsia="Segoe UI" w:cs="Times New Roman"/>
                <w:sz w:val="28"/>
                <w:szCs w:val="28"/>
                <w:lang w:val="en-US" w:eastAsia="zh-CN" w:bidi="ar"/>
              </w:rPr>
              <w:t>HIDS</w:t>
            </w:r>
            <w:r>
              <w:rPr>
                <w:rFonts w:ascii="Times New Roman" w:hAnsi="Times New Roman" w:eastAsia="Segoe UI" w:cs="Times New Roman"/>
                <w:sz w:val="28"/>
                <w:szCs w:val="28"/>
                <w:lang w:eastAsia="zh-CN" w:bidi="ar"/>
              </w:rPr>
              <w:t xml:space="preserve"> (П), </w:t>
            </w:r>
            <w:r>
              <w:rPr>
                <w:rFonts w:ascii="Times New Roman" w:hAnsi="Times New Roman" w:eastAsia="Segoe UI" w:cs="Times New Roman"/>
                <w:sz w:val="28"/>
                <w:szCs w:val="28"/>
                <w:lang w:val="en-US" w:eastAsia="zh-CN" w:bidi="ar"/>
              </w:rPr>
              <w:t>IPS</w:t>
            </w:r>
            <w:r>
              <w:rPr>
                <w:rFonts w:ascii="Times New Roman" w:hAnsi="Times New Roman" w:eastAsia="Segoe UI" w:cs="Times New Roman"/>
                <w:sz w:val="28"/>
                <w:szCs w:val="28"/>
                <w:lang w:eastAsia="zh-CN" w:bidi="ar"/>
              </w:rPr>
              <w:t xml:space="preserve"> (В)</w:t>
            </w:r>
          </w:p>
        </w:tc>
      </w:tr>
      <w:tr w14:paraId="706A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vAlign w:val="center"/>
          </w:tcPr>
          <w:p w14:paraId="07038582">
            <w:pPr>
              <w:spacing w:after="0" w:line="360" w:lineRule="auto"/>
              <w:rPr>
                <w:rStyle w:val="14"/>
                <w:rFonts w:ascii="Times New Roman" w:hAnsi="Times New Roman" w:eastAsia="Segoe UI" w:cs="Times New Roman"/>
                <w:b w:val="0"/>
                <w:bCs w:val="0"/>
                <w:sz w:val="28"/>
                <w:szCs w:val="28"/>
                <w:lang w:eastAsia="zh-CN" w:bidi="ar"/>
              </w:rPr>
            </w:pPr>
            <w:r>
              <w:rPr>
                <w:rStyle w:val="14"/>
                <w:rFonts w:ascii="Times New Roman" w:hAnsi="Times New Roman" w:eastAsia="Segoe UI" w:cs="Times New Roman"/>
                <w:b w:val="0"/>
                <w:bCs w:val="0"/>
                <w:sz w:val="28"/>
                <w:szCs w:val="28"/>
                <w:lang w:eastAsia="zh-CN" w:bidi="ar"/>
              </w:rPr>
              <w:t>Несанкционированный доступ к системе управления</w:t>
            </w:r>
          </w:p>
        </w:tc>
        <w:tc>
          <w:tcPr>
            <w:tcW w:w="3398" w:type="dxa"/>
            <w:vAlign w:val="center"/>
          </w:tcPr>
          <w:p w14:paraId="2D2574B0">
            <w:pPr>
              <w:spacing w:after="0" w:line="360" w:lineRule="auto"/>
              <w:rPr>
                <w:rFonts w:ascii="Times New Roman" w:hAnsi="Times New Roman" w:eastAsia="Segoe UI" w:cs="Times New Roman"/>
                <w:sz w:val="28"/>
                <w:szCs w:val="28"/>
                <w:lang w:val="en-US" w:eastAsia="zh-CN" w:bidi="ar"/>
              </w:rPr>
            </w:pPr>
            <w:r>
              <w:rPr>
                <w:rFonts w:ascii="Times New Roman" w:hAnsi="Times New Roman" w:eastAsia="Segoe UI" w:cs="Times New Roman"/>
                <w:sz w:val="28"/>
                <w:szCs w:val="28"/>
                <w:lang w:val="en-US" w:eastAsia="zh-CN" w:bidi="ar"/>
              </w:rPr>
              <w:t>Управление доступом персонала (П)</w:t>
            </w:r>
          </w:p>
        </w:tc>
        <w:tc>
          <w:tcPr>
            <w:tcW w:w="3399" w:type="dxa"/>
            <w:vAlign w:val="center"/>
          </w:tcPr>
          <w:p w14:paraId="10FA6114">
            <w:pPr>
              <w:spacing w:after="0" w:line="360" w:lineRule="auto"/>
              <w:rPr>
                <w:rFonts w:ascii="Times New Roman" w:hAnsi="Times New Roman" w:eastAsia="Segoe UI" w:cs="Times New Roman"/>
                <w:sz w:val="28"/>
                <w:szCs w:val="28"/>
                <w:lang w:eastAsia="zh-CN" w:bidi="ar"/>
              </w:rPr>
            </w:pPr>
            <w:r>
              <w:rPr>
                <w:rFonts w:ascii="Times New Roman" w:hAnsi="Times New Roman" w:eastAsia="Segoe UI" w:cs="Times New Roman"/>
                <w:sz w:val="28"/>
                <w:szCs w:val="28"/>
                <w:lang w:eastAsia="zh-CN" w:bidi="ar"/>
              </w:rPr>
              <w:t xml:space="preserve">МФА (П), Сегментация сети (П), </w:t>
            </w:r>
            <w:r>
              <w:rPr>
                <w:rFonts w:ascii="Times New Roman" w:hAnsi="Times New Roman" w:eastAsia="Segoe UI" w:cs="Times New Roman"/>
                <w:sz w:val="28"/>
                <w:szCs w:val="28"/>
                <w:lang w:val="en-US" w:eastAsia="zh-CN" w:bidi="ar"/>
              </w:rPr>
              <w:t>NGFW</w:t>
            </w:r>
            <w:r>
              <w:rPr>
                <w:rFonts w:ascii="Times New Roman" w:hAnsi="Times New Roman" w:eastAsia="Segoe UI" w:cs="Times New Roman"/>
                <w:sz w:val="28"/>
                <w:szCs w:val="28"/>
                <w:lang w:eastAsia="zh-CN" w:bidi="ar"/>
              </w:rPr>
              <w:t xml:space="preserve"> (В)</w:t>
            </w:r>
          </w:p>
        </w:tc>
      </w:tr>
    </w:tbl>
    <w:p w14:paraId="4BDC5A5A">
      <w:pPr>
        <w:spacing w:before="120"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Предложенный комплекс технических средств защиты формирует эшелонированную систему безопасности, которая не только эффективно противодействует конкретным актуальным угрозам для сети связи VoIP, но и обеспечивает выполнение ключевых требований регуляторов в области безопасности критической информационной инфраструктуры. Интеграция этих средств между собой (например, стыковка IPS, HIDS и NGFW с SIEM-системой) является критически важным условием для достижения ситуационной осведомленности, обеспечения возможности оперативного реагирования на инциденты и построения полноценной системы защиты информации, адекватной современному уровню киберугроз.</w:t>
      </w:r>
    </w:p>
    <w:p w14:paraId="65F531BF">
      <w:pPr>
        <w:spacing w:line="360" w:lineRule="auto"/>
        <w:ind w:firstLine="851"/>
        <w:rPr>
          <w:rFonts w:ascii="Times New Roman" w:hAnsi="Times New Roman" w:cs="Times New Roman"/>
          <w:sz w:val="28"/>
          <w:szCs w:val="28"/>
        </w:rPr>
      </w:pPr>
      <w:r>
        <w:rPr>
          <w:rFonts w:ascii="Times New Roman" w:hAnsi="Times New Roman" w:cs="Times New Roman"/>
          <w:sz w:val="28"/>
          <w:szCs w:val="28"/>
        </w:rPr>
        <w:br w:type="page"/>
      </w:r>
    </w:p>
    <w:p w14:paraId="0848AECF">
      <w:pPr>
        <w:spacing w:after="60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5 ТРЕБОВАНИЯ К ПО И ОБОРУДОВАНИЮ </w:t>
      </w:r>
    </w:p>
    <w:p w14:paraId="1790304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основе анализа архитектуры сети связи VoIP, классификации объектов защиты, актуальных угроз и предлагаемых мер защиты, а также в соответствии с требованиями нормативных правовых актов Российской Федерации в области безопасности критической информационной инфраструктуры, формируются следующие требования к компонентам системы.</w:t>
      </w:r>
    </w:p>
    <w:p w14:paraId="1062BED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5.1 Требования к прикладному программному обеспечению</w:t>
      </w:r>
    </w:p>
    <w:p w14:paraId="089400D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Прикладное ПО (программный коммутатор, SBC, Web-портал) должно соответствовать следующим требованиям:</w:t>
      </w:r>
    </w:p>
    <w:p w14:paraId="38FE029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Безопасная разработка и поставка: Поставка ПО должна осуществляться только через защищенные каналы связи с проверкой целостности и подлинности дистрибутивов (п. 18 Приказа ФСТЭК России № 239). Поставщик должен предоставлять документацию по безопасной настройке и администрированию ПО.</w:t>
      </w:r>
    </w:p>
    <w:p w14:paraId="6845546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Рекомендация: Требовать от вендоров соблюдения практик безопасной разработки (Secure SDLC), что соответствует общим принципам, изложенным в Приказе ФСТЭК России от 14.03.2022 № 41 «Об утверждении Требований к обеспечению безопасности значимых объектов КИИ при проведении работ, связанных с проектированием, разработкой, производством и эксплуатацией программного обеспечения».</w:t>
      </w:r>
    </w:p>
    <w:p w14:paraId="0326465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Учет и управление доступом: ПО должно поддерживать разграничение прав доступа на основе ролей (RBAC) для администраторов и пользователей (п. 14 Приказа ФСТЭК России № 239). Должна быть реализована стойкая аутентификация с поддержкой интеграции с системами МФА. Все критические действия (изменение конфигурации, просмотр журналов вызовов) должны протоколироваться.</w:t>
      </w:r>
    </w:p>
    <w:p w14:paraId="678379F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Защита информации: ПО должно поддерживать использование стойких протоколов шифрования для сигнальной информации (TLS для SIP) и медиатрафика (SRTP) в соответствии с Приказом ФСТЭК России от 10.02.2022 № 21 «Об утверждении Требований к средствам криптографической защиты информации, используемым для обеспечения безопасности значимых объектов КИИ». Пароли и ключи шифрования должны храниться в защищенном виде.</w:t>
      </w:r>
    </w:p>
    <w:p w14:paraId="31190E4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Устойчивость к атакам: ПО должно быть устойчивым к типовым атакам на VoIP (SIP-флуд, сканирование, спуфинг). Функциональность должна быть протестирована на устойчивость к отказам в обслуживании.</w:t>
      </w:r>
    </w:p>
    <w:p w14:paraId="73CC33F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Рекомендация: Проводить регулярное тестирование на проникновение (Penetration Testing) прикладного ПО в рамках выполнения требований п. 26 Приказа ФСТЭК России № 239.</w:t>
      </w:r>
    </w:p>
    <w:p w14:paraId="4C7CA44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5.2 Требования к системному программному обеспечению</w:t>
      </w:r>
    </w:p>
    <w:p w14:paraId="64B6336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 Базовые требования к операционным системам Linux:</w:t>
      </w:r>
    </w:p>
    <w:p w14:paraId="3CDE851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Использование актуальных и поддерживаемых производителем дистрибутивов.</w:t>
      </w:r>
    </w:p>
    <w:p w14:paraId="3FA5275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Реализация и поддержание защищенной настройки (hardening) в соответствии с руководящими документами ФСТЭК России, например, Методикой по обеспечению безопасности информационных технологий.</w:t>
      </w:r>
    </w:p>
    <w:p w14:paraId="3DE3EA5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Обязательное отключение неиспользуемых сетевых служб и портов (принцип минимизации функциональности, п. 17 Приказа ФСТЭК России № 239).</w:t>
      </w:r>
    </w:p>
    <w:p w14:paraId="6BA2A18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Регулярное обновление ПО для устранения известных уязвимостей (п. 18 Приказа ФСТЭК России № 239).</w:t>
      </w:r>
    </w:p>
    <w:p w14:paraId="591B137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Настройка подсистемы аудита для регистрации событий безопасности в объеме, достаточном для последующего анализа в SIEM-системе (п. 24 Приказа ФСТЭК России № 239).</w:t>
      </w:r>
    </w:p>
    <w:p w14:paraId="36C823C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Установка и настройка средств контроля целостности (HIDS) для критичных файлов конфигураций и исполняемых файлов.</w:t>
      </w:r>
    </w:p>
    <w:p w14:paraId="37111F1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 Требования к системе виртуализации (KVM):</w:t>
      </w:r>
    </w:p>
    <w:p w14:paraId="26E2D67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Обеспечение изоляции виртуальных машин друг от друга и от хостовой системы.</w:t>
      </w:r>
    </w:p>
    <w:p w14:paraId="6749E7D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Разграничение прав доступа администраторов к панели управления виртуализацией.</w:t>
      </w:r>
    </w:p>
    <w:p w14:paraId="1950432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Защита образов виртуальных машин, их конфигураций и снапшотов от несанкционированного доступа и копирования.</w:t>
      </w:r>
    </w:p>
    <w:p w14:paraId="372D086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Использование выделенных, изолированных сетей для управления виртуализацией.</w:t>
      </w:r>
    </w:p>
    <w:p w14:paraId="3821CA5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Требования к системам виртуализации вытекают из необходимости защиты виртуальной инфраструктуры как ключевого объекта КИИ (п. 17 Приказа ФСТЭК России № 239) и обеспечения доступности услуг, работающих на ее основе.</w:t>
      </w:r>
    </w:p>
    <w:p w14:paraId="66F1BC6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5.3 Требования к оборудованию</w:t>
      </w:r>
    </w:p>
    <w:p w14:paraId="62D4AC9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 Серверное оборудование (х86):</w:t>
      </w:r>
    </w:p>
    <w:p w14:paraId="13EE883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Аппаратная поддержка технологий виртуализации (Intel VT-x, AMD-V).</w:t>
      </w:r>
    </w:p>
    <w:p w14:paraId="40EC212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Наличие Trusted Platform Module (TPM) для обеспечения аппаратной защиты ключей и проверки целостности при загрузке (целесообразно для критичных серверов управления).</w:t>
      </w:r>
    </w:p>
    <w:p w14:paraId="3DC1F04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Возможность аппаратного мониторинга состояния компонентов (температура, состояние дисков, память) для предотвращения сбоев по причине отказа оборудования.</w:t>
      </w:r>
    </w:p>
    <w:p w14:paraId="4B3E1A9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Поддержка безопасного удаленного управления (например, iDRAC, iLO) с обязательным использованием шифрования и строгой аутентификации.</w:t>
      </w:r>
    </w:p>
    <w:p w14:paraId="288F9C1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 Медиашлюзы (MGW) и сетевое оборудование:</w:t>
      </w:r>
    </w:p>
    <w:p w14:paraId="28646B9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Возможность обновления микропрограммного обеспечения (прошивок) для устранения уязвимостей.</w:t>
      </w:r>
    </w:p>
    <w:p w14:paraId="2F8020A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Поддержка безопасных протоколов управления (SSH, SNMPv3) и отказ от использования небезопасных (Telnet, FTP, SNMPv1/v2c).</w:t>
      </w:r>
    </w:p>
    <w:p w14:paraId="617255C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Наличие средств защиты от несанкционированного доступа к консоли управления.</w:t>
      </w:r>
    </w:p>
    <w:p w14:paraId="019DA1C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Для медиашлюзов – поддержка требуемых стандартов шифрования голосового трафика (SRTP) и сигнализации (TLS).</w:t>
      </w:r>
    </w:p>
    <w:p w14:paraId="0A0FB2D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5.4 Общие требования ко всем компонентам</w:t>
      </w:r>
    </w:p>
    <w:p w14:paraId="100596D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Жизненный цикл и сопровождение: все компоненты (ПО и оборудование) должны находиться на активной стадии жизненного цикла, предполагающей регулярное получение обновлений безопасности и техническую поддержку от производителя. Использование неподдерживаемого ПО и оборудования недопустимо для значимого объекта КИИ.</w:t>
      </w:r>
    </w:p>
    <w:p w14:paraId="4D94B0B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Документирование и регламентация: для всех компонентов должны быть разработаны и утверждены регламенты и инструкции по их безопасной настройке, администрированию и обновлению, как того требует п. 6 и п. 10 Приказа ФСТЭК России № 239.</w:t>
      </w:r>
    </w:p>
    <w:p w14:paraId="31E4F91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Резервирование и отказоустойчивость: критичные компоненты (серверы, каналы связи, SBC) должны быть резервированы для обеспечения требуемой доступности услуги связи, что соответствует требованиям по обеспечению устойчивости объекта КИИ (п. 19 Приказа ФСТЭК России № 239).</w:t>
      </w:r>
    </w:p>
    <w:p w14:paraId="7D8468C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Формирование и выполнение указанных требований к прикладному и системному ПО, а также к оборудованию, является неотъемлемой частью создания системы защиты информации значимого объекта КИИ. Эти требования носят комплексный характер и направлены на реализацию принципа "безопасность по умолчанию" и "безопасность по проекту" на всех уровнях инфраструктуры сети связи VoIP, что в совокупности с организационными и техническими мерами защиты позволяет достичь уровня безопасности, адекватного современным угрозам и соответствующим требованиям регуляторов.</w:t>
      </w:r>
    </w:p>
    <w:p w14:paraId="0AD426E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6F14ED09">
      <w:pPr>
        <w:spacing w:after="600" w:line="360" w:lineRule="auto"/>
        <w:ind w:firstLine="851"/>
        <w:rPr>
          <w:rFonts w:ascii="Times New Roman" w:hAnsi="Times New Roman" w:cs="Times New Roman"/>
          <w:sz w:val="28"/>
          <w:szCs w:val="28"/>
        </w:rPr>
      </w:pPr>
      <w:r>
        <w:rPr>
          <w:rFonts w:ascii="Times New Roman" w:hAnsi="Times New Roman" w:cs="Times New Roman"/>
          <w:sz w:val="28"/>
          <w:szCs w:val="28"/>
        </w:rPr>
        <w:t>ЗАКЛЮЧЕНИЕ</w:t>
      </w:r>
    </w:p>
    <w:p w14:paraId="46EC903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рамках выполнения заданий кейса проведен комплексный анализ сети связи VoIP, являющейся значимым объектом критической информационной инфраструктуры (КИИ) 3-й категории. На основе требований нормативных правовых актов Российской Федерации, в первую очередь Приказа ФСТЭК России от 25.12.2017 № 239, разработана концепция технического решения подсистемы информационной безопасности.</w:t>
      </w:r>
    </w:p>
    <w:p w14:paraId="65CC050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результате работы были последовательно решены все поставленные задачи:</w:t>
      </w:r>
    </w:p>
    <w:p w14:paraId="3E25E44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определены и классифицированы объекты защиты. К ним отнесены ключевые технологические компоненты (программный коммутатор, SBC, медиашлюзы, система управления), информационные ресурсы (базы данных, Web-портал), каналы передачи данных (сигнальные, медийные, управления) и конечные пользовательские устройства. Классификация проведена в соответствии с пунктом 17 Приказа ФСТЭК России № 239.</w:t>
      </w:r>
    </w:p>
    <w:p w14:paraId="2A1C7D7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выявлены виды актуальных угроз. Проанализированы угрозы нарушения конфиденциальности, целостности и доступности, характерные для распределенных VoIP-систем, с учетом данных «Банка угроз безопасности информации» ФСТЭК России. Установлено, что наибольшую опасность для объекта КИИ представляют комплексные атаки, направленные на нарушение доступности услуг связи.</w:t>
      </w:r>
    </w:p>
    <w:p w14:paraId="03D891F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определен и систематизирован комплекс мер защиты. Предложена сбалансированная система организационных и технических мер, направленная на парирование выявленных угроз. Организационные меры включают разработку политики безопасности, управление персоналом, регламентацию процессов и планирование восстановления. Технические меры охватывают управление доступом, защиту периметра и сегментов сети, обеспечение целостности и доступности, а также мониторинг и реагирование на инциденты.</w:t>
      </w:r>
    </w:p>
    <w:p w14:paraId="6878604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для каждой группы технических мер предложены варианты технических средств защиты. Сформирован перечень конкретных и общих наименований ТСЗ (МФА, NGFW, IPS, Anti-DDoS, средства шифрования, HIDS, SIEM), обоснованы механизмы их работы и эффективность против конкретных угроз. Подчеркнута необходимость интеграции ТСЗ в единую систему для обеспечения эшелонированной обороны.</w:t>
      </w:r>
    </w:p>
    <w:p w14:paraId="6986E14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сформулированы требования к прикладному и системному ПО, а также оборудованию. Установлены обязательные критерии по безопасной разработке и поставке, учету и управлению доступом, защите информации, устойчивости к атакам, защищенной настройке, резервированию и жизненному циклу, что обеспечивает безопасность на всех уровнях инфраструктуры объекта КИИ.</w:t>
      </w:r>
    </w:p>
    <w:p w14:paraId="325587C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Таким образом, разработанная концепция представляет собой целостное и обоснованное решение, адекватное современному уровню киберугроз и полностью соответствующее требованиям регуляторов в области безопасности КИИ. Реализация предложенных мер позволит создать для сети связи VoIP режим устойчивого и безопасного функционирования, минимизировать риски реализации угроз и обеспечить непрерывность оказания услуг связи как критически важного сервиса.</w:t>
      </w:r>
    </w:p>
    <w:p w14:paraId="14F08449">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1900B401">
      <w:pPr>
        <w:spacing w:after="60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Приложение А. Ссылки на нормативные правовые акты и документы, регулирующие обеспечение безопасности значимых объектов критической информационной инфраструктуры (КИИ) Российской Федерации</w:t>
      </w:r>
    </w:p>
    <w:p w14:paraId="4B06469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А.1. Ключевые (базовые) нормативные правовые акты</w:t>
      </w:r>
    </w:p>
    <w:p w14:paraId="3930BA6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1 Федеральный закон от 26.07.2017 № 187-ФЗ «О безопасности критической информационной инфраструктуры Российской Федерации» (Принят Госдумой, одобрен Советом Федерации 26.07.2017) Режим доступа: http://publication.pravo.gov.ru/Document/View/0001201707310041 </w:t>
      </w:r>
    </w:p>
    <w:p w14:paraId="0C5916F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2 Указ Президента РФ от 16.08.2004 № 1085 «Вопросы Федеральной службы по техническому и экспортному контролю» (Подписан Президентом РФ 16.08.2004) Режим доступа: http://www.kremlin.ru/acts/bank/22543 </w:t>
      </w:r>
    </w:p>
    <w:p w14:paraId="21BA6F3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 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 (Зарегистрирован в Минюсте России 05.02.2018 № 49870) Режим доступа: https://www.garant.ru/products/ipo/prime/doc/71760704/</w:t>
      </w:r>
    </w:p>
    <w:p w14:paraId="0848657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А.2. Сопутствующие и уточняющие нормативные правовые акты</w:t>
      </w:r>
    </w:p>
    <w:p w14:paraId="12089B1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4 Приказ ФСТЭК России от 21.12.2017 № 235 «Об утверждении Требований по осуществлению государственного контроля за выполнением требований по обеспечению безопасности значимых объектов критической информационной инфраструктуры Российской Федерации» (Зарегистрирован в Минюсте России 05.02.2018 № 49869) Режим доступа: https://fstec.ru/tekhnicheskaya-zashchita-informatsii/po-sertifikatsii/165-prikazy</w:t>
      </w:r>
    </w:p>
    <w:p w14:paraId="0558AAE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5 Приказ ФСТЭК России от 25.12.2017 № 240 «Об утверждении Порядка категорирования объектов критической информационной инфраструктуры Российской Федерации, а также перечня показателей и критериев категорирования» (Зарегистрирован в Минюсте России 05.02.2018 № 49871) Режим доступа: https://www.garant.ru/products/ipo/prime/doc/71760712/</w:t>
      </w:r>
    </w:p>
    <w:p w14:paraId="510BF02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6 Приказ ФСТЭК России от 08.11.2021 № 239 «Об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 (Зарегистрирован в Минюсте России 06.12.2021 № 66267) Режим доступа: https://fstec.ru/component/attachments/?id=3534 (официальный сайт ФСТЭК России)</w:t>
      </w:r>
    </w:p>
    <w:p w14:paraId="25380AC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7 Федеральный закон от 27.07.2006 № 152-ФЗ «О персональных данных» (Принят Госдумой 08.07.2006) Режим доступа: http://publication.pravo.gov.ru/Document/View/0001202102030024?index=0</w:t>
      </w:r>
    </w:p>
    <w:p w14:paraId="214D8C3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8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(Зарегистрирован в Минюсте России 14.05.2013 № 28375) Режим доступа: https://fstec.ru/component/attachments/?id=1277 (официальный сайт ФСТЭК России)</w:t>
      </w:r>
    </w:p>
    <w:p w14:paraId="37091AA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А.3. Отраслевые нормативные акты в сфере связи</w:t>
      </w:r>
    </w:p>
    <w:p w14:paraId="2573842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9 Федеральный закон от 07.07.2003 № 126-ФЗ «О связи» (Принят Госдумой 18.06.2003) Режим доступа: http://publication.pravo.gov.ru/Document/View/0001202101070001</w:t>
      </w:r>
    </w:p>
    <w:p w14:paraId="0A2FF9B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10 Постановление Правительства РФ от 16.03.2021 № 396 «Об утверждении Правил организации и проведения работ по обязательной оценке соответствия средств связи» (Подписано Председателем Правительства РФ М. Мишустиным 16.03.2021) Режим доступа: http://publication.pravo.gov.ru/Document/View/0001202103190023</w:t>
      </w:r>
    </w:p>
    <w:sectPr>
      <w:footerReference r:id="rId5" w:type="default"/>
      <w:pgSz w:w="11906" w:h="16838"/>
      <w:pgMar w:top="567" w:right="567" w:bottom="567" w:left="1134"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3023728"/>
      <w:docPartObj>
        <w:docPartGallery w:val="AutoText"/>
      </w:docPartObj>
    </w:sdtPr>
    <w:sdtEndPr>
      <w:rPr>
        <w:rFonts w:ascii="Times New Roman" w:hAnsi="Times New Roman" w:cs="Times New Roman"/>
        <w:sz w:val="28"/>
        <w:szCs w:val="28"/>
      </w:rPr>
    </w:sdtEndPr>
    <w:sdtContent>
      <w:p w14:paraId="6181D0BA">
        <w:pPr>
          <w:pStyle w:val="17"/>
          <w:jc w:val="right"/>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794"/>
    <w:rsid w:val="00006D59"/>
    <w:rsid w:val="0001307F"/>
    <w:rsid w:val="00020EAC"/>
    <w:rsid w:val="00023A8C"/>
    <w:rsid w:val="000308C6"/>
    <w:rsid w:val="00051DD1"/>
    <w:rsid w:val="00070BA0"/>
    <w:rsid w:val="00077121"/>
    <w:rsid w:val="000810BF"/>
    <w:rsid w:val="000C406D"/>
    <w:rsid w:val="000D0CE8"/>
    <w:rsid w:val="000D2C3D"/>
    <w:rsid w:val="000D5C66"/>
    <w:rsid w:val="000E04AD"/>
    <w:rsid w:val="000E04CC"/>
    <w:rsid w:val="00131682"/>
    <w:rsid w:val="00146932"/>
    <w:rsid w:val="00191688"/>
    <w:rsid w:val="001A323C"/>
    <w:rsid w:val="001C0DF3"/>
    <w:rsid w:val="001C1FF4"/>
    <w:rsid w:val="001D2B31"/>
    <w:rsid w:val="0020667B"/>
    <w:rsid w:val="00206CE4"/>
    <w:rsid w:val="00266BBB"/>
    <w:rsid w:val="00267A71"/>
    <w:rsid w:val="00281D3B"/>
    <w:rsid w:val="002B6B68"/>
    <w:rsid w:val="002F053E"/>
    <w:rsid w:val="00303B8D"/>
    <w:rsid w:val="00307A2E"/>
    <w:rsid w:val="003102DD"/>
    <w:rsid w:val="00311382"/>
    <w:rsid w:val="0031740E"/>
    <w:rsid w:val="0035080D"/>
    <w:rsid w:val="00362FC2"/>
    <w:rsid w:val="00366F71"/>
    <w:rsid w:val="0039729D"/>
    <w:rsid w:val="003B0940"/>
    <w:rsid w:val="003B5AE1"/>
    <w:rsid w:val="003C100F"/>
    <w:rsid w:val="003D5FC2"/>
    <w:rsid w:val="003D771A"/>
    <w:rsid w:val="003E596F"/>
    <w:rsid w:val="003E6B82"/>
    <w:rsid w:val="003F0CA1"/>
    <w:rsid w:val="004425AA"/>
    <w:rsid w:val="0045439E"/>
    <w:rsid w:val="004665A5"/>
    <w:rsid w:val="00474732"/>
    <w:rsid w:val="00484381"/>
    <w:rsid w:val="004A39C9"/>
    <w:rsid w:val="004F1994"/>
    <w:rsid w:val="004F6CE2"/>
    <w:rsid w:val="00567F1C"/>
    <w:rsid w:val="005751F9"/>
    <w:rsid w:val="00597EC5"/>
    <w:rsid w:val="00606834"/>
    <w:rsid w:val="006118A5"/>
    <w:rsid w:val="00614289"/>
    <w:rsid w:val="00660945"/>
    <w:rsid w:val="00660D46"/>
    <w:rsid w:val="00690141"/>
    <w:rsid w:val="0069462C"/>
    <w:rsid w:val="006D0EC5"/>
    <w:rsid w:val="007043DA"/>
    <w:rsid w:val="00717317"/>
    <w:rsid w:val="00773E72"/>
    <w:rsid w:val="00774D9D"/>
    <w:rsid w:val="00776CE8"/>
    <w:rsid w:val="007824A1"/>
    <w:rsid w:val="007A3DED"/>
    <w:rsid w:val="007A4BFF"/>
    <w:rsid w:val="007B2A60"/>
    <w:rsid w:val="007B6B83"/>
    <w:rsid w:val="007D0042"/>
    <w:rsid w:val="007F2571"/>
    <w:rsid w:val="007F55C5"/>
    <w:rsid w:val="00800B4C"/>
    <w:rsid w:val="008107A6"/>
    <w:rsid w:val="00810D05"/>
    <w:rsid w:val="0083677B"/>
    <w:rsid w:val="00842BA7"/>
    <w:rsid w:val="0084401B"/>
    <w:rsid w:val="00847AF3"/>
    <w:rsid w:val="00847D5F"/>
    <w:rsid w:val="00853B22"/>
    <w:rsid w:val="00861155"/>
    <w:rsid w:val="00871329"/>
    <w:rsid w:val="00887771"/>
    <w:rsid w:val="00892AE0"/>
    <w:rsid w:val="0089515D"/>
    <w:rsid w:val="008A1091"/>
    <w:rsid w:val="008A2729"/>
    <w:rsid w:val="008A2794"/>
    <w:rsid w:val="008C3B82"/>
    <w:rsid w:val="00934280"/>
    <w:rsid w:val="00943741"/>
    <w:rsid w:val="009459A4"/>
    <w:rsid w:val="0095030D"/>
    <w:rsid w:val="009646EC"/>
    <w:rsid w:val="009652FE"/>
    <w:rsid w:val="009761EB"/>
    <w:rsid w:val="00980138"/>
    <w:rsid w:val="0098103E"/>
    <w:rsid w:val="00987F6B"/>
    <w:rsid w:val="009A5D72"/>
    <w:rsid w:val="009B382B"/>
    <w:rsid w:val="009C5FEB"/>
    <w:rsid w:val="00A042A1"/>
    <w:rsid w:val="00A06477"/>
    <w:rsid w:val="00A1478D"/>
    <w:rsid w:val="00A15D24"/>
    <w:rsid w:val="00A25C6F"/>
    <w:rsid w:val="00A52A9D"/>
    <w:rsid w:val="00A602F5"/>
    <w:rsid w:val="00A6774C"/>
    <w:rsid w:val="00A747EB"/>
    <w:rsid w:val="00A7608D"/>
    <w:rsid w:val="00AB0556"/>
    <w:rsid w:val="00AD44AC"/>
    <w:rsid w:val="00AE084B"/>
    <w:rsid w:val="00AF04EC"/>
    <w:rsid w:val="00B0123D"/>
    <w:rsid w:val="00B1634D"/>
    <w:rsid w:val="00B3093E"/>
    <w:rsid w:val="00B4441E"/>
    <w:rsid w:val="00B76FAF"/>
    <w:rsid w:val="00B802E9"/>
    <w:rsid w:val="00BB0320"/>
    <w:rsid w:val="00BB298F"/>
    <w:rsid w:val="00BC27F1"/>
    <w:rsid w:val="00BC66E0"/>
    <w:rsid w:val="00BD5EE5"/>
    <w:rsid w:val="00C048C3"/>
    <w:rsid w:val="00C067BE"/>
    <w:rsid w:val="00C2129B"/>
    <w:rsid w:val="00C22961"/>
    <w:rsid w:val="00C22D32"/>
    <w:rsid w:val="00C268B4"/>
    <w:rsid w:val="00C45C4F"/>
    <w:rsid w:val="00C56E04"/>
    <w:rsid w:val="00C95978"/>
    <w:rsid w:val="00CA53A6"/>
    <w:rsid w:val="00CB3152"/>
    <w:rsid w:val="00D108D1"/>
    <w:rsid w:val="00D10A18"/>
    <w:rsid w:val="00D439A1"/>
    <w:rsid w:val="00D72149"/>
    <w:rsid w:val="00D8452E"/>
    <w:rsid w:val="00DA051F"/>
    <w:rsid w:val="00DB20B4"/>
    <w:rsid w:val="00DE038D"/>
    <w:rsid w:val="00E03638"/>
    <w:rsid w:val="00E10AB6"/>
    <w:rsid w:val="00E22B05"/>
    <w:rsid w:val="00E33D97"/>
    <w:rsid w:val="00E36AD3"/>
    <w:rsid w:val="00E46902"/>
    <w:rsid w:val="00E54093"/>
    <w:rsid w:val="00E65E1F"/>
    <w:rsid w:val="00E852D7"/>
    <w:rsid w:val="00ED51A2"/>
    <w:rsid w:val="00EE493F"/>
    <w:rsid w:val="00EF39F2"/>
    <w:rsid w:val="00F0312C"/>
    <w:rsid w:val="00F0781E"/>
    <w:rsid w:val="00F17F1F"/>
    <w:rsid w:val="00F23A2B"/>
    <w:rsid w:val="00F34110"/>
    <w:rsid w:val="00F35B8C"/>
    <w:rsid w:val="00F4656C"/>
    <w:rsid w:val="00F62E71"/>
    <w:rsid w:val="00F63798"/>
    <w:rsid w:val="00F717BA"/>
    <w:rsid w:val="00F757F6"/>
    <w:rsid w:val="00F77D48"/>
    <w:rsid w:val="00FA4779"/>
    <w:rsid w:val="00FB3A4A"/>
    <w:rsid w:val="00FD36CA"/>
    <w:rsid w:val="00FD6534"/>
    <w:rsid w:val="00FE4379"/>
    <w:rsid w:val="180F27C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Strong"/>
    <w:basedOn w:val="11"/>
    <w:qFormat/>
    <w:uiPriority w:val="0"/>
    <w:rPr>
      <w:b/>
      <w:bCs/>
    </w:rPr>
  </w:style>
  <w:style w:type="paragraph" w:styleId="15">
    <w:name w:val="header"/>
    <w:basedOn w:val="1"/>
    <w:link w:val="39"/>
    <w:unhideWhenUsed/>
    <w:qFormat/>
    <w:uiPriority w:val="99"/>
    <w:pPr>
      <w:tabs>
        <w:tab w:val="center" w:pos="4677"/>
        <w:tab w:val="right" w:pos="9355"/>
      </w:tabs>
      <w:spacing w:after="0" w:line="240" w:lineRule="auto"/>
    </w:pPr>
  </w:style>
  <w:style w:type="paragraph" w:styleId="16">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footer"/>
    <w:basedOn w:val="1"/>
    <w:link w:val="40"/>
    <w:unhideWhenUsed/>
    <w:qFormat/>
    <w:uiPriority w:val="99"/>
    <w:pPr>
      <w:tabs>
        <w:tab w:val="center" w:pos="4677"/>
        <w:tab w:val="right" w:pos="9355"/>
      </w:tabs>
      <w:spacing w:after="0" w:line="240" w:lineRule="auto"/>
    </w:p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Заголовок 3 Знак"/>
    <w:basedOn w:val="11"/>
    <w:link w:val="4"/>
    <w:qFormat/>
    <w:uiPriority w:val="9"/>
    <w:rPr>
      <w:rFonts w:eastAsiaTheme="majorEastAsia" w:cstheme="majorBidi"/>
      <w:color w:val="2F5597" w:themeColor="accent1" w:themeShade="BF"/>
      <w:sz w:val="28"/>
      <w:szCs w:val="28"/>
    </w:rPr>
  </w:style>
  <w:style w:type="character" w:customStyle="1" w:styleId="23">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4">
    <w:name w:val="Заголовок 5 Знак"/>
    <w:basedOn w:val="11"/>
    <w:link w:val="6"/>
    <w:semiHidden/>
    <w:qFormat/>
    <w:uiPriority w:val="9"/>
    <w:rPr>
      <w:rFonts w:eastAsiaTheme="majorEastAsia" w:cstheme="majorBidi"/>
      <w:color w:val="2F5597" w:themeColor="accent1" w:themeShade="BF"/>
    </w:rPr>
  </w:style>
  <w:style w:type="character" w:customStyle="1" w:styleId="25">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Заголовок Знак"/>
    <w:basedOn w:val="11"/>
    <w:link w:val="16"/>
    <w:qFormat/>
    <w:uiPriority w:val="10"/>
    <w:rPr>
      <w:rFonts w:asciiTheme="majorHAnsi" w:hAnsiTheme="majorHAnsi" w:eastAsiaTheme="majorEastAsia" w:cstheme="majorBidi"/>
      <w:spacing w:val="-10"/>
      <w:kern w:val="28"/>
      <w:sz w:val="56"/>
      <w:szCs w:val="56"/>
    </w:rPr>
  </w:style>
  <w:style w:type="character" w:customStyle="1" w:styleId="30">
    <w:name w:val="Подзаголовок Знак"/>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Цитата 2 Знак"/>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Выделенная цитата Знак"/>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Unresolved Mention"/>
    <w:basedOn w:val="11"/>
    <w:semiHidden/>
    <w:unhideWhenUsed/>
    <w:qFormat/>
    <w:uiPriority w:val="99"/>
    <w:rPr>
      <w:color w:val="605E5C"/>
      <w:shd w:val="clear" w:color="auto" w:fill="E1DFDD"/>
    </w:rPr>
  </w:style>
  <w:style w:type="character" w:customStyle="1" w:styleId="39">
    <w:name w:val="Верхний колонтитул Знак"/>
    <w:basedOn w:val="11"/>
    <w:link w:val="15"/>
    <w:qFormat/>
    <w:uiPriority w:val="99"/>
  </w:style>
  <w:style w:type="character" w:customStyle="1" w:styleId="40">
    <w:name w:val="Нижний колонтитул Знак"/>
    <w:basedOn w:val="11"/>
    <w:link w:val="17"/>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4B88E-C3B7-4D27-B7F1-C61EEB8DA912}">
  <ds:schemaRefs/>
</ds:datastoreItem>
</file>

<file path=docProps/app.xml><?xml version="1.0" encoding="utf-8"?>
<Properties xmlns="http://schemas.openxmlformats.org/officeDocument/2006/extended-properties" xmlns:vt="http://schemas.openxmlformats.org/officeDocument/2006/docPropsVTypes">
  <Template>Normal.dotm</Template>
  <Pages>33</Pages>
  <Words>7568</Words>
  <Characters>43140</Characters>
  <Lines>359</Lines>
  <Paragraphs>101</Paragraphs>
  <TotalTime>347</TotalTime>
  <ScaleCrop>false</ScaleCrop>
  <LinksUpToDate>false</LinksUpToDate>
  <CharactersWithSpaces>50607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2025-11-16T03:17:00Z</dcterms:created>
  <dc:creator>Ангелина Автушкевич</dc:creator>
  <cp:lastModifiedBy>dmitr</cp:lastModifiedBy>
  <dcterms:modified xsi:type="dcterms:W3CDTF">2025-11-16T15:18:11Z</dcterms:modified>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E59FD44CE4064710875134B2207F6917_12</vt:lpwstr>
  </property>
</Properties>
</file>