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A5F"/>
          <w:sz w:val="40"/>
          <w:szCs w:val="40"/>
        </w:rPr>
        <w:t xml:space="preserve">ADVANCE PAYMENT REQUEST</w:t>
      </w:r>
    </w:p>
    <w:p>
      <w:pPr>
        <w:pBdr>
          <w:bottom w:val="single" w:color="1F3A5F" w:sz="8" w:space="6"/>
        </w:pBdr>
        <w:spacing w:after="240"/>
      </w:pPr>
      <w:r>
        <w:rPr>
          <w:sz w:val="26"/>
          <w:szCs w:val="26"/>
        </w:rPr>
        <w:t xml:space="preserve">Stone Quarry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Detail</w:t>
            </w:r>
          </w:p>
        </w:tc>
        <w:tc>
          <w:tcPr>
            <w:tcW w:type="dxa" w:w="6426"/>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Information</w:t>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Client</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Stone Quarry POS and Attendance System</w:t>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Prepared by</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Chamuthu Pabasara</w:t>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Date</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08.10.2026</w:t>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Reference</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Project Proposal dated 05.10.2026, Package A: Subscription</w:t>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Payment due</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Before work begins</w:t>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LKR amounts valid for</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7 days from the date above (because of exchange rate changes)</w:t>
            </w:r>
          </w:p>
        </w:tc>
      </w:tr>
    </w:tbl>
    <w:p>
      <w:pPr>
        <w:pStyle w:val="Heading1"/>
      </w:pPr>
      <w:r>
        <w:t xml:space="preserve">1. Summary</w:t>
      </w:r>
    </w:p>
    <w:p>
      <w:pPr>
        <w:spacing w:after="120"/>
      </w:pPr>
      <w:r>
        <w:rPr>
          <w:sz w:val="22"/>
          <w:szCs w:val="22"/>
        </w:rPr>
        <w:t xml:space="preserve">This document requests the advance payment needed to start the project. The advance has two parts:</w:t>
      </w:r>
    </w:p>
    <w:p>
      <w:pPr>
        <w:pStyle w:val="ListParagraph"/>
        <w:numPr>
          <w:ilvl w:val="0"/>
          <w:numId w:val="2"/>
        </w:numPr>
        <w:spacing w:after="60"/>
      </w:pPr>
      <w:r>
        <w:rPr>
          <w:sz w:val="22"/>
          <w:szCs w:val="22"/>
        </w:rPr>
        <w:t xml:space="preserve">The starting payment for Package A, which covers the first 3 months of development and maintenance.</w:t>
      </w:r>
    </w:p>
    <w:p>
      <w:pPr>
        <w:pStyle w:val="ListParagraph"/>
        <w:numPr>
          <w:ilvl w:val="0"/>
          <w:numId w:val="2"/>
        </w:numPr>
        <w:spacing w:after="60"/>
      </w:pPr>
      <w:r>
        <w:rPr>
          <w:sz w:val="22"/>
          <w:szCs w:val="22"/>
        </w:rPr>
        <w:t xml:space="preserve">The first-year server and domain cost, which must be paid before the system can go online.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Item</w:t>
            </w:r>
          </w:p>
        </w:tc>
        <w:tc>
          <w:tcPr>
            <w:tcW w:type="dxa" w:w="34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right"/>
            </w:pPr>
            <w:r>
              <w:rPr>
                <w:b/>
                <w:bCs/>
                <w:color w:val="FFFFFF"/>
                <w:sz w:val="20"/>
                <w:szCs w:val="20"/>
              </w:rPr>
              <w:t xml:space="preserve">Amount (LKR)</w:t>
            </w:r>
          </w:p>
        </w:tc>
      </w:tr>
      <w:tr>
        <w:tc>
          <w:tcPr>
            <w:tcW w:type="dxa" w:w="56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Package A starting payment (first 3 months)</w:t>
            </w:r>
          </w:p>
        </w:tc>
        <w:tc>
          <w:tcPr>
            <w:tcW w:type="dxa" w:w="34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LKR 30,000</w:t>
            </w:r>
          </w:p>
        </w:tc>
      </w:tr>
      <w:tr>
        <w:tc>
          <w:tcPr>
            <w:tcW w:type="dxa" w:w="56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Server and domain, first year (rounded, see section 2)</w:t>
            </w:r>
          </w:p>
        </w:tc>
        <w:tc>
          <w:tcPr>
            <w:tcW w:type="dxa" w:w="34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LKR 32,000</w:t>
            </w:r>
          </w:p>
        </w:tc>
      </w:tr>
      <w:tr>
        <w:tc>
          <w:tcPr>
            <w:tcW w:type="dxa" w:w="5626"/>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r>
              <w:rPr>
                <w:b/>
                <w:bCs/>
                <w:sz w:val="20"/>
                <w:szCs w:val="20"/>
              </w:rPr>
              <w:t xml:space="preserve">Total advance payment</w:t>
            </w:r>
          </w:p>
        </w:tc>
        <w:tc>
          <w:tcPr>
            <w:tcW w:type="dxa" w:w="340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right"/>
            </w:pPr>
            <w:r>
              <w:rPr>
                <w:b/>
                <w:bCs/>
                <w:sz w:val="20"/>
                <w:szCs w:val="20"/>
              </w:rPr>
              <w:t xml:space="preserve">LKR 62,000</w:t>
            </w:r>
          </w:p>
        </w:tc>
      </w:tr>
    </w:tbl>
    <w:p>
      <w:pPr>
        <w:pStyle w:val="Heading1"/>
      </w:pPr>
      <w:r>
        <w:t xml:space="preserve">2. Server and Domain Cost (First Year)</w:t>
      </w:r>
    </w:p>
    <w:p>
      <w:pPr>
        <w:spacing w:after="120"/>
      </w:pPr>
      <w:r>
        <w:rPr>
          <w:sz w:val="22"/>
          <w:szCs w:val="22"/>
        </w:rPr>
        <w:t xml:space="preserve">The server (VPS) and the .com domain are bought from Namecheap. Namecheap bills in US Dollars (USD), so the LKR amount depends on the exchange rate on the day of payment.</w:t>
      </w:r>
    </w:p>
    <w:p>
      <w:pPr>
        <w:pStyle w:val="Heading2"/>
      </w:pPr>
      <w:r>
        <w:t xml:space="preserve">2.1 Cost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1600"/>
        <w:gridCol w:w="1750"/>
        <w:gridCol w:w="1750"/>
      </w:tblGrid>
      <w:tr>
        <w:trPr>
          <w:tblHeader/>
        </w:trPr>
        <w:tc>
          <w:tcPr>
            <w:tcW w:type="dxa" w:w="3926"/>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Item</w:t>
            </w:r>
          </w:p>
        </w:tc>
        <w:tc>
          <w:tcPr>
            <w:tcW w:type="dxa" w:w="16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center"/>
            </w:pPr>
            <w:r>
              <w:rPr>
                <w:b/>
                <w:bCs/>
                <w:color w:val="FFFFFF"/>
                <w:sz w:val="20"/>
                <w:szCs w:val="20"/>
              </w:rPr>
              <w:t xml:space="preserve">Period</w:t>
            </w:r>
          </w:p>
        </w:tc>
        <w:tc>
          <w:tcPr>
            <w:tcW w:type="dxa" w:w="175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right"/>
            </w:pPr>
            <w:r>
              <w:rPr>
                <w:b/>
                <w:bCs/>
                <w:color w:val="FFFFFF"/>
                <w:sz w:val="20"/>
                <w:szCs w:val="20"/>
              </w:rPr>
              <w:t xml:space="preserve">USD</w:t>
            </w:r>
          </w:p>
        </w:tc>
        <w:tc>
          <w:tcPr>
            <w:tcW w:type="dxa" w:w="175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right"/>
            </w:pPr>
            <w:r>
              <w:rPr>
                <w:b/>
                <w:bCs/>
                <w:color w:val="FFFFFF"/>
                <w:sz w:val="20"/>
                <w:szCs w:val="20"/>
              </w:rPr>
              <w:t xml:space="preserve">LKR*</w:t>
            </w:r>
          </w:p>
        </w:tc>
      </w:tr>
      <w:tr>
        <w:tc>
          <w:tcPr>
            <w:tcW w:type="dxa" w:w="39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VPS server (Pulsar: 2 CPU, 2 GB RAM, 40 GB SSD, Ubuntu)</w:t>
            </w: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b w:val="false"/>
                <w:bCs w:val="false"/>
                <w:sz w:val="20"/>
                <w:szCs w:val="20"/>
              </w:rPr>
              <w:t xml:space="preserve">1 year</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USD 82.56</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LKR 27,337</w:t>
            </w:r>
          </w:p>
        </w:tc>
      </w:tr>
      <w:tr>
        <w:tc>
          <w:tcPr>
            <w:tcW w:type="dxa" w:w="39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Domain name (.com), including ICANN fee</w:t>
            </w: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b w:val="false"/>
                <w:bCs w:val="false"/>
                <w:sz w:val="20"/>
                <w:szCs w:val="20"/>
              </w:rPr>
              <w:t xml:space="preserve">1 year</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USD 11.18</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LKR 3,702</w:t>
            </w:r>
          </w:p>
        </w:tc>
      </w:tr>
      <w:tr>
        <w:tc>
          <w:tcPr>
            <w:tcW w:type="dxa" w:w="3926"/>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r>
              <w:rPr>
                <w:b/>
                <w:bCs/>
                <w:sz w:val="20"/>
                <w:szCs w:val="20"/>
              </w:rPr>
              <w:t xml:space="preserve">Actual total</w:t>
            </w:r>
          </w:p>
        </w:tc>
        <w:tc>
          <w:tcPr>
            <w:tcW w:type="dxa" w:w="160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center"/>
            </w:pPr>
            <w:r>
              <w:rPr>
                <w:b/>
                <w:bCs/>
                <w:sz w:val="20"/>
                <w:szCs w:val="20"/>
              </w:rPr>
              <w:t xml:space="preserve"/>
            </w:r>
          </w:p>
        </w:tc>
        <w:tc>
          <w:tcPr>
            <w:tcW w:type="dxa" w:w="175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right"/>
            </w:pPr>
            <w:r>
              <w:rPr>
                <w:b/>
                <w:bCs/>
                <w:sz w:val="20"/>
                <w:szCs w:val="20"/>
              </w:rPr>
              <w:t xml:space="preserve">USD 93.74</w:t>
            </w:r>
          </w:p>
        </w:tc>
        <w:tc>
          <w:tcPr>
            <w:tcW w:type="dxa" w:w="175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right"/>
            </w:pPr>
            <w:r>
              <w:rPr>
                <w:b/>
                <w:bCs/>
                <w:sz w:val="20"/>
                <w:szCs w:val="20"/>
              </w:rPr>
              <w:t xml:space="preserve">LKR 31,039</w:t>
            </w:r>
          </w:p>
        </w:tc>
      </w:tr>
      <w:tr>
        <w:tc>
          <w:tcPr>
            <w:tcW w:type="dxa" w:w="3926"/>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r>
              <w:rPr>
                <w:b/>
                <w:bCs/>
                <w:sz w:val="20"/>
                <w:szCs w:val="20"/>
              </w:rPr>
              <w:t xml:space="preserve">Rounded amount charged</w:t>
            </w:r>
          </w:p>
        </w:tc>
        <w:tc>
          <w:tcPr>
            <w:tcW w:type="dxa" w:w="160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center"/>
            </w:pPr>
            <w:r>
              <w:rPr>
                <w:b/>
                <w:bCs/>
                <w:sz w:val="20"/>
                <w:szCs w:val="20"/>
              </w:rPr>
              <w:t xml:space="preserve"/>
            </w:r>
          </w:p>
        </w:tc>
        <w:tc>
          <w:tcPr>
            <w:tcW w:type="dxa" w:w="175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right"/>
            </w:pPr>
            <w:r>
              <w:rPr>
                <w:b/>
                <w:bCs/>
                <w:sz w:val="20"/>
                <w:szCs w:val="20"/>
              </w:rPr>
              <w:t xml:space="preserve">USD 94</w:t>
            </w:r>
          </w:p>
        </w:tc>
        <w:tc>
          <w:tcPr>
            <w:tcW w:type="dxa" w:w="175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right"/>
            </w:pPr>
            <w:r>
              <w:rPr>
                <w:b/>
                <w:bCs/>
                <w:sz w:val="20"/>
                <w:szCs w:val="20"/>
              </w:rPr>
              <w:t xml:space="preserve">LKR 32,000</w:t>
            </w:r>
          </w:p>
        </w:tc>
      </w:tr>
    </w:tbl>
    <w:p>
      <w:pPr>
        <w:spacing w:after="120" w:before="80"/>
      </w:pPr>
      <w:r>
        <w:rPr>
          <w:i/>
          <w:iCs/>
          <w:sz w:val="20"/>
          <w:szCs w:val="20"/>
        </w:rPr>
        <w:t xml:space="preserve">* Exchange rate used: USD 1 = LKR 331.12 (8 October 2026).</w:t>
      </w:r>
    </w:p>
    <w:p>
      <w:pPr>
        <w:pStyle w:val="Heading2"/>
      </w:pPr>
      <w:r>
        <w:t xml:space="preserve">2.2 Included free of charge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Item</w:t>
            </w:r>
          </w:p>
        </w:tc>
        <w:tc>
          <w:tcPr>
            <w:tcW w:type="dxa" w:w="20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center"/>
            </w:pPr>
            <w:r>
              <w:rPr>
                <w:b/>
                <w:bCs/>
                <w:color w:val="FFFFFF"/>
                <w:sz w:val="20"/>
                <w:szCs w:val="20"/>
              </w:rPr>
              <w:t xml:space="preserve">First year</w:t>
            </w:r>
          </w:p>
        </w:tc>
        <w:tc>
          <w:tcPr>
            <w:tcW w:type="dxa" w:w="20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center"/>
            </w:pPr>
            <w:r>
              <w:rPr>
                <w:b/>
                <w:bCs/>
                <w:color w:val="FFFFFF"/>
                <w:sz w:val="20"/>
                <w:szCs w:val="20"/>
              </w:rPr>
              <w:t xml:space="preserve">Second year</w:t>
            </w:r>
          </w:p>
        </w:tc>
      </w:tr>
      <w:tr>
        <w:tc>
          <w:tcPr>
            <w:tcW w:type="dxa" w:w="50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SSL certificate (secure https connection)</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r>
      <w:tr>
        <w:tc>
          <w:tcPr>
            <w:tcW w:type="dxa" w:w="50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Domain privacy (hides owner contact details)</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r>
      <w:tr>
        <w:tc>
          <w:tcPr>
            <w:tcW w:type="dxa" w:w="50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Daily automatic database backups</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r>
      <w:tr>
        <w:tc>
          <w:tcPr>
            <w:tcW w:type="dxa" w:w="50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System email sending (free email service plan)</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r>
      <w:tr>
        <w:tc>
          <w:tcPr>
            <w:tcW w:type="dxa" w:w="50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Server setup and system installation</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Free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sz w:val="20"/>
                <w:szCs w:val="20"/>
              </w:rPr>
              <w:t xml:space="preserve">Not needed</w:t>
            </w:r>
          </w:p>
        </w:tc>
      </w:tr>
    </w:tbl>
    <w:p>
      <w:pPr>
        <w:pStyle w:val="Heading2"/>
      </w:pPr>
      <w:r>
        <w:t xml:space="preserve">2.3 Second year renewal (estimate)</w:t>
      </w:r>
    </w:p>
    <w:p>
      <w:pPr>
        <w:spacing w:after="120"/>
      </w:pPr>
      <w:r>
        <w:rPr>
          <w:sz w:val="22"/>
          <w:szCs w:val="22"/>
        </w:rPr>
        <w:t xml:space="preserve">The server and domain must be renewed every year. Namecheap's first-year price is a discounted price, so the renewal price is higher.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1600"/>
        <w:gridCol w:w="1750"/>
        <w:gridCol w:w="1750"/>
      </w:tblGrid>
      <w:tr>
        <w:trPr>
          <w:tblHeader/>
        </w:trPr>
        <w:tc>
          <w:tcPr>
            <w:tcW w:type="dxa" w:w="3926"/>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Item</w:t>
            </w:r>
          </w:p>
        </w:tc>
        <w:tc>
          <w:tcPr>
            <w:tcW w:type="dxa" w:w="16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center"/>
            </w:pPr>
            <w:r>
              <w:rPr>
                <w:b/>
                <w:bCs/>
                <w:color w:val="FFFFFF"/>
                <w:sz w:val="20"/>
                <w:szCs w:val="20"/>
              </w:rPr>
              <w:t xml:space="preserve">Period</w:t>
            </w:r>
          </w:p>
        </w:tc>
        <w:tc>
          <w:tcPr>
            <w:tcW w:type="dxa" w:w="175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right"/>
            </w:pPr>
            <w:r>
              <w:rPr>
                <w:b/>
                <w:bCs/>
                <w:color w:val="FFFFFF"/>
                <w:sz w:val="20"/>
                <w:szCs w:val="20"/>
              </w:rPr>
              <w:t xml:space="preserve">USD</w:t>
            </w:r>
          </w:p>
        </w:tc>
        <w:tc>
          <w:tcPr>
            <w:tcW w:type="dxa" w:w="175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pPr>
              <w:jc w:val="right"/>
            </w:pPr>
            <w:r>
              <w:rPr>
                <w:b/>
                <w:bCs/>
                <w:color w:val="FFFFFF"/>
                <w:sz w:val="20"/>
                <w:szCs w:val="20"/>
              </w:rPr>
              <w:t xml:space="preserve">LKR (estimate)*</w:t>
            </w:r>
          </w:p>
        </w:tc>
      </w:tr>
      <w:tr>
        <w:tc>
          <w:tcPr>
            <w:tcW w:type="dxa" w:w="39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VPS server renewal</w:t>
            </w: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b w:val="false"/>
                <w:bCs w:val="false"/>
                <w:sz w:val="20"/>
                <w:szCs w:val="20"/>
              </w:rPr>
              <w:t xml:space="preserve">1 year</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USD 106.56</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LKR 35,284</w:t>
            </w:r>
          </w:p>
        </w:tc>
      </w:tr>
      <w:tr>
        <w:tc>
          <w:tcPr>
            <w:tcW w:type="dxa" w:w="39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Domain renewal, including ICANN fee</w:t>
            </w: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center"/>
            </w:pPr>
            <w:r>
              <w:rPr>
                <w:b w:val="false"/>
                <w:bCs w:val="false"/>
                <w:sz w:val="20"/>
                <w:szCs w:val="20"/>
              </w:rPr>
              <w:t xml:space="preserve">1 year</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USD 15.18</w:t>
            </w:r>
          </w:p>
        </w:tc>
        <w:tc>
          <w:tcPr>
            <w:tcW w:type="dxa" w:w="1750"/>
            <w:tcBorders>
              <w:top w:val="single" w:color="BFC8D6" w:sz="4"/>
              <w:left w:val="single" w:color="BFC8D6" w:sz="4"/>
              <w:bottom w:val="single" w:color="BFC8D6" w:sz="4"/>
              <w:right w:val="single" w:color="BFC8D6" w:sz="4"/>
            </w:tcBorders>
            <w:tcMar>
              <w:top w:type="dxa" w:w="80"/>
              <w:left w:type="dxa" w:w="120"/>
              <w:bottom w:type="dxa" w:w="80"/>
              <w:right w:type="dxa" w:w="120"/>
            </w:tcMar>
          </w:tcPr>
          <w:p>
            <w:pPr>
              <w:jc w:val="right"/>
            </w:pPr>
            <w:r>
              <w:rPr>
                <w:b w:val="false"/>
                <w:bCs w:val="false"/>
                <w:sz w:val="20"/>
                <w:szCs w:val="20"/>
              </w:rPr>
              <w:t xml:space="preserve">LKR 5,026</w:t>
            </w:r>
          </w:p>
        </w:tc>
      </w:tr>
      <w:tr>
        <w:tc>
          <w:tcPr>
            <w:tcW w:type="dxa" w:w="3926"/>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r>
              <w:rPr>
                <w:b/>
                <w:bCs/>
                <w:sz w:val="20"/>
                <w:szCs w:val="20"/>
              </w:rPr>
              <w:t xml:space="preserve">Estimated renewal total</w:t>
            </w:r>
          </w:p>
        </w:tc>
        <w:tc>
          <w:tcPr>
            <w:tcW w:type="dxa" w:w="160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center"/>
            </w:pPr>
            <w:r>
              <w:rPr>
                <w:b/>
                <w:bCs/>
                <w:sz w:val="20"/>
                <w:szCs w:val="20"/>
              </w:rPr>
              <w:t xml:space="preserve"/>
            </w:r>
          </w:p>
        </w:tc>
        <w:tc>
          <w:tcPr>
            <w:tcW w:type="dxa" w:w="175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right"/>
            </w:pPr>
            <w:r>
              <w:rPr>
                <w:b/>
                <w:bCs/>
                <w:sz w:val="20"/>
                <w:szCs w:val="20"/>
              </w:rPr>
              <w:t xml:space="preserve">USD 122</w:t>
            </w:r>
          </w:p>
        </w:tc>
        <w:tc>
          <w:tcPr>
            <w:tcW w:type="dxa" w:w="1750"/>
            <w:tcBorders>
              <w:top w:val="single" w:color="BFC8D6" w:sz="4"/>
              <w:left w:val="single" w:color="BFC8D6" w:sz="4"/>
              <w:bottom w:val="single" w:color="BFC8D6" w:sz="4"/>
              <w:right w:val="single" w:color="BFC8D6" w:sz="4"/>
            </w:tcBorders>
            <w:shd w:fill="E3EAF3" w:color="auto" w:val="clear"/>
            <w:tcMar>
              <w:top w:type="dxa" w:w="80"/>
              <w:left w:type="dxa" w:w="120"/>
              <w:bottom w:type="dxa" w:w="80"/>
              <w:right w:type="dxa" w:w="120"/>
            </w:tcMar>
          </w:tcPr>
          <w:p>
            <w:pPr>
              <w:jc w:val="right"/>
            </w:pPr>
            <w:r>
              <w:rPr>
                <w:b/>
                <w:bCs/>
                <w:sz w:val="20"/>
                <w:szCs w:val="20"/>
              </w:rPr>
              <w:t xml:space="preserve">About LKR 41,000</w:t>
            </w:r>
          </w:p>
        </w:tc>
      </w:tr>
    </w:tbl>
    <w:p>
      <w:pPr>
        <w:spacing w:after="120" w:before="80"/>
      </w:pPr>
      <w:r>
        <w:rPr>
          <w:i/>
          <w:iCs/>
          <w:sz w:val="20"/>
          <w:szCs w:val="20"/>
        </w:rPr>
        <w:t xml:space="preserve">* Calculated at today's rate. The final LKR amount will be based on the exchange rate on the renewal date (October 2027).</w:t>
      </w:r>
    </w:p>
    <w:p>
      <w:pPr>
        <w:pStyle w:val="Heading1"/>
      </w:pPr>
      <w:r>
        <w:t xml:space="preserve">3. Exchange Rate Notice</w:t>
      </w:r>
    </w:p>
    <w:p>
      <w:pPr>
        <w:pStyle w:val="ListParagraph"/>
        <w:numPr>
          <w:ilvl w:val="0"/>
          <w:numId w:val="2"/>
        </w:numPr>
        <w:spacing w:after="60"/>
      </w:pPr>
      <w:r>
        <w:rPr>
          <w:sz w:val="22"/>
          <w:szCs w:val="22"/>
        </w:rPr>
        <w:t xml:space="preserve">The server and domain are charged in USD. The LKR price changes when the exchange rate changes.</w:t>
      </w:r>
    </w:p>
    <w:p>
      <w:pPr>
        <w:pStyle w:val="ListParagraph"/>
        <w:numPr>
          <w:ilvl w:val="0"/>
          <w:numId w:val="2"/>
        </w:numPr>
        <w:spacing w:after="60"/>
      </w:pPr>
      <w:r>
        <w:rPr>
          <w:sz w:val="22"/>
          <w:szCs w:val="22"/>
        </w:rPr>
        <w:t xml:space="preserve">The rate has moved recently. In mid-September 2026 it was about LKR 320 per USD, and on 8 October 2026 it was LKR 331.12 per USD.</w:t>
      </w:r>
    </w:p>
    <w:p>
      <w:pPr>
        <w:pStyle w:val="ListParagraph"/>
        <w:numPr>
          <w:ilvl w:val="0"/>
          <w:numId w:val="2"/>
        </w:numPr>
        <w:spacing w:after="60"/>
      </w:pPr>
      <w:r>
        <w:rPr>
          <w:sz w:val="22"/>
          <w:szCs w:val="22"/>
        </w:rPr>
        <w:t xml:space="preserve">The first-year amount has been rounded up from LKR 31,039 to LKR 32,000. This small buffer covers rate increases up to about LKR 341 per USD.</w:t>
      </w:r>
    </w:p>
    <w:p>
      <w:pPr>
        <w:pStyle w:val="ListParagraph"/>
        <w:numPr>
          <w:ilvl w:val="0"/>
          <w:numId w:val="2"/>
        </w:numPr>
        <w:spacing w:after="60"/>
      </w:pPr>
      <w:r>
        <w:rPr>
          <w:sz w:val="22"/>
          <w:szCs w:val="22"/>
        </w:rPr>
        <w:t xml:space="preserve">If the rate goes above that before payment is made, the difference will be added to the next payment. Any unused part of the buffer will be deducted from the next payment.</w:t>
      </w:r>
    </w:p>
    <w:p>
      <w:pPr>
        <w:pStyle w:val="ListParagraph"/>
        <w:numPr>
          <w:ilvl w:val="0"/>
          <w:numId w:val="2"/>
        </w:numPr>
        <w:spacing w:after="60"/>
      </w:pPr>
      <w:r>
        <w:rPr>
          <w:sz w:val="22"/>
          <w:szCs w:val="22"/>
        </w:rPr>
        <w:t xml:space="preserve">The original Namecheap invoice (in USD) can be shared with the client on request.</w:t>
      </w:r>
    </w:p>
    <w:p>
      <w:pPr>
        <w:pStyle w:val="Heading1"/>
      </w:pPr>
      <w:r>
        <w:t xml:space="preserve">4. Payments After the Advance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tblHeader/>
        </w:trPr>
        <w:tc>
          <w:tcPr>
            <w:tcW w:type="dxa" w:w="3626"/>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Payment</w:t>
            </w:r>
          </w:p>
        </w:tc>
        <w:tc>
          <w:tcPr>
            <w:tcW w:type="dxa" w:w="27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Amount</w:t>
            </w:r>
          </w:p>
        </w:tc>
        <w:tc>
          <w:tcPr>
            <w:tcW w:type="dxa" w:w="27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When</w:t>
            </w:r>
          </w:p>
        </w:tc>
      </w:tr>
      <w:tr>
        <w:tc>
          <w:tcPr>
            <w:tcW w:type="dxa" w:w="36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Monthly subscription (Package A)</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LKR 10,000 per month</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From the 4th month, paid in advance</w:t>
            </w:r>
          </w:p>
        </w:tc>
      </w:tr>
      <w:tr>
        <w:tc>
          <w:tcPr>
            <w:tcW w:type="dxa" w:w="36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Server and domain renewal</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About USD 122 (about LKR 41,000)</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Once a year, from October 2027</w:t>
            </w:r>
          </w:p>
        </w:tc>
      </w:tr>
      <w:tr>
        <w:tc>
          <w:tcPr>
            <w:tcW w:type="dxa" w:w="3626"/>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Fingerprint devices (hardware)</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Bought directly by the client</w:t>
            </w:r>
          </w:p>
        </w:tc>
        <w:tc>
          <w:tcPr>
            <w:tcW w:type="dxa" w:w="2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Before attendance setup</w:t>
            </w:r>
          </w:p>
        </w:tc>
      </w:tr>
    </w:tbl>
    <w:p>
      <w:pPr>
        <w:pStyle w:val="Heading1"/>
      </w:pPr>
      <w:r>
        <w:t xml:space="preserve">5. Payment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Detail</w:t>
            </w:r>
          </w:p>
        </w:tc>
        <w:tc>
          <w:tcPr>
            <w:tcW w:type="dxa" w:w="6426"/>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Information</w:t>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Account name</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Bank and branch</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Account number</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
            </w:r>
          </w:p>
        </w:tc>
      </w:tr>
      <w:tr>
        <w:tc>
          <w:tcPr>
            <w:tcW w:type="dxa" w:w="2600"/>
            <w:tcBorders>
              <w:top w:val="single" w:color="BFC8D6" w:sz="4"/>
              <w:left w:val="single" w:color="BFC8D6" w:sz="4"/>
              <w:bottom w:val="single" w:color="BFC8D6" w:sz="4"/>
              <w:right w:val="single" w:color="BFC8D6" w:sz="4"/>
            </w:tcBorders>
            <w:shd w:fill="F2F5F9" w:color="auto" w:val="clear"/>
            <w:tcMar>
              <w:top w:type="dxa" w:w="80"/>
              <w:left w:type="dxa" w:w="120"/>
              <w:bottom w:type="dxa" w:w="80"/>
              <w:right w:type="dxa" w:w="120"/>
            </w:tcMar>
          </w:tcPr>
          <w:p>
            <w:r>
              <w:rPr>
                <w:b/>
                <w:bCs/>
                <w:sz w:val="20"/>
                <w:szCs w:val="20"/>
              </w:rPr>
              <w:t xml:space="preserve">Payment reference</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sz w:val="20"/>
                <w:szCs w:val="20"/>
              </w:rPr>
              <w:t xml:space="preserve">Stone Quarry System Advance</w:t>
            </w:r>
          </w:p>
        </w:tc>
      </w:tr>
    </w:tbl>
    <w:p>
      <w:pPr>
        <w:spacing w:after="120" w:before="160"/>
      </w:pPr>
      <w:r>
        <w:rPr>
          <w:sz w:val="22"/>
          <w:szCs w:val="22"/>
        </w:rPr>
        <w:t xml:space="preserve">Please share the payment slip after the transfer. Work will begin once the advance payment is received.</w:t>
      </w:r>
    </w:p>
    <w:p>
      <w:pPr>
        <w:pStyle w:val="Heading1"/>
      </w:pPr>
      <w:r>
        <w:t xml:space="preserve">6. Confirmation</w:t>
      </w:r>
    </w:p>
    <w:p>
      <w:pPr>
        <w:spacing w:after="120"/>
      </w:pPr>
      <w:r>
        <w:rPr>
          <w:sz w:val="22"/>
          <w:szCs w:val="22"/>
        </w:rPr>
        <w:t xml:space="preserve">By signing below, the client confirms the advance payment described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Client</w:t>
            </w:r>
          </w:p>
        </w:tc>
        <w:tc>
          <w:tcPr>
            <w:tcW w:type="dxa" w:w="4513"/>
            <w:tcBorders>
              <w:top w:val="single" w:color="BFC8D6" w:sz="4"/>
              <w:left w:val="single" w:color="BFC8D6" w:sz="4"/>
              <w:bottom w:val="single" w:color="BFC8D6" w:sz="4"/>
              <w:right w:val="single" w:color="BFC8D6" w:sz="4"/>
            </w:tcBorders>
            <w:shd w:fill="1F3A5F" w:color="auto" w:val="clear"/>
            <w:tcMar>
              <w:top w:type="dxa" w:w="80"/>
              <w:left w:type="dxa" w:w="120"/>
              <w:bottom w:type="dxa" w:w="80"/>
              <w:right w:type="dxa" w:w="120"/>
            </w:tcMar>
          </w:tcPr>
          <w:p>
            <w:r>
              <w:rPr>
                <w:b/>
                <w:bCs/>
                <w:color w:val="FFFFFF"/>
                <w:sz w:val="20"/>
                <w:szCs w:val="20"/>
              </w:rPr>
              <w:t xml:space="preserve">Service Provider</w:t>
            </w:r>
          </w:p>
        </w:tc>
      </w:tr>
      <w:tr>
        <w:trPr>
          <w:trHeight w:val="560" w:hRule="atLeast"/>
        </w:trPr>
        <w:tc>
          <w:tcPr>
            <w:tcW w:type="dxa" w:w="451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sz w:val="20"/>
                <w:szCs w:val="20"/>
              </w:rPr>
              <w:t xml:space="preserve">Name:</w:t>
            </w:r>
          </w:p>
        </w:tc>
        <w:tc>
          <w:tcPr>
            <w:tcW w:type="dxa" w:w="451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sz w:val="20"/>
                <w:szCs w:val="20"/>
              </w:rPr>
              <w:t xml:space="preserve">Name:</w:t>
            </w:r>
          </w:p>
        </w:tc>
      </w:tr>
      <w:tr>
        <w:trPr>
          <w:trHeight w:val="560" w:hRule="atLeast"/>
        </w:trPr>
        <w:tc>
          <w:tcPr>
            <w:tcW w:type="dxa" w:w="451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sz w:val="20"/>
                <w:szCs w:val="20"/>
              </w:rPr>
              <w:t xml:space="preserve">Signature:</w:t>
            </w:r>
          </w:p>
        </w:tc>
        <w:tc>
          <w:tcPr>
            <w:tcW w:type="dxa" w:w="451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sz w:val="20"/>
                <w:szCs w:val="20"/>
              </w:rPr>
              <w:t xml:space="preserve">Signature:</w:t>
            </w:r>
          </w:p>
        </w:tc>
      </w:tr>
      <w:tr>
        <w:trPr>
          <w:trHeight w:val="560" w:hRule="atLeast"/>
        </w:trPr>
        <w:tc>
          <w:tcPr>
            <w:tcW w:type="dxa" w:w="451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sz w:val="20"/>
                <w:szCs w:val="20"/>
              </w:rPr>
              <w:t xml:space="preserve">Date:</w:t>
            </w:r>
          </w:p>
        </w:tc>
        <w:tc>
          <w:tcPr>
            <w:tcW w:type="dxa" w:w="451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bCs/>
                <w:sz w:val="20"/>
                <w:szCs w:val="20"/>
              </w:rPr>
              <w:t xml:space="preserve">Date: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keepLines/>
      <w:spacing w:after="100" w:before="200"/>
      <w:outlineLvl w:val="1"/>
    </w:pPr>
    <w:rPr>
      <w:rFonts w:ascii="Calibri" w:cs="Calibri" w:eastAsia="Calibri" w:hAnsi="Calibri"/>
      <w:b/>
      <w:bCs/>
      <w:color w:val="2E5C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2026-10-08T13:57:13.714Z</dcterms:created>
  <dcterms:modified xsi:type="dcterms:W3CDTF">2026-10-08T13:57:13.714Z</dcterms:modified>
</cp:coreProperties>
</file>

<file path=docProps/custom.xml><?xml version="1.0" encoding="utf-8"?>
<Properties xmlns="http://schemas.openxmlformats.org/officeDocument/2006/custom-properties" xmlns:vt="http://schemas.openxmlformats.org/officeDocument/2006/docPropsVTypes"/>
</file>