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56"/>
          <w:szCs w:val="56"/>
        </w:rPr>
        <w:t xml:space="preserve">Supercapacitor Subsystem</w:t>
      </w:r>
    </w:p>
    <w:p>
      <w:pPr>
        <w:spacing w:after="100"/>
        <w:jc w:val="center"/>
      </w:pPr>
      <w:r>
        <w:rPr>
          <w:sz w:val="32"/>
          <w:szCs w:val="32"/>
        </w:rPr>
        <w:t xml:space="preserve">Topology, Control Logic, and Sizing</w:t>
      </w:r>
    </w:p>
    <w:p>
      <w:pPr>
        <w:spacing w:after="60"/>
        <w:jc w:val="center"/>
      </w:pPr>
      <w:r>
        <w:rPr>
          <w:i/>
          <w:iCs/>
          <w:sz w:val="24"/>
          <w:szCs w:val="24"/>
        </w:rPr>
        <w:t xml:space="preserve">EV Charging Station with Hybrid Energy Storage System</w:t>
      </w:r>
    </w:p>
    <w:p>
      <w:pPr>
        <w:spacing w:after="600"/>
        <w:jc w:val="center"/>
      </w:pPr>
      <w:r>
        <w:rPr>
          <w:i/>
          <w:iCs/>
          <w:sz w:val="24"/>
          <w:szCs w:val="24"/>
        </w:rPr>
        <w:t xml:space="preserve">University of Ruhuna — Faculty of Engineering</w:t>
      </w:r>
    </w:p>
    <w:p>
      <w:pPr>
        <w:jc w:val="center"/>
      </w:pPr>
      <w:r>
        <w:rPr>
          <w:sz w:val="22"/>
          <w:szCs w:val="22"/>
        </w:rPr>
        <w:t xml:space="preserve">Supervisor: Dr. P. D. C. Perera</w:t>
      </w:r>
    </w:p>
    <w:p>
      <w:pPr>
        <w:spacing w:before="400"/>
        <w:jc w:val="center"/>
      </w:pPr>
      <w:r>
        <w:rPr>
          <w:i/>
          <w:iCs/>
          <w:sz w:val="20"/>
          <w:szCs w:val="20"/>
        </w:rPr>
        <w:t xml:space="preserve">Document scope: supercapacitor subsystem only — supplementary to the main thesis</w:t>
      </w:r>
    </w:p>
    <w:p>
      <w:r>
        <w:br w:type="page"/>
      </w:r>
    </w:p>
    <w:p>
      <w:pPr>
        <w:pStyle w:val="Heading1"/>
      </w:pPr>
      <w:r>
        <w:t xml:space="preserve">Contents</w:t>
      </w:r>
    </w:p>
    <w:p>
      <w:pPr>
        <w:spacing w:after="120"/>
      </w:pPr>
      <w:r>
        <w:rPr>
          <w:sz w:val="22"/>
          <w:szCs w:val="22"/>
        </w:rPr>
        <w:t xml:space="preserve">1. Purpose and Scope</w:t>
      </w:r>
    </w:p>
    <w:p>
      <w:pPr>
        <w:spacing w:after="120"/>
      </w:pPr>
      <w:r>
        <w:rPr>
          <w:sz w:val="22"/>
          <w:szCs w:val="22"/>
        </w:rPr>
        <w:t xml:space="preserve">2. System Topology</w:t>
      </w:r>
    </w:p>
    <w:p>
      <w:pPr>
        <w:spacing w:after="120"/>
      </w:pPr>
      <w:r>
        <w:rPr>
          <w:sz w:val="22"/>
          <w:szCs w:val="22"/>
        </w:rPr>
        <w:t xml:space="preserve">3. Supercapacitor Charging and Discharging Logic</w:t>
      </w:r>
    </w:p>
    <w:p>
      <w:pPr>
        <w:spacing w:after="120"/>
      </w:pPr>
      <w:r>
        <w:rPr>
          <w:sz w:val="22"/>
          <w:szCs w:val="22"/>
        </w:rPr>
        <w:t xml:space="preserve">4. Load, PV, and EV Fluctuation Analysis (Real Campus Data)</w:t>
      </w:r>
    </w:p>
    <w:p>
      <w:pPr>
        <w:spacing w:after="120"/>
      </w:pPr>
      <w:r>
        <w:rPr>
          <w:sz w:val="22"/>
          <w:szCs w:val="22"/>
        </w:rPr>
        <w:t xml:space="preserve">5. Supercapacitor Electrical Sizing</w:t>
      </w:r>
    </w:p>
    <w:p>
      <w:pPr>
        <w:spacing w:after="120"/>
      </w:pPr>
      <w:r>
        <w:rPr>
          <w:sz w:val="22"/>
          <w:szCs w:val="22"/>
        </w:rPr>
        <w:t xml:space="preserve">6. Power Conversion System (PCS) Sizing</w:t>
      </w:r>
    </w:p>
    <w:p>
      <w:pPr>
        <w:spacing w:after="120"/>
      </w:pPr>
      <w:r>
        <w:rPr>
          <w:sz w:val="22"/>
          <w:szCs w:val="22"/>
        </w:rPr>
        <w:t xml:space="preserve">7. Validation Against System Simulation</w:t>
      </w:r>
    </w:p>
    <w:p>
      <w:pPr>
        <w:spacing w:after="120"/>
      </w:pPr>
      <w:r>
        <w:rPr>
          <w:sz w:val="22"/>
          <w:szCs w:val="22"/>
        </w:rPr>
        <w:t xml:space="preserve">8. Assumptions, Limitations, and Recommended Future Work</w:t>
      </w:r>
    </w:p>
    <w:p>
      <w:pPr>
        <w:spacing w:after="120"/>
      </w:pPr>
      <w:r>
        <w:rPr>
          <w:sz w:val="22"/>
          <w:szCs w:val="22"/>
        </w:rPr>
        <w:t xml:space="preserve">9. Summary</w:t>
      </w:r>
    </w:p>
    <w:p>
      <w:r>
        <w:br w:type="page"/>
      </w:r>
    </w:p>
    <w:p>
      <w:pPr>
        <w:pStyle w:val="Heading1"/>
        <w:spacing w:after="200" w:before="400"/>
      </w:pPr>
      <w:r>
        <w:t xml:space="preserve">1. Purpose and Scope</w:t>
      </w:r>
    </w:p>
    <w:p>
      <w:pPr>
        <w:spacing w:after="160"/>
      </w:pPr>
      <w:r>
        <w:t xml:space="preserve">This document covers the supercapacitor (SC) subsystem of the campus EV charging station HESS project: its physical connection topology, its charge/discharge control logic, and its electrical sizing — derived from real 1-second campus measurement data. It is intended as a supplementary, standalone section of the main thesis.</w:t>
      </w:r>
    </w:p>
    <w:p>
      <w:pPr>
        <w:spacing w:after="160"/>
      </w:pPr>
      <w:r>
        <w:t xml:space="preserve">Three questions are answered here:</w:t>
      </w:r>
    </w:p>
    <w:p>
      <w:pPr>
        <w:pStyle w:val="ListParagraph"/>
        <w:numPr>
          <w:ilvl w:val="0"/>
          <w:numId w:val="1"/>
        </w:numPr>
        <w:spacing w:after="80"/>
      </w:pPr>
      <w:r>
        <w:t xml:space="preserve">How is the supercapacitor physically connected to the campus network (topology)?</w:t>
      </w:r>
    </w:p>
    <w:p>
      <w:pPr>
        <w:pStyle w:val="ListParagraph"/>
        <w:numPr>
          <w:ilvl w:val="0"/>
          <w:numId w:val="1"/>
        </w:numPr>
        <w:spacing w:after="80"/>
      </w:pPr>
      <w:r>
        <w:t xml:space="preserve">How does it decide when to charge and discharge (control logic)?</w:t>
      </w:r>
    </w:p>
    <w:p>
      <w:pPr>
        <w:pStyle w:val="ListParagraph"/>
        <w:numPr>
          <w:ilvl w:val="0"/>
          <w:numId w:val="1"/>
        </w:numPr>
        <w:spacing w:after="80"/>
      </w:pPr>
      <w:r>
        <w:t xml:space="preserve">What size (capacitance, voltage, power, energy) does it actually need to be, based on real measured campus transients (sizing)?</w:t>
      </w:r>
    </w:p>
    <w:p>
      <w:pPr>
        <w:pStyle w:val="Heading1"/>
        <w:spacing w:after="200" w:before="400"/>
      </w:pPr>
      <w:r>
        <w:t xml:space="preserve">2. System Topology</w:t>
      </w:r>
    </w:p>
    <w:p>
      <w:pPr>
        <w:pStyle w:val="Heading2"/>
        <w:spacing w:after="150" w:before="300"/>
      </w:pPr>
      <w:r>
        <w:t xml:space="preserve">2.1 Two Candidate Topologies</w:t>
      </w:r>
    </w:p>
    <w:p>
      <w:pPr>
        <w:spacing w:after="160"/>
      </w:pPr>
      <w:r>
        <w:t xml:space="preserve">Two architectures were considered for connecting the supercapacitor (and, more generally, all storage and generation assets) to the campus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4E79" w:val="clear"/>
            <w:tcMar>
              <w:top w:type="dxa" w:w="80"/>
              <w:left w:type="dxa" w:w="120"/>
              <w:bottom w:type="dxa" w:w="80"/>
              <w:right w:type="dxa" w:w="120"/>
            </w:tcMar>
            <w:vAlign w:val="center"/>
          </w:tcPr>
          <w:p>
            <w:pPr>
              <w:jc w:val="left"/>
            </w:pPr>
            <w:r>
              <w:rPr>
                <w:b/>
                <w:bCs/>
                <w:color w:val="FFFFFF"/>
                <w:sz w:val="20"/>
                <w:szCs w:val="20"/>
              </w:rPr>
              <w:t xml:space="preserve"/>
            </w:r>
          </w:p>
        </w:tc>
        <w:tc>
          <w:tcPr>
            <w:tcW w:type="dxa" w:w="3400"/>
            <w:shd w:fill="1F4E79" w:val="clear"/>
            <w:tcMar>
              <w:top w:type="dxa" w:w="80"/>
              <w:left w:type="dxa" w:w="120"/>
              <w:bottom w:type="dxa" w:w="80"/>
              <w:right w:type="dxa" w:w="120"/>
            </w:tcMar>
            <w:vAlign w:val="center"/>
          </w:tcPr>
          <w:p>
            <w:pPr>
              <w:jc w:val="left"/>
            </w:pPr>
            <w:r>
              <w:rPr>
                <w:b/>
                <w:bCs/>
                <w:color w:val="FFFFFF"/>
                <w:sz w:val="20"/>
                <w:szCs w:val="20"/>
              </w:rPr>
              <w:t xml:space="preserve">Option A: Shared DC Bus</w:t>
            </w:r>
          </w:p>
        </w:tc>
        <w:tc>
          <w:tcPr>
            <w:tcW w:type="dxa" w:w="3400"/>
            <w:shd w:fill="1F4E79" w:val="clear"/>
            <w:tcMar>
              <w:top w:type="dxa" w:w="80"/>
              <w:left w:type="dxa" w:w="120"/>
              <w:bottom w:type="dxa" w:w="80"/>
              <w:right w:type="dxa" w:w="120"/>
            </w:tcMar>
            <w:vAlign w:val="center"/>
          </w:tcPr>
          <w:p>
            <w:pPr>
              <w:jc w:val="left"/>
            </w:pPr>
            <w:r>
              <w:rPr>
                <w:b/>
                <w:bCs/>
                <w:color w:val="FFFFFF"/>
                <w:sz w:val="20"/>
                <w:szCs w:val="20"/>
              </w:rPr>
              <w:t xml:space="preserve">Option B: AC-Coupled (Selected)</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Structure</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PV, BESS, and SC all share one internal DC bus behind a single central grid-tie inverter</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Each device (PV, BESS, SC) connects to the 415 V AC bus through its own dedicated power converter</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Typical use case</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Purpose-built DC-native systems: EVs, hybrid buses, trains, DC fast-charging hubs</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Retrofits onto an existing AC grid: campuses, commercial buildings, AC-coupled EV charging</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Fit for this project</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Poor — would require redesigning the whole storage architecture around a new shared DC bus</w:t>
            </w:r>
          </w:p>
        </w:tc>
        <w:tc>
          <w:tcPr>
            <w:tcW w:type="dxa" w:w="3400"/>
            <w:tcMar>
              <w:top w:type="dxa" w:w="80"/>
              <w:left w:type="dxa" w:w="120"/>
              <w:bottom w:type="dxa" w:w="80"/>
              <w:right w:type="dxa" w:w="120"/>
            </w:tcMar>
            <w:vAlign w:val="center"/>
          </w:tcPr>
          <w:p>
            <w:pPr>
              <w:jc w:val="left"/>
            </w:pPr>
            <w:r>
              <w:rPr>
                <w:b w:val="false"/>
                <w:bCs w:val="false"/>
                <w:color w:val="000000"/>
                <w:sz w:val="20"/>
                <w:szCs w:val="20"/>
              </w:rPr>
              <w:t xml:space="preserve">Good — matches the AC Type 2 (not DC fast) chargers, distributed AC-coupled PV, and the already-selected Huawei BESS hardware</w:t>
            </w:r>
          </w:p>
        </w:tc>
      </w:tr>
    </w:tbl>
    <w:p>
      <w:pPr>
        <w:pStyle w:val="Heading2"/>
        <w:spacing w:after="150" w:before="300"/>
      </w:pPr>
      <w:r>
        <w:t xml:space="preserve">2.2 Selected Topology: AC-Coupled with Dedicated PCS</w:t>
      </w:r>
    </w:p>
    <w:p>
      <w:pPr>
        <w:spacing w:after="160"/>
      </w:pPr>
      <w:r>
        <w:t xml:space="preserve">The supercapacitor connects to the campus 415 V LV busbar (MainBus, downstream of the 33 kV/415 V 1000 kVA Dyn11 transformer) through its own dedicated bidirectional power conversion system (PCS), in parallel with:</w:t>
      </w:r>
    </w:p>
    <w:p>
      <w:pPr>
        <w:pStyle w:val="ListParagraph"/>
        <w:numPr>
          <w:ilvl w:val="0"/>
          <w:numId w:val="1"/>
        </w:numPr>
        <w:spacing w:after="80"/>
      </w:pPr>
      <w:r>
        <w:t xml:space="preserve">The distributed rooftop PV inverters (per building)</w:t>
      </w:r>
    </w:p>
    <w:p>
      <w:pPr>
        <w:pStyle w:val="ListParagraph"/>
        <w:numPr>
          <w:ilvl w:val="0"/>
          <w:numId w:val="1"/>
        </w:numPr>
        <w:spacing w:after="80"/>
      </w:pPr>
      <w:r>
        <w:t xml:space="preserve">The BESS's own PCS (4 × Huawei LUNA2000-100KTL-M1, matched to the 4 × LUNA2000-200KWH-2H1 battery cabinets)</w:t>
      </w:r>
    </w:p>
    <w:p>
      <w:pPr>
        <w:pStyle w:val="ListParagraph"/>
        <w:numPr>
          <w:ilvl w:val="0"/>
          <w:numId w:val="1"/>
        </w:numPr>
        <w:spacing w:after="80"/>
      </w:pPr>
      <w:r>
        <w:t xml:space="preserve">The 4 × 22 kW AC Type 2 EV chargers (88 kW total nameplate)</w:t>
      </w:r>
    </w:p>
    <w:p>
      <w:pPr>
        <w:spacing w:after="160"/>
      </w:pPr>
      <w:r>
        <w:t xml:space="preserve">This choice is justified by the actual hardware and load characteristics of the campus system, not just convention:</w:t>
      </w:r>
    </w:p>
    <w:p>
      <w:pPr>
        <w:pStyle w:val="ListParagraph"/>
        <w:numPr>
          <w:ilvl w:val="0"/>
          <w:numId w:val="1"/>
        </w:numPr>
        <w:spacing w:after="80"/>
      </w:pPr>
      <w:r>
        <w:t xml:space="preserve">The EV chargers are AC Type 2 (each EV does its own AC→DC conversion on-board) — there is no natural shared DC hub to connect to, unlike a DC fast-charging forecourt.</w:t>
      </w:r>
    </w:p>
    <w:p>
      <w:pPr>
        <w:pStyle w:val="ListParagraph"/>
        <w:numPr>
          <w:ilvl w:val="0"/>
          <w:numId w:val="1"/>
        </w:numPr>
        <w:spacing w:after="80"/>
      </w:pPr>
      <w:r>
        <w:t xml:space="preserve">Campus PV is already distributed across the campus buildings, each AC-coupled independently — not funnelled into a central DC collection point.</w:t>
      </w:r>
    </w:p>
    <w:p>
      <w:pPr>
        <w:pStyle w:val="ListParagraph"/>
        <w:numPr>
          <w:ilvl w:val="0"/>
          <w:numId w:val="1"/>
        </w:numPr>
        <w:spacing w:after="80"/>
      </w:pPr>
      <w:r>
        <w:t xml:space="preserve">The selected BESS hardware (Huawei LUNA2000) is itself an AC-coupled product — it is sold with its own integrated PCS, not raw DC-bus terminals.</w:t>
      </w:r>
    </w:p>
    <w:p>
      <w:pPr>
        <w:pStyle w:val="ListParagraph"/>
        <w:numPr>
          <w:ilvl w:val="0"/>
          <w:numId w:val="1"/>
        </w:numPr>
        <w:spacing w:after="80"/>
      </w:pPr>
      <w:r>
        <w:t xml:space="preserve">AC coupling keeps the SC modular: it can be added, resized, or removed independently without redesigning a shared DC bus for the whole site.</w:t>
      </w:r>
    </w:p>
    <w:p>
      <w:pPr>
        <w:pStyle w:val="Heading2"/>
        <w:spacing w:after="150" w:before="300"/>
      </w:pPr>
      <w:r>
        <w:t xml:space="preserve">2.3 Interface with the EMS</w:t>
      </w:r>
    </w:p>
    <w:p>
      <w:pPr>
        <w:spacing w:after="160"/>
      </w:pPr>
      <w:r>
        <w:t xml:space="preserve">The SC is modelled in OpenDSS as a Storage element on MainBus with DispMode=EXTERNAL — meaning OpenDSS does not use any of its own built-in dispatch rules (LOADLEVEL / PRICE / FOLLOW), and instead waits for an external controller to issue a kW command every step. That external controller is the Python EMS (ems_controller_1s.py). This is the correct and only usable OpenDSS dispatch mode for the control logic described in Section 3, since none of OpenDSS's native modes can express a filtering or SOC-feedback decision — that logic has to live in Python.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shd w:fill="1F4E79"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Where it lives</w:t>
            </w:r>
          </w:p>
        </w:tc>
        <w:tc>
          <w:tcPr>
            <w:tcW w:type="dxa" w:w="3000"/>
            <w:shd w:fill="1F4E79" w:val="clear"/>
            <w:tcMar>
              <w:top w:type="dxa" w:w="80"/>
              <w:left w:type="dxa" w:w="120"/>
              <w:bottom w:type="dxa" w:w="80"/>
              <w:right w:type="dxa" w:w="120"/>
            </w:tcMar>
            <w:vAlign w:val="center"/>
          </w:tcPr>
          <w:p>
            <w:pPr>
              <w:jc w:val="left"/>
            </w:pPr>
            <w:r>
              <w:rPr>
                <w:b/>
                <w:bCs/>
                <w:color w:val="FFFFFF"/>
                <w:sz w:val="20"/>
                <w:szCs w:val="20"/>
              </w:rPr>
              <w:t xml:space="preserve">Function</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Control logic</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Python (ems_controller_1s.py)</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Computes the SC's kW command every second (Section 3)</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Actuation</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OpenDSS Storage.SuperCap (DispMode=EXTERNAL)</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Receives the kW command, solves the network power flow</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Physical link</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Dedicated bidirectional PCS at MainBus (Section 6)</w:t>
            </w:r>
          </w:p>
        </w:tc>
        <w:tc>
          <w:tcPr>
            <w:tcW w:type="dxa" w:w="3000"/>
            <w:tcMar>
              <w:top w:type="dxa" w:w="80"/>
              <w:left w:type="dxa" w:w="120"/>
              <w:bottom w:type="dxa" w:w="80"/>
              <w:right w:type="dxa" w:w="120"/>
            </w:tcMar>
            <w:vAlign w:val="center"/>
          </w:tcPr>
          <w:p>
            <w:pPr>
              <w:jc w:val="left"/>
            </w:pPr>
            <w:r>
              <w:rPr>
                <w:b w:val="false"/>
                <w:bCs w:val="false"/>
                <w:color w:val="000000"/>
                <w:sz w:val="20"/>
                <w:szCs w:val="20"/>
              </w:rPr>
              <w:t xml:space="preserve">Converts the SC stack's DC power to/from the 415 V AC bus</w:t>
            </w:r>
          </w:p>
        </w:tc>
      </w:tr>
    </w:tbl>
    <w:p>
      <w:pPr>
        <w:pStyle w:val="Heading1"/>
        <w:spacing w:after="200" w:before="400"/>
      </w:pPr>
      <w:r>
        <w:t xml:space="preserve">3. Supercapacitor Charging and Discharging Logic</w:t>
      </w:r>
    </w:p>
    <w:p>
      <w:pPr>
        <w:pStyle w:val="Heading2"/>
        <w:spacing w:after="150" w:before="300"/>
      </w:pPr>
      <w:r>
        <w:t xml:space="preserve">3.1 Why Supercapacitor Control Differs from Battery Control</w:t>
      </w:r>
    </w:p>
    <w:p>
      <w:pPr>
        <w:spacing w:after="160"/>
      </w:pPr>
      <w:r>
        <w:t xml:space="preserve">A supercapacitor is not an energy source in the way a battery is — it stores comparatively little energy (hundreds of Wh vs. hundreds of kWh for the BESS) but can move that energy in and out extremely quickly with negligible wear. Its role in this HESS is therefore never to sustain the load; it exists to absorb whatever the battery is too slow to react to, then get out of the way and be ready for the next event. This creates two distinct control problems that must both be solved:</w:t>
      </w:r>
    </w:p>
    <w:p>
      <w:pPr>
        <w:pStyle w:val="ListParagraph"/>
        <w:numPr>
          <w:ilvl w:val="0"/>
          <w:numId w:val="1"/>
        </w:numPr>
        <w:spacing w:after="80"/>
      </w:pPr>
      <w:r>
        <w:t xml:space="preserve">Power allocation — of the total power imbalance (load + EV − PV), how much should the SC handle right now versus the battery?</w:t>
      </w:r>
    </w:p>
    <w:p>
      <w:pPr>
        <w:pStyle w:val="ListParagraph"/>
        <w:numPr>
          <w:ilvl w:val="0"/>
          <w:numId w:val="1"/>
        </w:numPr>
        <w:spacing w:after="80"/>
      </w:pPr>
      <w:r>
        <w:t xml:space="preserve">State-of-charge (SOC) management — since the SC's energy capacity is small, it will hit its SOC limits within seconds of real activity; something must continuously nudge it back toward a ready band between events, without that recovery itself creating a new disturbance.</w:t>
      </w:r>
    </w:p>
    <w:p>
      <w:pPr>
        <w:pStyle w:val="Heading2"/>
        <w:spacing w:after="150" w:before="300"/>
      </w:pPr>
      <w:r>
        <w:t xml:space="preserve">3.2 Rejected Approach: Fixed-Threshold Rule</w:t>
      </w:r>
    </w:p>
    <w:p>
      <w:pPr>
        <w:spacing w:after="160"/>
      </w:pPr>
      <w:r>
        <w:t xml:space="preserve">An initial, simpler rule ("if the step-to-step power change exceeds 30 kW, discharge the SC") was implemented and tested, but rejected as the primary design: the 30 kW cutoff is arbitrary, with no physical justification, and produces hard on/off switching behaviour that does not reflect how a real supercapacitor actually responds to a continuously varying signal.</w:t>
      </w:r>
    </w:p>
    <w:p>
      <w:pPr>
        <w:pStyle w:val="Heading2"/>
        <w:spacing w:after="150" w:before="300"/>
      </w:pPr>
      <w:r>
        <w:t xml:space="preserve">3.3 Adopted Approach: Complementary Filtering + SOC Recovery</w:t>
      </w:r>
    </w:p>
    <w:p>
      <w:pPr>
        <w:spacing w:after="160"/>
      </w:pPr>
      <w:r>
        <w:t xml:space="preserve">The adopted control strategy is the standard approach used in peer-reviewed HESS literature (frequency-domain / complementary power-splitting, consistent with the sizing methodology of Liu et al., 2018, Applied Sciences 8(9):1453), combined with an SOC-recovery feedback loop:</w:t>
      </w:r>
    </w:p>
    <w:p>
      <w:pPr>
        <w:pStyle w:val="Heading3"/>
        <w:spacing w:after="100" w:before="200"/>
      </w:pPr>
      <w:r>
        <w:t xml:space="preserve">Layer 1 — Power Allocation (causal low-pass filter)</w:t>
      </w:r>
    </w:p>
    <w:p>
      <w:pPr>
        <w:spacing w:after="100" w:before="100"/>
        <w:jc w:val="center"/>
      </w:pPr>
      <w:r>
        <w:rPr>
          <w:i/>
          <w:iCs/>
        </w:rPr>
        <w:t xml:space="preserve">P_net(t) = P_load(t) + P_ev(t) − P_pv(t)</w:t>
      </w:r>
    </w:p>
    <w:p>
      <w:pPr>
        <w:spacing w:after="100" w:before="100"/>
        <w:jc w:val="center"/>
      </w:pPr>
      <w:r>
        <w:rPr>
          <w:i/>
          <w:iCs/>
        </w:rPr>
        <w:t xml:space="preserve">P_batt_target(t) = P_batt_target(t−1) + α × [ P_net(t) − P_batt_target(t−1) ],   α = Δt / (τ + Δt)</w:t>
      </w:r>
    </w:p>
    <w:p>
      <w:pPr>
        <w:spacing w:after="100" w:before="100"/>
        <w:jc w:val="center"/>
      </w:pPr>
      <w:r>
        <w:rPr>
          <w:i/>
          <w:iCs/>
        </w:rPr>
        <w:t xml:space="preserve">P_sc(t) = clip( P_net(t) − P_batt_target(t),  −P_sc,rated,  +P_sc,rated )</w:t>
      </w:r>
    </w:p>
    <w:p>
      <w:pPr>
        <w:spacing w:after="160"/>
      </w:pPr>
      <w:r>
        <w:t xml:space="preserve">This is a causal (real-time-safe) first-order low-pass filter — the online equivalent of an RC filter — implemented with τ = 25 s in the running EMS (config_1s.py: SC_FILTER_TAU_S). The slow-moving component of demand is assigned to the battery; whatever fast residual is left over each second is assigned to the SC automatically, with no arbitrary threshold.</w:t>
      </w:r>
    </w:p>
    <w:p>
      <w:pPr>
        <w:pStyle w:val="Heading3"/>
        <w:spacing w:after="100" w:before="200"/>
      </w:pPr>
      <w:r>
        <w:t xml:space="preserve">Layer 2 — SOC Recovery</w:t>
      </w:r>
    </w:p>
    <w:p>
      <w:pPr>
        <w:spacing w:after="160"/>
      </w:pPr>
      <w:r>
        <w:t xml:space="preserve">When the SC is not actively responding to a transient (|P_sc| below a small idle threshold, 2 kW), a gentle bias keeps its SOC inside a target band:</w:t>
      </w:r>
    </w:p>
    <w:p>
      <w:pPr>
        <w:pStyle w:val="ListParagraph"/>
        <w:numPr>
          <w:ilvl w:val="0"/>
          <w:numId w:val="1"/>
        </w:numPr>
        <w:spacing w:after="80"/>
      </w:pPr>
      <w:r>
        <w:t xml:space="preserve">SOC below 50% → gentle trickle charge (3 kW) from available PV/battery headroom</w:t>
      </w:r>
    </w:p>
    <w:p>
      <w:pPr>
        <w:pStyle w:val="ListParagraph"/>
        <w:numPr>
          <w:ilvl w:val="0"/>
          <w:numId w:val="1"/>
        </w:numPr>
        <w:spacing w:after="80"/>
      </w:pPr>
      <w:r>
        <w:t xml:space="preserve">SOC above 90% → gentle bleed-down (3 kW)</w:t>
      </w:r>
    </w:p>
    <w:p>
      <w:pPr>
        <w:pStyle w:val="ListParagraph"/>
        <w:numPr>
          <w:ilvl w:val="0"/>
          <w:numId w:val="1"/>
        </w:numPr>
        <w:spacing w:after="80"/>
      </w:pPr>
      <w:r>
        <w:t xml:space="preserve">Otherwise → idle (0 kW)</w:t>
      </w:r>
    </w:p>
    <w:p>
      <w:pPr>
        <w:spacing w:after="160"/>
      </w:pPr>
      <w:r>
        <w:t xml:space="preserve">Hard physical SOC limits (15% floor, 95% ceiling) always override both layers.</w:t>
      </w:r>
    </w:p>
    <w:p>
      <w:pPr>
        <w:pStyle w:val="Heading2"/>
        <w:spacing w:after="150" w:before="300"/>
      </w:pPr>
      <w:r>
        <w:t xml:space="preserve">3.4 Validation: Threshold-Based vs. Filter-Based Dispatch</w:t>
      </w:r>
    </w:p>
    <w:p>
      <w:pPr>
        <w:spacing w:after="160"/>
      </w:pPr>
      <w:r>
        <w:t xml:space="preserve">Both control strategies were implemented and run on identical 1-second campus data (run_comparison_1s.py) to confirm the filter-based approach genuinely changes SC behaviour, not just its justification: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shd w:fill="1F4E79"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3200"/>
            <w:shd w:fill="1F4E79" w:val="clear"/>
            <w:tcMar>
              <w:top w:type="dxa" w:w="80"/>
              <w:left w:type="dxa" w:w="120"/>
              <w:bottom w:type="dxa" w:w="80"/>
              <w:right w:type="dxa" w:w="120"/>
            </w:tcMar>
            <w:vAlign w:val="center"/>
          </w:tcPr>
          <w:p>
            <w:pPr>
              <w:jc w:val="left"/>
            </w:pPr>
            <w:r>
              <w:rPr>
                <w:b/>
                <w:bCs/>
                <w:color w:val="FFFFFF"/>
                <w:sz w:val="20"/>
                <w:szCs w:val="20"/>
              </w:rPr>
              <w:t xml:space="preserve">Threshold mode</w:t>
            </w:r>
          </w:p>
        </w:tc>
        <w:tc>
          <w:tcPr>
            <w:tcW w:type="dxa" w:w="3300"/>
            <w:shd w:fill="1F4E79" w:val="clear"/>
            <w:tcMar>
              <w:top w:type="dxa" w:w="80"/>
              <w:left w:type="dxa" w:w="120"/>
              <w:bottom w:type="dxa" w:w="80"/>
              <w:right w:type="dxa" w:w="120"/>
            </w:tcMar>
            <w:vAlign w:val="center"/>
          </w:tcPr>
          <w:p>
            <w:pPr>
              <w:jc w:val="left"/>
            </w:pPr>
            <w:r>
              <w:rPr>
                <w:b/>
                <w:bCs/>
                <w:color w:val="FFFFFF"/>
                <w:sz w:val="20"/>
                <w:szCs w:val="20"/>
              </w:rPr>
              <w:t xml:space="preserve">Filter mode (adopted)</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SC active time / day</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0.13 h (23 s)</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1.22–7.24 h (dataset-dependent)</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SC SOC behaviour</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Pinned near ceiling/floor most of the day</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Cycles within the 50–90% target band between events</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Decision basis</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Arbitrary 30 kW threshold</w:t>
            </w:r>
          </w:p>
        </w:tc>
        <w:tc>
          <w:tcPr>
            <w:tcW w:type="dxa" w:w="3300"/>
            <w:tcMar>
              <w:top w:type="dxa" w:w="80"/>
              <w:left w:type="dxa" w:w="120"/>
              <w:bottom w:type="dxa" w:w="80"/>
              <w:right w:type="dxa" w:w="120"/>
            </w:tcMar>
            <w:vAlign w:val="center"/>
          </w:tcPr>
          <w:p>
            <w:pPr>
              <w:jc w:val="left"/>
            </w:pPr>
            <w:r>
              <w:rPr>
                <w:b w:val="false"/>
                <w:bCs w:val="false"/>
                <w:color w:val="000000"/>
                <w:sz w:val="20"/>
                <w:szCs w:val="20"/>
              </w:rPr>
              <w:t xml:space="preserve">Physically motivated frequency split + SOC feedback</w:t>
            </w:r>
          </w:p>
        </w:tc>
      </w:tr>
    </w:tbl>
    <w:p>
      <w:pPr>
        <w:spacing w:after="200" w:before="100"/>
        <w:ind w:left="360"/>
      </w:pPr>
      <w:r>
        <w:rPr>
          <w:b/>
          <w:bCs/>
          <w:i/>
          <w:iCs/>
        </w:rPr>
        <w:t xml:space="preserve">Note: </w:t>
      </w:r>
      <w:r>
        <w:rPr>
          <w:i/>
          <w:iCs/>
        </w:rPr>
        <w:t xml:space="preserve">The SC's dispatched power currently only affects whether battery peak-shaving is triggered in the main EMS energy balance — it is not directly subtracted from the load the battery/grid must cover. In the dataset tested, peak-shaving rarely triggers, so this does not change grid import between modes. This is inherited from the main project's original 15-minute EMS architecture and is worth a deliberate decision with the supervisor: should SC discharge directly offset served load like the battery does, or is it intentionally a parallel, transient/voltage-only device?</w:t>
      </w:r>
    </w:p>
    <w:p>
      <w:pPr>
        <w:pStyle w:val="Heading1"/>
        <w:spacing w:after="200" w:before="400"/>
      </w:pPr>
      <w:r>
        <w:t xml:space="preserve">4. Load, PV, and EV Fluctuation Analysis (Real Campus Data)</w:t>
      </w:r>
    </w:p>
    <w:p>
      <w:pPr>
        <w:pStyle w:val="Heading2"/>
        <w:spacing w:after="150" w:before="300"/>
      </w:pPr>
      <w:r>
        <w:t xml:space="preserve">4.1 Method: Why the Aggregate, Not Individual Buildings</w:t>
      </w:r>
    </w:p>
    <w:p>
      <w:pPr>
        <w:spacing w:after="160"/>
      </w:pPr>
      <w:r>
        <w:t xml:space="preserve">Sizing must be based on the power fluctuation actually seen at the supercapacitor's point of connection (MainBus) — not any single building's fluctuation in isolation. Two effects matter here:</w:t>
      </w:r>
    </w:p>
    <w:p>
      <w:pPr>
        <w:pStyle w:val="ListParagraph"/>
        <w:numPr>
          <w:ilvl w:val="0"/>
          <w:numId w:val="1"/>
        </w:numPr>
        <w:spacing w:after="80"/>
      </w:pPr>
      <w:r>
        <w:t xml:space="preserve">Uncorrelated fluctuations cancel on aggregation. Independent random switching events in different buildings (a compressor here, a fixture there) mostly average out once 17 buildings are summed — this is the standard diversity-factor effect. Sizing off one noisy building's local behaviour would badly over-state the real transient the SC has to cover.</w:t>
      </w:r>
    </w:p>
    <w:p>
      <w:pPr>
        <w:pStyle w:val="ListParagraph"/>
        <w:numPr>
          <w:ilvl w:val="0"/>
          <w:numId w:val="1"/>
        </w:numPr>
        <w:spacing w:after="80"/>
      </w:pPr>
      <w:r>
        <w:t xml:space="preserve">Correlated fluctuations do not cancel. Simultaneous EV charger switching, or a campus-wide cloud shadow crossing multiple PV arrays at once, add directly at the aggregate. These are the events that actually matter for sizing.</w:t>
      </w:r>
    </w:p>
    <w:p>
      <w:pPr>
        <w:spacing w:after="160"/>
      </w:pPr>
      <w:r>
        <w:t xml:space="preserve">The analysis therefore uses P_net(t) = Σ(building loads) + P_ev − P_pv, computed exactly as the EMS itself computes it, using real 1-second data supplied by the project team: 17 real measured building load profiles, a real measured EV charging station profile, and PV derived by pure PCHIP interpolation (no synthetic noise added) of the team's real measured 96-step irradiance curve.</w:t>
      </w:r>
    </w:p>
    <w:p>
      <w:pPr>
        <w:pStyle w:val="Heading2"/>
        <w:spacing w:after="150" w:before="300"/>
      </w:pPr>
      <w:r>
        <w:t xml:space="preserve">4.2 Step-Change (ΔP) Distribution —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50"/>
      </w:tblGrid>
      <w:tr>
        <w:trPr>
          <w:tblHeader/>
        </w:trPr>
        <w:tc>
          <w:tcPr>
            <w:tcW w:type="dxa" w:w="3200"/>
            <w:shd w:fill="1F4E79" w:val="clear"/>
            <w:tcMar>
              <w:top w:type="dxa" w:w="80"/>
              <w:left w:type="dxa" w:w="120"/>
              <w:bottom w:type="dxa" w:w="80"/>
              <w:right w:type="dxa" w:w="120"/>
            </w:tcMar>
            <w:vAlign w:val="center"/>
          </w:tcPr>
          <w:p>
            <w:pPr>
              <w:jc w:val="left"/>
            </w:pPr>
            <w:r>
              <w:rPr>
                <w:b/>
                <w:bCs/>
                <w:color w:val="FFFFFF"/>
                <w:sz w:val="20"/>
                <w:szCs w:val="20"/>
              </w:rPr>
              <w:t xml:space="preserve">Signal</w:t>
            </w:r>
          </w:p>
        </w:tc>
        <w:tc>
          <w:tcPr>
            <w:tcW w:type="dxa" w:w="1450"/>
            <w:shd w:fill="1F4E79" w:val="clear"/>
            <w:tcMar>
              <w:top w:type="dxa" w:w="80"/>
              <w:left w:type="dxa" w:w="120"/>
              <w:bottom w:type="dxa" w:w="80"/>
              <w:right w:type="dxa" w:w="120"/>
            </w:tcMar>
            <w:vAlign w:val="center"/>
          </w:tcPr>
          <w:p>
            <w:pPr>
              <w:jc w:val="left"/>
            </w:pPr>
            <w:r>
              <w:rPr>
                <w:b/>
                <w:bCs/>
                <w:color w:val="FFFFFF"/>
                <w:sz w:val="20"/>
                <w:szCs w:val="20"/>
              </w:rPr>
              <w:t xml:space="preserve">Mean |ΔP| (kW)</w:t>
            </w:r>
          </w:p>
        </w:tc>
        <w:tc>
          <w:tcPr>
            <w:tcW w:type="dxa" w:w="1450"/>
            <w:shd w:fill="1F4E79" w:val="clear"/>
            <w:tcMar>
              <w:top w:type="dxa" w:w="80"/>
              <w:left w:type="dxa" w:w="120"/>
              <w:bottom w:type="dxa" w:w="80"/>
              <w:right w:type="dxa" w:w="120"/>
            </w:tcMar>
            <w:vAlign w:val="center"/>
          </w:tcPr>
          <w:p>
            <w:pPr>
              <w:jc w:val="left"/>
            </w:pPr>
            <w:r>
              <w:rPr>
                <w:b/>
                <w:bCs/>
                <w:color w:val="FFFFFF"/>
                <w:sz w:val="20"/>
                <w:szCs w:val="20"/>
              </w:rPr>
              <w:t xml:space="preserve">95th pct (kW)</w:t>
            </w:r>
          </w:p>
        </w:tc>
        <w:tc>
          <w:tcPr>
            <w:tcW w:type="dxa" w:w="1450"/>
            <w:shd w:fill="1F4E79" w:val="clear"/>
            <w:tcMar>
              <w:top w:type="dxa" w:w="80"/>
              <w:left w:type="dxa" w:w="120"/>
              <w:bottom w:type="dxa" w:w="80"/>
              <w:right w:type="dxa" w:w="120"/>
            </w:tcMar>
            <w:vAlign w:val="center"/>
          </w:tcPr>
          <w:p>
            <w:pPr>
              <w:jc w:val="left"/>
            </w:pPr>
            <w:r>
              <w:rPr>
                <w:b/>
                <w:bCs/>
                <w:color w:val="FFFFFF"/>
                <w:sz w:val="20"/>
                <w:szCs w:val="20"/>
              </w:rPr>
              <w:t xml:space="preserve">99th pct (kW)</w:t>
            </w:r>
          </w:p>
        </w:tc>
        <w:tc>
          <w:tcPr>
            <w:tcW w:type="dxa" w:w="1450"/>
            <w:shd w:fill="1F4E79" w:val="clear"/>
            <w:tcMar>
              <w:top w:type="dxa" w:w="80"/>
              <w:left w:type="dxa" w:w="120"/>
              <w:bottom w:type="dxa" w:w="80"/>
              <w:right w:type="dxa" w:w="120"/>
            </w:tcMar>
            <w:vAlign w:val="center"/>
          </w:tcPr>
          <w:p>
            <w:pPr>
              <w:jc w:val="left"/>
            </w:pPr>
            <w:r>
              <w:rPr>
                <w:b/>
                <w:bCs/>
                <w:color w:val="FFFFFF"/>
                <w:sz w:val="20"/>
                <w:szCs w:val="20"/>
              </w:rPr>
              <w:t xml:space="preserve">Max ΔP (kW)</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P_net (aggregate, MainBus)</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0.11</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0.36</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0.63</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16.53</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EV station</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0.03</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0.14</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0.25</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16.66</w:t>
            </w:r>
          </w:p>
        </w:tc>
      </w:tr>
      <w:tr>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PV (total)</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0.04</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0.14</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0.15</w:t>
            </w:r>
          </w:p>
        </w:tc>
        <w:tc>
          <w:tcPr>
            <w:tcW w:type="dxa" w:w="1450"/>
            <w:tcMar>
              <w:top w:type="dxa" w:w="80"/>
              <w:left w:type="dxa" w:w="120"/>
              <w:bottom w:type="dxa" w:w="80"/>
              <w:right w:type="dxa" w:w="120"/>
            </w:tcMar>
            <w:vAlign w:val="center"/>
          </w:tcPr>
          <w:p>
            <w:pPr>
              <w:jc w:val="left"/>
            </w:pPr>
            <w:r>
              <w:rPr>
                <w:b w:val="false"/>
                <w:bCs w:val="false"/>
                <w:color w:val="000000"/>
                <w:sz w:val="20"/>
                <w:szCs w:val="20"/>
              </w:rPr>
              <w:t xml:space="preserve">0.16</w:t>
            </w:r>
          </w:p>
        </w:tc>
      </w:tr>
    </w:tbl>
    <w:p>
      <w:pPr>
        <w:pStyle w:val="Heading2"/>
        <w:spacing w:after="150" w:before="300"/>
      </w:pPr>
      <w:r>
        <w:t xml:space="preserve">4.3 Worst-Case Event</w:t>
      </w:r>
    </w:p>
    <w:p>
      <w:pPr>
        <w:spacing w:after="160"/>
      </w:pPr>
      <w:r>
        <w:t xml:space="preserve">The single largest step-change of the measured day occurred at 16:00:00, when EV station demand dropped from 33.6 kW to 16.9 kW within one second (− 16.7 kW) as a charging session ended. Building load and PV were essentially flat through this event. Across the full day, only 6 events exceeded a 10 kW threshold, none exceeded 20 kW, and the typical event duration was approximately 2 seconds.</w:t>
      </w:r>
    </w:p>
    <w:p>
      <w:pPr>
        <w:pStyle w:val="Heading2"/>
        <w:spacing w:after="150" w:before="300"/>
      </w:pPr>
      <w:r>
        <w:t xml:space="preserve">4.4 Interpretation for Sizing</w:t>
      </w:r>
    </w:p>
    <w:p>
      <w:pPr>
        <w:pStyle w:val="ListParagraph"/>
        <w:numPr>
          <w:ilvl w:val="0"/>
          <w:numId w:val="1"/>
        </w:numPr>
        <w:spacing w:after="80"/>
      </w:pPr>
      <w:r>
        <w:t xml:space="preserve">PV contributes negligible fast transients in this dataset — expected, since the PV series is pure interpolation of real irradiance with no added noise (per project decision); real cloud-transient events are not represented here and would need separate measurement if material to the thesis.</w:t>
      </w:r>
    </w:p>
    <w:p>
      <w:pPr>
        <w:pStyle w:val="ListParagraph"/>
        <w:numPr>
          <w:ilvl w:val="0"/>
          <w:numId w:val="1"/>
        </w:numPr>
        <w:spacing w:after="80"/>
      </w:pPr>
      <w:r>
        <w:t xml:space="preserve">EV charger switching is confirmed as the dominant transient driver on this campus system.</w:t>
      </w:r>
    </w:p>
    <w:p>
      <w:pPr>
        <w:pStyle w:val="ListParagraph"/>
        <w:numPr>
          <w:ilvl w:val="0"/>
          <w:numId w:val="1"/>
        </w:numPr>
        <w:spacing w:after="80"/>
      </w:pPr>
      <w:r>
        <w:t xml:space="preserve">The real measured worst case (16.53 kW, ~2 s) is used to inform the design target below; a margin above the single-day observed maximum is retained for robustness against future measurement days, since one day of data is not guaranteed to contain the absolute worst case the system will ever see.</w:t>
      </w:r>
    </w:p>
    <w:p>
      <w:pPr>
        <w:pStyle w:val="Heading1"/>
        <w:spacing w:after="200" w:before="400"/>
      </w:pPr>
      <w:r>
        <w:t xml:space="preserve">5. Supercapacitor Electrical Sizing</w:t>
      </w:r>
    </w:p>
    <w:p>
      <w:pPr>
        <w:pStyle w:val="Heading2"/>
        <w:spacing w:after="150" w:before="300"/>
      </w:pPr>
      <w:r>
        <w:t xml:space="preserve">5.1 Design Targets</w:t>
      </w:r>
    </w:p>
    <w:p>
      <w:pPr>
        <w:spacing w:after="160"/>
      </w:pPr>
      <w:r>
        <w:t xml:space="preserve">Design targets combine the real Section 4 findings with a conservative margin, since one day of measurement is not guaranteed to contain the worst case the system will ever see: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tcW w:type="dxa" w:w="2000"/>
            <w:shd w:fill="1F4E79"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1800"/>
            <w:shd w:fill="1F4E79" w:val="clear"/>
            <w:tcMar>
              <w:top w:type="dxa" w:w="80"/>
              <w:left w:type="dxa" w:w="120"/>
              <w:bottom w:type="dxa" w:w="80"/>
              <w:right w:type="dxa" w:w="120"/>
            </w:tcMar>
            <w:vAlign w:val="center"/>
          </w:tcPr>
          <w:p>
            <w:pPr>
              <w:jc w:val="left"/>
            </w:pPr>
            <w:r>
              <w:rPr>
                <w:b/>
                <w:bCs/>
                <w:color w:val="FFFFFF"/>
                <w:sz w:val="20"/>
                <w:szCs w:val="20"/>
              </w:rPr>
              <w:t xml:space="preserve">Value</w:t>
            </w:r>
          </w:p>
        </w:tc>
        <w:tc>
          <w:tcPr>
            <w:tcW w:type="dxa" w:w="5200"/>
            <w:shd w:fill="1F4E79" w:val="clear"/>
            <w:tcMar>
              <w:top w:type="dxa" w:w="80"/>
              <w:left w:type="dxa" w:w="120"/>
              <w:bottom w:type="dxa" w:w="80"/>
              <w:right w:type="dxa" w:w="120"/>
            </w:tcMar>
            <w:vAlign w:val="center"/>
          </w:tcPr>
          <w:p>
            <w:pPr>
              <w:jc w:val="left"/>
            </w:pPr>
            <w:r>
              <w:rPr>
                <w:b/>
                <w:bCs/>
                <w:color w:val="FFFFFF"/>
                <w:sz w:val="20"/>
                <w:szCs w:val="20"/>
              </w:rPr>
              <w:t xml:space="preserve">Basis</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ΔP_design</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22.0 kW</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Nameplate single AC Type 2 charger step (conservative vs. 16.53 kW observed real maximum)</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dt_design</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10 s</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Assumed BESS/PCS full-response time — ASSUMPTION, pending the real Huawei LUNA2000-100KTL-M1 ramp-rate specification</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τ_design</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5 s</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Conservative filter constant for the formal minimum-capacitance check (distinct from the τ = 25 s used in the running EMS filter, which can be gentler given the margin shown below)</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SOC floor</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50%</w:t>
            </w:r>
          </w:p>
        </w:tc>
        <w:tc>
          <w:tcPr>
            <w:tcW w:type="dxa" w:w="5200"/>
            <w:tcMar>
              <w:top w:type="dxa" w:w="80"/>
              <w:left w:type="dxa" w:w="120"/>
              <w:bottom w:type="dxa" w:w="80"/>
              <w:right w:type="dxa" w:w="120"/>
            </w:tcMar>
            <w:vAlign w:val="center"/>
          </w:tcPr>
          <w:p>
            <w:pPr>
              <w:jc w:val="left"/>
            </w:pPr>
            <w:r>
              <w:rPr>
                <w:b w:val="false"/>
                <w:bCs w:val="false"/>
                <w:color w:val="000000"/>
                <w:sz w:val="20"/>
                <w:szCs w:val="20"/>
              </w:rPr>
              <w:t xml:space="preserve">Selected to preserve module life and avoid deep-discharge degradation</w:t>
            </w:r>
          </w:p>
        </w:tc>
      </w:tr>
    </w:tbl>
    <w:p>
      <w:pPr>
        <w:spacing w:after="200" w:before="100"/>
        <w:ind w:left="360"/>
      </w:pPr>
      <w:r>
        <w:rPr>
          <w:b/>
          <w:bCs/>
          <w:i/>
          <w:iCs/>
        </w:rPr>
        <w:t xml:space="preserve">Note: </w:t>
      </w:r>
      <w:r>
        <w:rPr>
          <w:i/>
          <w:iCs/>
        </w:rPr>
        <w:t xml:space="preserve">dt_design and τ_design are flagged assumptions pending two pieces of data not yet available: (1) the real PCS ramp-rate specification, and (2) any real sub-minute solar/cloud-transient measurements. Both would let this section move from assumption-based to fully data-driven.</w:t>
      </w:r>
    </w:p>
    <w:p>
      <w:pPr>
        <w:pStyle w:val="Heading2"/>
        <w:spacing w:after="150" w:before="300"/>
      </w:pPr>
      <w:r>
        <w:t xml:space="preserve">5.2 Candidate Hardware</w:t>
      </w:r>
    </w:p>
    <w:p>
      <w:pPr>
        <w:spacing w:after="160"/>
      </w:pPr>
      <w:r>
        <w:t xml:space="preserve">The Eaton XLM-62 series supercapacitor module is selected as the candidate hardware for this stack, based on its documented capacitance, voltage, and ESR specifications.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4500"/>
            <w:shd w:fill="1F4E79"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Rated capacitance (per module)</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130 F</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Max working voltage (per module)</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62.1 V</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ESR (per module)</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6.7 mΩ</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Mass (per module)</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16 kg</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Rated cycle life</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&gt; 1,000,000</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Candidate configuration</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6 modules in series, 1 string</w:t>
            </w:r>
          </w:p>
        </w:tc>
      </w:tr>
    </w:tbl>
    <w:p>
      <w:pPr>
        <w:pStyle w:val="Heading2"/>
        <w:spacing w:after="150" w:before="300"/>
      </w:pPr>
      <w:r>
        <w:t xml:space="preserve">5.3 Sizing Calculations</w:t>
      </w:r>
    </w:p>
    <w:p>
      <w:pPr>
        <w:pStyle w:val="Heading3"/>
        <w:spacing w:after="100" w:before="200"/>
      </w:pPr>
      <w:r>
        <w:t xml:space="preserve">Stack-level derived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1F4E79" w:val="clear"/>
            <w:tcMar>
              <w:top w:type="dxa" w:w="80"/>
              <w:left w:type="dxa" w:w="120"/>
              <w:bottom w:type="dxa" w:w="80"/>
              <w:right w:type="dxa" w:w="120"/>
            </w:tcMar>
            <w:vAlign w:val="center"/>
          </w:tcPr>
          <w:p>
            <w:pPr>
              <w:jc w:val="left"/>
            </w:pPr>
            <w:r>
              <w:rPr>
                <w:b/>
                <w:bCs/>
                <w:color w:val="FFFFFF"/>
                <w:sz w:val="20"/>
                <w:szCs w:val="20"/>
              </w:rPr>
              <w:t xml:space="preserve">Quantity</w:t>
            </w:r>
          </w:p>
        </w:tc>
        <w:tc>
          <w:tcPr>
            <w:tcW w:type="dxa" w:w="3600"/>
            <w:shd w:fill="1F4E79" w:val="clear"/>
            <w:tcMar>
              <w:top w:type="dxa" w:w="80"/>
              <w:left w:type="dxa" w:w="120"/>
              <w:bottom w:type="dxa" w:w="80"/>
              <w:right w:type="dxa" w:w="120"/>
            </w:tcMar>
            <w:vAlign w:val="center"/>
          </w:tcPr>
          <w:p>
            <w:pPr>
              <w:jc w:val="left"/>
            </w:pPr>
            <w:r>
              <w:rPr>
                <w:b/>
                <w:bCs/>
                <w:color w:val="FFFFFF"/>
                <w:sz w:val="20"/>
                <w:szCs w:val="20"/>
              </w:rPr>
              <w:t xml:space="preserve">Formula</w:t>
            </w:r>
          </w:p>
        </w:tc>
        <w:tc>
          <w:tcPr>
            <w:tcW w:type="dxa" w:w="2800"/>
            <w:shd w:fill="1F4E79"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Vsc,max</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V_module,max × n_series = 62.1 × 6</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372.6 V</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Vsc,min (50% floor)</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0.50 × Vsc,max</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186.3 V</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ΔV (usable window)</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Vsc,max − Vsc,min</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186.3 V</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Cstack</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C_module / n_series = 130 / 6</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21.67 F</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ESRstack</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ESR_module × n_series = 6.7 × 6</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40.2 mΩ</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Mass_stack</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16 × 6</w:t>
            </w:r>
          </w:p>
        </w:tc>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96 kg</w:t>
            </w:r>
          </w:p>
        </w:tc>
      </w:tr>
    </w:tbl>
    <w:p>
      <w:pPr>
        <w:pStyle w:val="Heading3"/>
        <w:spacing w:after="100" w:before="200"/>
      </w:pPr>
      <w:r>
        <w:t xml:space="preserve">Current and formal minimum capacitance (Liu et al., 2018 method)</w:t>
      </w:r>
    </w:p>
    <w:p>
      <w:pPr>
        <w:spacing w:after="100" w:before="100"/>
        <w:jc w:val="center"/>
      </w:pPr>
      <w:r>
        <w:rPr>
          <w:i/>
          <w:iCs/>
        </w:rPr>
        <w:t xml:space="preserve">i_sc,max = ΔP_design / Vsc,min = 22,000 / 186.3 = 118.09 A</w:t>
      </w:r>
    </w:p>
    <w:p>
      <w:pPr>
        <w:spacing w:after="100" w:before="100"/>
        <w:jc w:val="center"/>
      </w:pPr>
      <w:r>
        <w:rPr>
          <w:i/>
          <w:iCs/>
        </w:rPr>
        <w:t xml:space="preserve">i_sc,min = ΔP_design / Vsc,max = 22,000 / 372.6 = 59.04 A</w:t>
      </w:r>
    </w:p>
    <w:p>
      <w:pPr>
        <w:spacing w:after="100" w:before="100"/>
        <w:jc w:val="center"/>
      </w:pPr>
      <w:r>
        <w:rPr>
          <w:i/>
          <w:iCs/>
        </w:rPr>
        <w:t xml:space="preserve">ī = (i_sc,max + i_sc,min) / 2 = 88.57 A</w:t>
      </w:r>
    </w:p>
    <w:p>
      <w:pPr>
        <w:spacing w:after="100" w:before="100"/>
        <w:jc w:val="center"/>
      </w:pPr>
      <w:r>
        <w:rPr>
          <w:i/>
          <w:iCs/>
        </w:rPr>
        <w:t xml:space="preserve">C_min = (ī / ΔV) × (dt_design + τ_design) = (88.57 / 186.3) × 15 = 7.13 F</w:t>
      </w:r>
    </w:p>
    <w:p>
      <w:pPr>
        <w:spacing w:after="100" w:before="100"/>
        <w:jc w:val="center"/>
      </w:pPr>
      <w:r>
        <w:rPr>
          <w:i/>
          <w:iCs/>
        </w:rPr>
        <w:t xml:space="preserve">Margin = C_stack / C_min = 21.67 / 7.13 = 3.04×</w:t>
      </w:r>
    </w:p>
    <w:p>
      <w:pPr>
        <w:pStyle w:val="Heading3"/>
        <w:spacing w:after="100" w:before="200"/>
      </w:pPr>
      <w:r>
        <w:t xml:space="preserve">Peak power capability and usable energy</w:t>
      </w:r>
    </w:p>
    <w:p>
      <w:pPr>
        <w:spacing w:after="100" w:before="100"/>
        <w:jc w:val="center"/>
      </w:pPr>
      <w:r>
        <w:rPr>
          <w:i/>
          <w:iCs/>
        </w:rPr>
        <w:t xml:space="preserve">P_stack,peak = Vsc,max × i_sc,max = 372.6 × 118.09 = 44.00 kW</w:t>
      </w:r>
    </w:p>
    <w:p>
      <w:pPr>
        <w:spacing w:after="100" w:before="100"/>
        <w:jc w:val="center"/>
      </w:pPr>
      <w:r>
        <w:rPr>
          <w:i/>
          <w:iCs/>
        </w:rPr>
        <w:t xml:space="preserve">Margin (power) = P_stack,peak / ΔP_design = 44.00 / 22.0 = 2.00×</w:t>
      </w:r>
    </w:p>
    <w:p>
      <w:pPr>
        <w:spacing w:after="100" w:before="100"/>
        <w:jc w:val="center"/>
      </w:pPr>
      <w:r>
        <w:rPr>
          <w:i/>
          <w:iCs/>
        </w:rPr>
        <w:t xml:space="preserve">E_usable = ½ × C_stack × (Vsc,max² − Vsc,min²) / 3600 = 313.3 Wh</w:t>
      </w:r>
    </w:p>
    <w:p>
      <w:pPr>
        <w:pStyle w:val="Heading2"/>
        <w:spacing w:after="150" w:before="300"/>
      </w:pPr>
      <w:r>
        <w:t xml:space="preserve">5.4 Cycle-Life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4E79" w:val="clear"/>
            <w:tcMar>
              <w:top w:type="dxa" w:w="80"/>
              <w:left w:type="dxa" w:w="120"/>
              <w:bottom w:type="dxa" w:w="80"/>
              <w:right w:type="dxa" w:w="120"/>
            </w:tcMar>
            <w:vAlign w:val="center"/>
          </w:tcPr>
          <w:p>
            <w:pPr>
              <w:jc w:val="left"/>
            </w:pPr>
            <w:r>
              <w:rPr>
                <w:b/>
                <w:bCs/>
                <w:color w:val="FFFFFF"/>
                <w:sz w:val="20"/>
                <w:szCs w:val="20"/>
              </w:rPr>
              <w:t xml:space="preserve">Quantity</w:t>
            </w:r>
          </w:p>
        </w:tc>
        <w:tc>
          <w:tcPr>
            <w:tcW w:type="dxa" w:w="3500"/>
            <w:shd w:fill="1F4E79" w:val="clear"/>
            <w:tcMar>
              <w:top w:type="dxa" w:w="80"/>
              <w:left w:type="dxa" w:w="120"/>
              <w:bottom w:type="dxa" w:w="80"/>
              <w:right w:type="dxa" w:w="120"/>
            </w:tcMar>
            <w:vAlign w:val="center"/>
          </w:tcPr>
          <w:p>
            <w:pPr>
              <w:jc w:val="left"/>
            </w:pPr>
            <w:r>
              <w:rPr>
                <w:b/>
                <w:bCs/>
                <w:color w:val="FFFFFF"/>
                <w:sz w:val="20"/>
                <w:szCs w:val="20"/>
              </w:rPr>
              <w:t xml:space="preserve">Value</w:t>
            </w:r>
          </w:p>
        </w:tc>
      </w:tr>
      <w:tr>
        <w:tc>
          <w:tcPr>
            <w:tcW w:type="dxa" w:w="5500"/>
            <w:tcMar>
              <w:top w:type="dxa" w:w="80"/>
              <w:left w:type="dxa" w:w="120"/>
              <w:bottom w:type="dxa" w:w="80"/>
              <w:right w:type="dxa" w:w="120"/>
            </w:tcMar>
            <w:vAlign w:val="center"/>
          </w:tcPr>
          <w:p>
            <w:pPr>
              <w:jc w:val="left"/>
            </w:pPr>
            <w:r>
              <w:rPr>
                <w:b w:val="false"/>
                <w:bCs w:val="false"/>
                <w:color w:val="000000"/>
                <w:sz w:val="20"/>
                <w:szCs w:val="20"/>
              </w:rPr>
              <w:t xml:space="preserve">Qualifying events observed / day (&gt;10 kW threshold)</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6</w:t>
            </w:r>
          </w:p>
        </w:tc>
      </w:tr>
      <w:tr>
        <w:tc>
          <w:tcPr>
            <w:tcW w:type="dxa" w:w="5500"/>
            <w:tcMar>
              <w:top w:type="dxa" w:w="80"/>
              <w:left w:type="dxa" w:w="120"/>
              <w:bottom w:type="dxa" w:w="80"/>
              <w:right w:type="dxa" w:w="120"/>
            </w:tcMar>
            <w:vAlign w:val="center"/>
          </w:tcPr>
          <w:p>
            <w:pPr>
              <w:jc w:val="left"/>
            </w:pPr>
            <w:r>
              <w:rPr>
                <w:b w:val="false"/>
                <w:bCs w:val="false"/>
                <w:color w:val="000000"/>
                <w:sz w:val="20"/>
                <w:szCs w:val="20"/>
              </w:rPr>
              <w:t xml:space="preserve">Assumed design lifetime</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4 years</w:t>
            </w:r>
          </w:p>
        </w:tc>
      </w:tr>
      <w:tr>
        <w:tc>
          <w:tcPr>
            <w:tcW w:type="dxa" w:w="5500"/>
            <w:tcMar>
              <w:top w:type="dxa" w:w="80"/>
              <w:left w:type="dxa" w:w="120"/>
              <w:bottom w:type="dxa" w:w="80"/>
              <w:right w:type="dxa" w:w="120"/>
            </w:tcMar>
            <w:vAlign w:val="center"/>
          </w:tcPr>
          <w:p>
            <w:pPr>
              <w:jc w:val="left"/>
            </w:pPr>
            <w:r>
              <w:rPr>
                <w:b w:val="false"/>
                <w:bCs w:val="false"/>
                <w:color w:val="000000"/>
                <w:sz w:val="20"/>
                <w:szCs w:val="20"/>
              </w:rPr>
              <w:t xml:space="preserve">Total design-life cycles</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6 × 365 × 4 = 8,760</w:t>
            </w:r>
          </w:p>
        </w:tc>
      </w:tr>
      <w:tr>
        <w:tc>
          <w:tcPr>
            <w:tcW w:type="dxa" w:w="5500"/>
            <w:tcMar>
              <w:top w:type="dxa" w:w="80"/>
              <w:left w:type="dxa" w:w="120"/>
              <w:bottom w:type="dxa" w:w="80"/>
              <w:right w:type="dxa" w:w="120"/>
            </w:tcMar>
            <w:vAlign w:val="center"/>
          </w:tcPr>
          <w:p>
            <w:pPr>
              <w:jc w:val="left"/>
            </w:pPr>
            <w:r>
              <w:rPr>
                <w:b w:val="false"/>
                <w:bCs w:val="false"/>
                <w:color w:val="000000"/>
                <w:sz w:val="20"/>
                <w:szCs w:val="20"/>
              </w:rPr>
              <w:t xml:space="preserve">Rated cycle life (Eaton XLM-62)</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&gt; 1,000,000</w:t>
            </w:r>
          </w:p>
        </w:tc>
      </w:tr>
      <w:tr>
        <w:tc>
          <w:tcPr>
            <w:tcW w:type="dxa" w:w="5500"/>
            <w:tcMar>
              <w:top w:type="dxa" w:w="80"/>
              <w:left w:type="dxa" w:w="120"/>
              <w:bottom w:type="dxa" w:w="80"/>
              <w:right w:type="dxa" w:w="120"/>
            </w:tcMar>
            <w:vAlign w:val="center"/>
          </w:tcPr>
          <w:p>
            <w:pPr>
              <w:jc w:val="left"/>
            </w:pPr>
            <w:r>
              <w:rPr>
                <w:b w:val="false"/>
                <w:bCs w:val="false"/>
                <w:color w:val="000000"/>
                <w:sz w:val="20"/>
                <w:szCs w:val="20"/>
              </w:rPr>
              <w:t xml:space="preserve">Utilisation of rated life</w:t>
            </w:r>
          </w:p>
        </w:tc>
        <w:tc>
          <w:tcPr>
            <w:tcW w:type="dxa" w:w="3500"/>
            <w:tcMar>
              <w:top w:type="dxa" w:w="80"/>
              <w:left w:type="dxa" w:w="120"/>
              <w:bottom w:type="dxa" w:w="80"/>
              <w:right w:type="dxa" w:w="120"/>
            </w:tcMar>
            <w:vAlign w:val="center"/>
          </w:tcPr>
          <w:p>
            <w:pPr>
              <w:jc w:val="left"/>
            </w:pPr>
            <w:r>
              <w:rPr>
                <w:b w:val="false"/>
                <w:bCs w:val="false"/>
                <w:color w:val="000000"/>
                <w:sz w:val="20"/>
                <w:szCs w:val="20"/>
              </w:rPr>
              <w:t xml:space="preserve">0.876%</w:t>
            </w:r>
          </w:p>
        </w:tc>
      </w:tr>
    </w:tbl>
    <w:p>
      <w:pPr>
        <w:spacing w:after="160"/>
      </w:pPr>
      <w:r>
        <w:t xml:space="preserve">The cycle count implied by real measured switching activity is negligible relative to the module's rated life — cycle fatigue is not a limiting factor for this application at the observed event rate.</w:t>
      </w:r>
    </w:p>
    <w:p>
      <w:pPr>
        <w:pStyle w:val="Heading2"/>
        <w:spacing w:after="150" w:before="300"/>
      </w:pPr>
      <w:r>
        <w:t xml:space="preserve">5.5 Summary of Sizing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20"/>
              <w:bottom w:type="dxa" w:w="80"/>
              <w:right w:type="dxa" w:w="120"/>
            </w:tcMar>
            <w:vAlign w:val="center"/>
          </w:tcPr>
          <w:p>
            <w:pPr>
              <w:jc w:val="left"/>
            </w:pPr>
            <w:r>
              <w:rPr>
                <w:b/>
                <w:bCs/>
                <w:color w:val="FFFFFF"/>
                <w:sz w:val="20"/>
                <w:szCs w:val="20"/>
              </w:rPr>
              <w:t xml:space="preserve">Parameter</w:t>
            </w:r>
          </w:p>
        </w:tc>
        <w:tc>
          <w:tcPr>
            <w:tcW w:type="dxa" w:w="4500"/>
            <w:shd w:fill="1F4E79"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Rated (usable) energy</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0.313 kWh (313 Wh)</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Rated power</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44.0 kW</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Power margin over design transient</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2.0×</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Capacitance margin over formal minimum</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3.04×</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Basis</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Eaton XLM-62 module data + real campus transient data</w:t>
            </w:r>
          </w:p>
        </w:tc>
      </w:tr>
    </w:tbl>
    <w:p>
      <w:pPr>
        <w:pStyle w:val="Heading1"/>
        <w:spacing w:after="200" w:before="400"/>
      </w:pPr>
      <w:r>
        <w:t xml:space="preserve">6. Power Conversion System (PCS) Sizing</w:t>
      </w:r>
    </w:p>
    <w:p>
      <w:pPr>
        <w:spacing w:after="160"/>
      </w:pPr>
      <w:r>
        <w:t xml:space="preserve">Since the SC connects to the 415 V AC bus through its own dedicated converter (Section 2), that converter must be sized and specified independently of the SC stack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6400"/>
            <w:shd w:fill="1F4E79" w:val="clear"/>
            <w:tcMar>
              <w:top w:type="dxa" w:w="80"/>
              <w:left w:type="dxa" w:w="120"/>
              <w:bottom w:type="dxa" w:w="80"/>
              <w:right w:type="dxa" w:w="120"/>
            </w:tcMar>
            <w:vAlign w:val="center"/>
          </w:tcPr>
          <w:p>
            <w:pPr>
              <w:jc w:val="left"/>
            </w:pPr>
            <w:r>
              <w:rPr>
                <w:b/>
                <w:bCs/>
                <w:color w:val="FFFFFF"/>
                <w:sz w:val="20"/>
                <w:szCs w:val="20"/>
              </w:rPr>
              <w:t xml:space="preserve">Value / Basis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Power rating</w:t>
            </w:r>
          </w:p>
        </w:tc>
        <w:tc>
          <w:tcPr>
            <w:tcW w:type="dxa" w:w="6400"/>
            <w:tcMar>
              <w:top w:type="dxa" w:w="80"/>
              <w:left w:type="dxa" w:w="120"/>
              <w:bottom w:type="dxa" w:w="80"/>
              <w:right w:type="dxa" w:w="120"/>
            </w:tcMar>
            <w:vAlign w:val="center"/>
          </w:tcPr>
          <w:p>
            <w:pPr>
              <w:jc w:val="left"/>
            </w:pPr>
            <w:r>
              <w:rPr>
                <w:b w:val="false"/>
                <w:bCs w:val="false"/>
                <w:color w:val="000000"/>
                <w:sz w:val="20"/>
                <w:szCs w:val="20"/>
              </w:rPr>
              <w:t xml:space="preserve">≥ 57.2 kW (44.0 kW stack peak × 1.3 margin)</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DC input voltage range</w:t>
            </w:r>
          </w:p>
        </w:tc>
        <w:tc>
          <w:tcPr>
            <w:tcW w:type="dxa" w:w="6400"/>
            <w:tcMar>
              <w:top w:type="dxa" w:w="80"/>
              <w:left w:type="dxa" w:w="120"/>
              <w:bottom w:type="dxa" w:w="80"/>
              <w:right w:type="dxa" w:w="120"/>
            </w:tcMar>
            <w:vAlign w:val="center"/>
          </w:tcPr>
          <w:p>
            <w:pPr>
              <w:jc w:val="left"/>
            </w:pPr>
            <w:r>
              <w:rPr>
                <w:b w:val="false"/>
                <w:bCs w:val="false"/>
                <w:color w:val="000000"/>
                <w:sz w:val="20"/>
                <w:szCs w:val="20"/>
              </w:rPr>
              <w:t xml:space="preserve">186.3 – 372.6 V (must match the stack's usable window)</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Control response time</w:t>
            </w:r>
          </w:p>
        </w:tc>
        <w:tc>
          <w:tcPr>
            <w:tcW w:type="dxa" w:w="6400"/>
            <w:tcMar>
              <w:top w:type="dxa" w:w="80"/>
              <w:left w:type="dxa" w:w="120"/>
              <w:bottom w:type="dxa" w:w="80"/>
              <w:right w:type="dxa" w:w="120"/>
            </w:tcMar>
            <w:vAlign w:val="center"/>
          </w:tcPr>
          <w:p>
            <w:pPr>
              <w:jc w:val="left"/>
            </w:pPr>
            <w:r>
              <w:rPr>
                <w:b w:val="false"/>
                <w:bCs w:val="false"/>
                <w:color w:val="000000"/>
                <w:sz w:val="20"/>
                <w:szCs w:val="20"/>
              </w:rPr>
              <w:t xml:space="preserve">&lt; 100 ms recommended — a slow PCS control loop would discard the SC's core sub-second advantage regardless of the cell hardware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Round-trip efficiency</w:t>
            </w:r>
          </w:p>
        </w:tc>
        <w:tc>
          <w:tcPr>
            <w:tcW w:type="dxa" w:w="6400"/>
            <w:tcMar>
              <w:top w:type="dxa" w:w="80"/>
              <w:left w:type="dxa" w:w="120"/>
              <w:bottom w:type="dxa" w:w="80"/>
              <w:right w:type="dxa" w:w="120"/>
            </w:tcMar>
            <w:vAlign w:val="center"/>
          </w:tcPr>
          <w:p>
            <w:pPr>
              <w:jc w:val="left"/>
            </w:pPr>
            <w:r>
              <w:rPr>
                <w:b w:val="false"/>
                <w:bCs w:val="false"/>
                <w:color w:val="000000"/>
                <w:sz w:val="20"/>
                <w:szCs w:val="20"/>
              </w:rPr>
              <w:t xml:space="preserve">Typically 95–97% for SC-rated power electronics — ASSUMPTION pending a specific vendor datasheet</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Control interface</w:t>
            </w:r>
          </w:p>
        </w:tc>
        <w:tc>
          <w:tcPr>
            <w:tcW w:type="dxa" w:w="6400"/>
            <w:tcMar>
              <w:top w:type="dxa" w:w="80"/>
              <w:left w:type="dxa" w:w="120"/>
              <w:bottom w:type="dxa" w:w="80"/>
              <w:right w:type="dxa" w:w="120"/>
            </w:tcMar>
            <w:vAlign w:val="center"/>
          </w:tcPr>
          <w:p>
            <w:pPr>
              <w:jc w:val="left"/>
            </w:pPr>
            <w:r>
              <w:rPr>
                <w:b w:val="false"/>
                <w:bCs w:val="false"/>
                <w:color w:val="000000"/>
                <w:sz w:val="20"/>
                <w:szCs w:val="20"/>
              </w:rPr>
              <w:t xml:space="preserve">kW + State (CHARGING/DISCHARGING/IDLING) setpoint from the Python EMS every second — same abstraction already used for the BESS's Huawei PCS</w:t>
            </w:r>
          </w:p>
        </w:tc>
      </w:tr>
    </w:tbl>
    <w:p>
      <w:pPr>
        <w:pStyle w:val="Heading1"/>
        <w:spacing w:after="200" w:before="400"/>
      </w:pPr>
      <w:r>
        <w:t xml:space="preserve">7. Validation Against System Simulation</w:t>
      </w:r>
    </w:p>
    <w:p>
      <w:pPr>
        <w:spacing w:after="160"/>
      </w:pPr>
      <w:r>
        <w:t xml:space="preserve">The filter-based control logic (Section 3.3) and real campus data (Section 4) were run through the full 1-second EMS simulation (run_simulation_1s.py) as a system-level sanity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500"/>
            <w:shd w:fill="1F4E79"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PV generation</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13,926.1 kWh/day</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Faculty load</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2,476.1 kWh/day</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EV load</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300.4 kWh/day</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Grid import</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488.8 kWh/day</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Self-sufficiency</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82.4%</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SC discharge time</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1.22 h/day</w:t>
            </w:r>
          </w:p>
        </w:tc>
      </w:tr>
      <w:tr>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Voltage violations</w:t>
            </w:r>
          </w:p>
        </w:tc>
        <w:tc>
          <w:tcPr>
            <w:tcW w:type="dxa" w:w="4500"/>
            <w:tcMar>
              <w:top w:type="dxa" w:w="80"/>
              <w:left w:type="dxa" w:w="120"/>
              <w:bottom w:type="dxa" w:w="80"/>
              <w:right w:type="dxa" w:w="120"/>
            </w:tcMar>
            <w:vAlign w:val="center"/>
          </w:tcPr>
          <w:p>
            <w:pPr>
              <w:jc w:val="left"/>
            </w:pPr>
            <w:r>
              <w:rPr>
                <w:b w:val="false"/>
                <w:bCs w:val="false"/>
                <w:color w:val="000000"/>
                <w:sz w:val="20"/>
                <w:szCs w:val="20"/>
              </w:rPr>
              <w:t xml:space="preserve">0 seconds</w:t>
            </w:r>
          </w:p>
        </w:tc>
      </w:tr>
    </w:tbl>
    <w:p>
      <w:pPr>
        <w:spacing w:after="160"/>
      </w:pPr>
      <w:r>
        <w:t xml:space="preserve">Zero voltage violations across the full simulated day, with the SC actively cycling within its target SOC band, supports the sizing derived in Section 5 as adequate for the real transients present in this dataset.</w:t>
      </w:r>
    </w:p>
    <w:p>
      <w:pPr>
        <w:pStyle w:val="Heading1"/>
        <w:spacing w:after="200" w:before="400"/>
      </w:pPr>
      <w:r>
        <w:t xml:space="preserve">8. Assumptions, Limitations, and Recommended Future Work</w:t>
      </w:r>
    </w:p>
    <w:p>
      <w:pPr>
        <w:pStyle w:val="ListParagraph"/>
        <w:numPr>
          <w:ilvl w:val="0"/>
          <w:numId w:val="1"/>
        </w:numPr>
        <w:spacing w:after="80"/>
      </w:pPr>
      <w:r>
        <w:t xml:space="preserve">dt_design (10 s) and τ_design (5 s) are engineering assumptions, not yet confirmed against the real Huawei LUNA2000-100KTL-M1 PCS ramp-rate specification — obtaining that datasheet value would let Section 5.1 move from assumed to fully data-driven.</w:t>
      </w:r>
    </w:p>
    <w:p>
      <w:pPr>
        <w:pStyle w:val="ListParagraph"/>
        <w:numPr>
          <w:ilvl w:val="0"/>
          <w:numId w:val="1"/>
        </w:numPr>
        <w:spacing w:after="80"/>
      </w:pPr>
      <w:r>
        <w:t xml:space="preserve">The PV series used throughout is a pure interpolation of real 96-step irradiance data with no added fast fluctuation, per project decision — real cloud-transient (sub-minute irradiance dip) behaviour is not represented. If cloud transients matter to the thesis narrative, separate real or literature-sourced high-resolution irradiance data would be needed.</w:t>
      </w:r>
    </w:p>
    <w:p>
      <w:pPr>
        <w:pStyle w:val="ListParagraph"/>
        <w:numPr>
          <w:ilvl w:val="0"/>
          <w:numId w:val="1"/>
        </w:numPr>
        <w:spacing w:after="80"/>
      </w:pPr>
      <w:r>
        <w:t xml:space="preserve">Sizing is based on a single measured day; multiple days (ideally spanning different semesters/exam periods/weather) would give more statistically robust worst-case figures than a single-day maximum.</w:t>
      </w:r>
    </w:p>
    <w:p>
      <w:pPr>
        <w:pStyle w:val="ListParagraph"/>
        <w:numPr>
          <w:ilvl w:val="0"/>
          <w:numId w:val="1"/>
        </w:numPr>
        <w:spacing w:after="80"/>
      </w:pPr>
      <w:r>
        <w:t xml:space="preserve">The dedicated PCS's real round-trip efficiency and exact response-time spec should be confirmed against an actual vendor datasheet once a product is selected, rather than the assumed 95–97% / &lt;100 ms used here.</w:t>
      </w:r>
    </w:p>
    <w:p>
      <w:pPr>
        <w:pStyle w:val="ListParagraph"/>
        <w:numPr>
          <w:ilvl w:val="0"/>
          <w:numId w:val="1"/>
        </w:numPr>
        <w:spacing w:after="80"/>
      </w:pPr>
      <w:r>
        <w:t xml:space="preserve">Whether SC discharge should directly offset served load in the main EMS energy balance (Section 3.4 note) is a design decision that should be made explicitly with the supervisor, since it currently only affects peak-shave eligibility.</w:t>
      </w:r>
    </w:p>
    <w:p>
      <w:pPr>
        <w:pStyle w:val="Heading1"/>
        <w:spacing w:after="200" w:before="400"/>
      </w:pPr>
      <w:r>
        <w:t xml:space="preserve">9.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4E79" w:val="clear"/>
            <w:tcMar>
              <w:top w:type="dxa" w:w="80"/>
              <w:left w:type="dxa" w:w="120"/>
              <w:bottom w:type="dxa" w:w="80"/>
              <w:right w:type="dxa" w:w="120"/>
            </w:tcMar>
            <w:vAlign w:val="center"/>
          </w:tcPr>
          <w:p>
            <w:pPr>
              <w:jc w:val="left"/>
            </w:pPr>
            <w:r>
              <w:rPr>
                <w:b/>
                <w:bCs/>
                <w:color w:val="FFFFFF"/>
                <w:sz w:val="20"/>
                <w:szCs w:val="20"/>
              </w:rPr>
              <w:t xml:space="preserve">Item</w:t>
            </w:r>
          </w:p>
        </w:tc>
        <w:tc>
          <w:tcPr>
            <w:tcW w:type="dxa" w:w="6500"/>
            <w:shd w:fill="1F4E79"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Topology</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AC-coupled, dedicated bidirectional PCS at 415 V MainBus, DispMode=EXTERNAL</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Control logic</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Two-layer: causal low-pass filter (power allocation) + SOC-recovery feedback (50–90% target band)</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Design transient</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ΔP = 22 kW, dt = 10 s (real measured worst case: 16.53 kW, ~2 s)</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Candidate hardware</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Eaton XLM-62, 6-module series stack</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Derived spec</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313 Wh usable energy, 44.0 kW peak power (2.0× power margin, 3.04× capacitance margin)</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Cycle-life utilisation</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0.876% of rated life over a 4-year design horizon</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Recommended PCS</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 57.2 kW, &lt;100 ms response, 186.3–372.6 V DC input range</w:t>
            </w:r>
          </w:p>
        </w:tc>
      </w:tr>
      <w:tr>
        <w:tc>
          <w:tcPr>
            <w:tcW w:type="dxa" w:w="2500"/>
            <w:tcMar>
              <w:top w:type="dxa" w:w="80"/>
              <w:left w:type="dxa" w:w="120"/>
              <w:bottom w:type="dxa" w:w="80"/>
              <w:right w:type="dxa" w:w="120"/>
            </w:tcMar>
            <w:vAlign w:val="center"/>
          </w:tcPr>
          <w:p>
            <w:pPr>
              <w:jc w:val="left"/>
            </w:pPr>
            <w:r>
              <w:rPr>
                <w:b w:val="false"/>
                <w:bCs w:val="false"/>
                <w:color w:val="000000"/>
                <w:sz w:val="20"/>
                <w:szCs w:val="20"/>
              </w:rPr>
              <w:t xml:space="preserve">System validation</w:t>
            </w:r>
          </w:p>
        </w:tc>
        <w:tc>
          <w:tcPr>
            <w:tcW w:type="dxa" w:w="6500"/>
            <w:tcMar>
              <w:top w:type="dxa" w:w="80"/>
              <w:left w:type="dxa" w:w="120"/>
              <w:bottom w:type="dxa" w:w="80"/>
              <w:right w:type="dxa" w:w="120"/>
            </w:tcMar>
            <w:vAlign w:val="center"/>
          </w:tcPr>
          <w:p>
            <w:pPr>
              <w:jc w:val="left"/>
            </w:pPr>
            <w:r>
              <w:rPr>
                <w:b w:val="false"/>
                <w:bCs w:val="false"/>
                <w:color w:val="000000"/>
                <w:sz w:val="20"/>
                <w:szCs w:val="20"/>
              </w:rPr>
              <w:t xml:space="preserve">0 voltage violations, 82.4% self-sufficiency, SC actively cycling in target SOC band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2026-07-31T14:45:08.868Z</dcterms:created>
  <dcterms:modified xsi:type="dcterms:W3CDTF">2026-07-31T14:45:08.884Z</dcterms:modified>
</cp:coreProperties>
</file>

<file path=docProps/custom.xml><?xml version="1.0" encoding="utf-8"?>
<Properties xmlns="http://schemas.openxmlformats.org/officeDocument/2006/custom-properties" xmlns:vt="http://schemas.openxmlformats.org/officeDocument/2006/docPropsVTypes"/>
</file>