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1"/>
        <w:ind w:left="0"/>
        <w:jc w:val="left"/>
        <w:rPr>
          <w:sz w:val="20"/>
        </w:rPr>
      </w:pPr>
      <w:r>
        <w:rPr>
          <w:sz w:val="20"/>
        </w:rPr>
        <mc:AlternateContent>
          <mc:Choice Requires="wps">
            <w:drawing>
              <wp:anchor distT="0" distB="0" distL="0" distR="0" allowOverlap="1" layoutInCell="1" locked="0" behindDoc="1" simplePos="0" relativeHeight="486814208">
                <wp:simplePos x="0" y="0"/>
                <wp:positionH relativeFrom="page">
                  <wp:posOffset>654050</wp:posOffset>
                </wp:positionH>
                <wp:positionV relativeFrom="page">
                  <wp:posOffset>8736554</wp:posOffset>
                </wp:positionV>
                <wp:extent cx="6651625" cy="5613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651625" cy="561340"/>
                          <a:chExt cx="6651625" cy="561340"/>
                        </a:xfrm>
                      </wpg:grpSpPr>
                      <pic:pic>
                        <pic:nvPicPr>
                          <pic:cNvPr id="2" name="Image 2"/>
                          <pic:cNvPicPr/>
                        </pic:nvPicPr>
                        <pic:blipFill>
                          <a:blip r:embed="rId5" cstate="print"/>
                          <a:stretch>
                            <a:fillRect/>
                          </a:stretch>
                        </pic:blipFill>
                        <pic:spPr>
                          <a:xfrm>
                            <a:off x="5964482" y="0"/>
                            <a:ext cx="686712" cy="561024"/>
                          </a:xfrm>
                          <a:prstGeom prst="rect">
                            <a:avLst/>
                          </a:prstGeom>
                        </pic:spPr>
                      </pic:pic>
                      <wps:wsp>
                        <wps:cNvPr id="3" name="Graphic 3"/>
                        <wps:cNvSpPr/>
                        <wps:spPr>
                          <a:xfrm>
                            <a:off x="241300" y="265205"/>
                            <a:ext cx="5982970" cy="6350"/>
                          </a:xfrm>
                          <a:custGeom>
                            <a:avLst/>
                            <a:gdLst/>
                            <a:ahLst/>
                            <a:cxnLst/>
                            <a:rect l="l" t="t" r="r" b="b"/>
                            <a:pathLst>
                              <a:path w="5982970" h="6350">
                                <a:moveTo>
                                  <a:pt x="5982970" y="0"/>
                                </a:moveTo>
                                <a:lnTo>
                                  <a:pt x="0" y="0"/>
                                </a:lnTo>
                                <a:lnTo>
                                  <a:pt x="0" y="6350"/>
                                </a:lnTo>
                                <a:lnTo>
                                  <a:pt x="5982970" y="6350"/>
                                </a:lnTo>
                                <a:lnTo>
                                  <a:pt x="5982970" y="0"/>
                                </a:lnTo>
                                <a:close/>
                              </a:path>
                            </a:pathLst>
                          </a:custGeom>
                          <a:solidFill>
                            <a:srgbClr val="D9D9D9"/>
                          </a:solidFill>
                        </wps:spPr>
                        <wps:bodyPr wrap="square" lIns="0" tIns="0" rIns="0" bIns="0" rtlCol="0">
                          <a:prstTxWarp prst="textNoShape">
                            <a:avLst/>
                          </a:prstTxWarp>
                          <a:noAutofit/>
                        </wps:bodyPr>
                      </wps:wsp>
                      <wps:wsp>
                        <wps:cNvPr id="4" name="Graphic 4"/>
                        <wps:cNvSpPr/>
                        <wps:spPr>
                          <a:xfrm>
                            <a:off x="6350" y="402365"/>
                            <a:ext cx="5887720" cy="5715"/>
                          </a:xfrm>
                          <a:custGeom>
                            <a:avLst/>
                            <a:gdLst/>
                            <a:ahLst/>
                            <a:cxnLst/>
                            <a:rect l="l" t="t" r="r" b="b"/>
                            <a:pathLst>
                              <a:path w="5887720" h="5715">
                                <a:moveTo>
                                  <a:pt x="0" y="0"/>
                                </a:moveTo>
                                <a:lnTo>
                                  <a:pt x="5887720" y="5714"/>
                                </a:lnTo>
                              </a:path>
                            </a:pathLst>
                          </a:custGeom>
                          <a:ln w="1270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pt;margin-top:687.917664pt;width:523.75pt;height:44.2pt;mso-position-horizontal-relative:page;mso-position-vertical-relative:page;z-index:-16502272" id="docshapegroup1" coordorigin="1030,13758" coordsize="10475,884">
                <v:shape style="position:absolute;left:10422;top:13758;width:1082;height:884" type="#_x0000_t75" id="docshape2" stroked="false">
                  <v:imagedata r:id="rId5" o:title=""/>
                </v:shape>
                <v:rect style="position:absolute;left:1410;top:14176;width:9422;height:10" id="docshape3" filled="true" fillcolor="#d9d9d9" stroked="false">
                  <v:fill type="solid"/>
                </v:rect>
                <v:line style="position:absolute" from="1040,14392" to="10312,14401" stroked="true" strokeweight="1pt" strokecolor="#4471c4">
                  <v:stroke dashstyle="solid"/>
                </v:line>
                <w10:wrap type="none"/>
              </v:group>
            </w:pict>
          </mc:Fallback>
        </mc:AlternateContent>
      </w:r>
    </w:p>
    <w:p>
      <w:pPr>
        <w:tabs>
          <w:tab w:pos="2919" w:val="left" w:leader="none"/>
          <w:tab w:pos="3209" w:val="left" w:leader="none"/>
          <w:tab w:pos="5420" w:val="left" w:leader="none"/>
          <w:tab w:pos="5710" w:val="left" w:leader="none"/>
        </w:tabs>
        <w:spacing w:before="0"/>
        <w:ind w:left="720" w:right="2082"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875030</wp:posOffset>
                </wp:positionH>
                <wp:positionV relativeFrom="paragraph">
                  <wp:posOffset>158127</wp:posOffset>
                </wp:positionV>
                <wp:extent cx="5001260" cy="1079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001260" cy="10795"/>
                        </a:xfrm>
                        <a:custGeom>
                          <a:avLst/>
                          <a:gdLst/>
                          <a:ahLst/>
                          <a:cxnLst/>
                          <a:rect l="l" t="t" r="r" b="b"/>
                          <a:pathLst>
                            <a:path w="5001260" h="10795">
                              <a:moveTo>
                                <a:pt x="0" y="10795"/>
                              </a:moveTo>
                              <a:lnTo>
                                <a:pt x="5001259" y="0"/>
                              </a:lnTo>
                            </a:path>
                          </a:pathLst>
                        </a:custGeom>
                        <a:ln w="12699">
                          <a:solidFill>
                            <a:srgbClr val="4471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68.900002pt,13.300976pt" to="462.700002pt,12.450976pt" stroked="true" strokeweight="1.0pt" strokecolor="#4471c4">
                <v:stroke dashstyle="solid"/>
                <w10:wrap type="none"/>
              </v:line>
            </w:pict>
          </mc:Fallback>
        </mc:AlternateContent>
      </w:r>
      <w:r>
        <w:rPr>
          <w:sz w:val="20"/>
        </w:rPr>
        <w:drawing>
          <wp:anchor distT="0" distB="0" distL="0" distR="0" allowOverlap="1" layoutInCell="1" locked="0" behindDoc="0" simplePos="0" relativeHeight="15730176">
            <wp:simplePos x="0" y="0"/>
            <wp:positionH relativeFrom="page">
              <wp:posOffset>6165754</wp:posOffset>
            </wp:positionH>
            <wp:positionV relativeFrom="paragraph">
              <wp:posOffset>-208261</wp:posOffset>
            </wp:positionV>
            <wp:extent cx="752498" cy="62198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52498" cy="621982"/>
                    </a:xfrm>
                    <a:prstGeom prst="rect">
                      <a:avLst/>
                    </a:prstGeom>
                  </pic:spPr>
                </pic:pic>
              </a:graphicData>
            </a:graphic>
          </wp:anchor>
        </w:drawing>
      </w:r>
      <w:r>
        <w:rPr>
          <w:sz w:val="20"/>
        </w:rPr>
        <w:t>Received: 10 OCT 2025</w:t>
        <w:tab/>
      </w:r>
      <w:r>
        <w:rPr>
          <w:spacing w:val="-10"/>
          <w:sz w:val="20"/>
        </w:rPr>
        <w:t>|</w:t>
      </w:r>
      <w:r>
        <w:rPr>
          <w:sz w:val="20"/>
        </w:rPr>
        <w:tab/>
        <w:t>Accepted: 09 DEC 2025</w:t>
        <w:tab/>
      </w:r>
      <w:r>
        <w:rPr>
          <w:spacing w:val="-10"/>
          <w:sz w:val="20"/>
        </w:rPr>
        <w:t>|</w:t>
      </w:r>
      <w:r>
        <w:rPr>
          <w:sz w:val="20"/>
        </w:rPr>
        <w:tab/>
        <w:t>Published</w:t>
      </w:r>
      <w:r>
        <w:rPr>
          <w:spacing w:val="-10"/>
          <w:sz w:val="20"/>
        </w:rPr>
        <w:t> </w:t>
      </w:r>
      <w:r>
        <w:rPr>
          <w:sz w:val="20"/>
        </w:rPr>
        <w:t>Online:</w:t>
      </w:r>
      <w:r>
        <w:rPr>
          <w:spacing w:val="-10"/>
          <w:sz w:val="20"/>
        </w:rPr>
        <w:t> </w:t>
      </w:r>
      <w:r>
        <w:rPr>
          <w:sz w:val="20"/>
        </w:rPr>
        <w:t>12</w:t>
      </w:r>
      <w:r>
        <w:rPr>
          <w:spacing w:val="-10"/>
          <w:sz w:val="20"/>
        </w:rPr>
        <w:t> </w:t>
      </w:r>
      <w:r>
        <w:rPr>
          <w:sz w:val="20"/>
        </w:rPr>
        <w:t>MAR</w:t>
      </w:r>
      <w:r>
        <w:rPr>
          <w:spacing w:val="-10"/>
          <w:sz w:val="20"/>
        </w:rPr>
        <w:t> </w:t>
      </w:r>
      <w:r>
        <w:rPr>
          <w:sz w:val="20"/>
        </w:rPr>
        <w:t>2026 UCLM Journal of Research and Innovation Vol. 1 Issue 1 (March 2026)</w:t>
      </w:r>
    </w:p>
    <w:p>
      <w:pPr>
        <w:pStyle w:val="BodyText"/>
        <w:spacing w:before="59"/>
        <w:jc w:val="left"/>
      </w:pPr>
      <w:r>
        <w:rPr>
          <w:color w:val="000000"/>
          <w:shd w:fill="F5F5F5" w:color="auto" w:val="clear"/>
        </w:rPr>
        <w:t>DOI: </w:t>
      </w:r>
      <w:hyperlink r:id="rId7">
        <w:r>
          <w:rPr>
            <w:color w:val="0462C1"/>
            <w:spacing w:val="-2"/>
            <w:u w:val="single" w:color="0462C1"/>
            <w:shd w:fill="F5F5F5" w:color="auto" w:val="clear"/>
          </w:rPr>
          <w:t>https://doi.org/10.5281/zenodo.19175586</w:t>
        </w:r>
      </w:hyperlink>
    </w:p>
    <w:p>
      <w:pPr>
        <w:pStyle w:val="BodyText"/>
        <w:spacing w:before="66"/>
        <w:ind w:left="0"/>
        <w:jc w:val="left"/>
        <w:rPr>
          <w:sz w:val="28"/>
        </w:rPr>
      </w:pPr>
    </w:p>
    <w:p>
      <w:pPr>
        <w:pStyle w:val="Title"/>
      </w:pPr>
      <w:r>
        <w:rPr/>
        <w:t>Evaluating Customer Satisfaction of Junior High School Students at the University</w:t>
      </w:r>
      <w:r>
        <w:rPr>
          <w:spacing w:val="-4"/>
        </w:rPr>
        <w:t> </w:t>
      </w:r>
      <w:r>
        <w:rPr/>
        <w:t>of</w:t>
      </w:r>
      <w:r>
        <w:rPr>
          <w:spacing w:val="-5"/>
        </w:rPr>
        <w:t> </w:t>
      </w:r>
      <w:r>
        <w:rPr/>
        <w:t>Cebu</w:t>
      </w:r>
      <w:r>
        <w:rPr>
          <w:spacing w:val="-5"/>
        </w:rPr>
        <w:t> </w:t>
      </w:r>
      <w:r>
        <w:rPr/>
        <w:t>Lapulapu</w:t>
      </w:r>
      <w:r>
        <w:rPr>
          <w:spacing w:val="-5"/>
        </w:rPr>
        <w:t> </w:t>
      </w:r>
      <w:r>
        <w:rPr/>
        <w:t>and</w:t>
      </w:r>
      <w:r>
        <w:rPr>
          <w:spacing w:val="-5"/>
        </w:rPr>
        <w:t> </w:t>
      </w:r>
      <w:r>
        <w:rPr/>
        <w:t>Mandaue</w:t>
      </w:r>
      <w:r>
        <w:rPr>
          <w:spacing w:val="-5"/>
        </w:rPr>
        <w:t> </w:t>
      </w:r>
      <w:r>
        <w:rPr/>
        <w:t>Campus:</w:t>
      </w:r>
      <w:r>
        <w:rPr>
          <w:spacing w:val="-5"/>
        </w:rPr>
        <w:t> </w:t>
      </w:r>
      <w:r>
        <w:rPr/>
        <w:t>A</w:t>
      </w:r>
      <w:r>
        <w:rPr>
          <w:spacing w:val="-5"/>
        </w:rPr>
        <w:t> </w:t>
      </w:r>
      <w:r>
        <w:rPr/>
        <w:t>Quantitative</w:t>
      </w:r>
      <w:r>
        <w:rPr>
          <w:spacing w:val="-5"/>
        </w:rPr>
        <w:t> </w:t>
      </w:r>
      <w:r>
        <w:rPr/>
        <w:t>Study</w:t>
      </w:r>
    </w:p>
    <w:p>
      <w:pPr>
        <w:pStyle w:val="BodyText"/>
        <w:spacing w:before="1"/>
        <w:ind w:left="866"/>
        <w:jc w:val="left"/>
        <w:rPr>
          <w:position w:val="1"/>
        </w:rPr>
      </w:pPr>
      <w:r>
        <w:rPr>
          <w:position w:val="1"/>
        </w:rPr>
        <w:drawing>
          <wp:anchor distT="0" distB="0" distL="0" distR="0" allowOverlap="1" layoutInCell="1" locked="0" behindDoc="0" simplePos="0" relativeHeight="15730688">
            <wp:simplePos x="0" y="0"/>
            <wp:positionH relativeFrom="page">
              <wp:posOffset>6611619</wp:posOffset>
            </wp:positionH>
            <wp:positionV relativeFrom="paragraph">
              <wp:posOffset>737</wp:posOffset>
            </wp:positionV>
            <wp:extent cx="152400" cy="152400"/>
            <wp:effectExtent l="0" t="0" r="0" b="0"/>
            <wp:wrapNone/>
            <wp:docPr id="7" name="Image 7">
              <a:hlinkClick r:id="rId8"/>
            </wp:docPr>
            <wp:cNvGraphicFramePr>
              <a:graphicFrameLocks/>
            </wp:cNvGraphicFramePr>
            <a:graphic>
              <a:graphicData uri="http://schemas.openxmlformats.org/drawingml/2006/picture">
                <pic:pic>
                  <pic:nvPicPr>
                    <pic:cNvPr id="7" name="Image 7">
                      <a:hlinkClick r:id="rId8"/>
                    </pic:cNvPr>
                    <pic:cNvPicPr/>
                  </pic:nvPicPr>
                  <pic:blipFill>
                    <a:blip r:embed="rId9" cstate="print"/>
                    <a:stretch>
                      <a:fillRect/>
                    </a:stretch>
                  </pic:blipFill>
                  <pic:spPr>
                    <a:xfrm>
                      <a:off x="0" y="0"/>
                      <a:ext cx="152400" cy="152400"/>
                    </a:xfrm>
                    <a:prstGeom prst="rect">
                      <a:avLst/>
                    </a:prstGeom>
                  </pic:spPr>
                </pic:pic>
              </a:graphicData>
            </a:graphic>
          </wp:anchor>
        </w:drawing>
      </w:r>
      <w:r>
        <w:rPr>
          <w:position w:val="1"/>
        </w:rPr>
        <w:t>Gloria</w:t>
      </w:r>
      <w:r>
        <w:rPr>
          <w:spacing w:val="-3"/>
          <w:position w:val="1"/>
        </w:rPr>
        <w:t> </w:t>
      </w:r>
      <w:r>
        <w:rPr>
          <w:position w:val="1"/>
        </w:rPr>
        <w:t>P.</w:t>
      </w:r>
      <w:r>
        <w:rPr>
          <w:spacing w:val="-1"/>
          <w:position w:val="1"/>
        </w:rPr>
        <w:t> </w:t>
      </w:r>
      <w:r>
        <w:rPr>
          <w:position w:val="1"/>
        </w:rPr>
        <w:t>Deniega¹</w:t>
      </w:r>
      <w:r>
        <w:rPr>
          <w:color w:val="006FC0"/>
          <w:position w:val="1"/>
        </w:rPr>
        <w:t>*</w:t>
      </w:r>
      <w:r>
        <w:rPr>
          <w:color w:val="006FC0"/>
          <w:spacing w:val="-1"/>
        </w:rPr>
        <w:drawing>
          <wp:inline distT="0" distB="0" distL="0" distR="0">
            <wp:extent cx="152400" cy="152400"/>
            <wp:effectExtent l="0" t="0" r="0" b="0"/>
            <wp:docPr id="8" name="Image 8">
              <a:hlinkClick r:id="rId10"/>
            </wp:docPr>
            <wp:cNvGraphicFramePr>
              <a:graphicFrameLocks/>
            </wp:cNvGraphicFramePr>
            <a:graphic>
              <a:graphicData uri="http://schemas.openxmlformats.org/drawingml/2006/picture">
                <pic:pic>
                  <pic:nvPicPr>
                    <pic:cNvPr id="8" name="Image 8">
                      <a:hlinkClick r:id="rId10"/>
                    </pic:cNvPr>
                    <pic:cNvPicPr/>
                  </pic:nvPicPr>
                  <pic:blipFill>
                    <a:blip r:embed="rId9" cstate="print"/>
                    <a:stretch>
                      <a:fillRect/>
                    </a:stretch>
                  </pic:blipFill>
                  <pic:spPr>
                    <a:xfrm>
                      <a:off x="0" y="0"/>
                      <a:ext cx="152400" cy="152400"/>
                    </a:xfrm>
                    <a:prstGeom prst="rect">
                      <a:avLst/>
                    </a:prstGeom>
                  </pic:spPr>
                </pic:pic>
              </a:graphicData>
            </a:graphic>
          </wp:inline>
        </w:drawing>
      </w:r>
      <w:r>
        <w:rPr>
          <w:color w:val="006FC0"/>
          <w:spacing w:val="-1"/>
        </w:rPr>
      </w:r>
      <w:r>
        <w:rPr>
          <w:position w:val="1"/>
        </w:rPr>
        <w:t>,</w:t>
      </w:r>
      <w:r>
        <w:rPr>
          <w:spacing w:val="1"/>
          <w:position w:val="1"/>
        </w:rPr>
        <w:t> </w:t>
      </w:r>
      <w:r>
        <w:rPr>
          <w:position w:val="1"/>
        </w:rPr>
        <w:t>Rafael</w:t>
      </w:r>
      <w:r>
        <w:rPr>
          <w:spacing w:val="-2"/>
          <w:position w:val="1"/>
        </w:rPr>
        <w:t> </w:t>
      </w:r>
      <w:r>
        <w:rPr>
          <w:position w:val="1"/>
        </w:rPr>
        <w:t>M. Bachanicha²</w:t>
      </w:r>
      <w:r>
        <w:rPr>
          <w:spacing w:val="-1"/>
        </w:rPr>
        <w:drawing>
          <wp:inline distT="0" distB="0" distL="0" distR="0">
            <wp:extent cx="152400" cy="152400"/>
            <wp:effectExtent l="0" t="0" r="0" b="0"/>
            <wp:docPr id="9" name="Image 9">
              <a:hlinkClick r:id="rId11"/>
            </wp:docPr>
            <wp:cNvGraphicFramePr>
              <a:graphicFrameLocks/>
            </wp:cNvGraphicFramePr>
            <a:graphic>
              <a:graphicData uri="http://schemas.openxmlformats.org/drawingml/2006/picture">
                <pic:pic>
                  <pic:nvPicPr>
                    <pic:cNvPr id="9" name="Image 9">
                      <a:hlinkClick r:id="rId11"/>
                    </pic:cNvPr>
                    <pic:cNvPicPr/>
                  </pic:nvPicPr>
                  <pic:blipFill>
                    <a:blip r:embed="rId9" cstate="print"/>
                    <a:stretch>
                      <a:fillRect/>
                    </a:stretch>
                  </pic:blipFill>
                  <pic:spPr>
                    <a:xfrm>
                      <a:off x="0" y="0"/>
                      <a:ext cx="152400" cy="152400"/>
                    </a:xfrm>
                    <a:prstGeom prst="rect">
                      <a:avLst/>
                    </a:prstGeom>
                  </pic:spPr>
                </pic:pic>
              </a:graphicData>
            </a:graphic>
          </wp:inline>
        </w:drawing>
      </w:r>
      <w:r>
        <w:rPr>
          <w:spacing w:val="-1"/>
        </w:rPr>
      </w:r>
      <w:r>
        <w:rPr>
          <w:position w:val="1"/>
        </w:rPr>
        <w:t>,</w:t>
      </w:r>
      <w:r>
        <w:rPr>
          <w:spacing w:val="-2"/>
          <w:position w:val="1"/>
        </w:rPr>
        <w:t> </w:t>
      </w:r>
      <w:r>
        <w:rPr>
          <w:position w:val="1"/>
        </w:rPr>
        <w:t>Kingie G.</w:t>
      </w:r>
      <w:r>
        <w:rPr>
          <w:spacing w:val="-3"/>
          <w:position w:val="1"/>
        </w:rPr>
        <w:t> </w:t>
      </w:r>
      <w:r>
        <w:rPr>
          <w:position w:val="1"/>
        </w:rPr>
        <w:t>Micabalo</w:t>
      </w:r>
      <w:r>
        <w:rPr>
          <w:position w:val="1"/>
          <w:vertAlign w:val="superscript"/>
        </w:rPr>
        <w:t>3</w:t>
      </w:r>
      <w:r>
        <w:rPr>
          <w:spacing w:val="-4"/>
          <w:vertAlign w:val="baseline"/>
        </w:rPr>
        <w:drawing>
          <wp:inline distT="0" distB="0" distL="0" distR="0">
            <wp:extent cx="152400" cy="152400"/>
            <wp:effectExtent l="0" t="0" r="0" b="0"/>
            <wp:docPr id="10" name="Image 10">
              <a:hlinkClick r:id="rId12"/>
            </wp:docPr>
            <wp:cNvGraphicFramePr>
              <a:graphicFrameLocks/>
            </wp:cNvGraphicFramePr>
            <a:graphic>
              <a:graphicData uri="http://schemas.openxmlformats.org/drawingml/2006/picture">
                <pic:pic>
                  <pic:nvPicPr>
                    <pic:cNvPr id="10" name="Image 10">
                      <a:hlinkClick r:id="rId12"/>
                    </pic:cNvPr>
                    <pic:cNvPicPr/>
                  </pic:nvPicPr>
                  <pic:blipFill>
                    <a:blip r:embed="rId9" cstate="print"/>
                    <a:stretch>
                      <a:fillRect/>
                    </a:stretch>
                  </pic:blipFill>
                  <pic:spPr>
                    <a:xfrm>
                      <a:off x="0" y="0"/>
                      <a:ext cx="152400" cy="152400"/>
                    </a:xfrm>
                    <a:prstGeom prst="rect">
                      <a:avLst/>
                    </a:prstGeom>
                  </pic:spPr>
                </pic:pic>
              </a:graphicData>
            </a:graphic>
          </wp:inline>
        </w:drawing>
      </w:r>
      <w:r>
        <w:rPr>
          <w:spacing w:val="-4"/>
          <w:vertAlign w:val="baseline"/>
        </w:rPr>
      </w:r>
      <w:r>
        <w:rPr>
          <w:position w:val="1"/>
          <w:vertAlign w:val="baseline"/>
        </w:rPr>
        <w:t>,</w:t>
      </w:r>
      <w:r>
        <w:rPr>
          <w:spacing w:val="-1"/>
          <w:position w:val="1"/>
          <w:vertAlign w:val="baseline"/>
        </w:rPr>
        <w:t> </w:t>
      </w:r>
      <w:r>
        <w:rPr>
          <w:position w:val="1"/>
          <w:vertAlign w:val="baseline"/>
        </w:rPr>
        <w:t>Kimberlaine</w:t>
      </w:r>
      <w:r>
        <w:rPr>
          <w:spacing w:val="-3"/>
          <w:position w:val="1"/>
          <w:vertAlign w:val="baseline"/>
        </w:rPr>
        <w:t> </w:t>
      </w:r>
      <w:r>
        <w:rPr>
          <w:position w:val="1"/>
          <w:vertAlign w:val="baseline"/>
        </w:rPr>
        <w:t>T.</w:t>
      </w:r>
      <w:r>
        <w:rPr>
          <w:spacing w:val="-2"/>
          <w:position w:val="1"/>
          <w:vertAlign w:val="baseline"/>
        </w:rPr>
        <w:t> Endorte</w:t>
      </w:r>
      <w:r>
        <w:rPr>
          <w:spacing w:val="-2"/>
          <w:position w:val="1"/>
          <w:vertAlign w:val="superscript"/>
        </w:rPr>
        <w:t>4</w:t>
      </w:r>
    </w:p>
    <w:p>
      <w:pPr>
        <w:pStyle w:val="BodyText"/>
        <w:spacing w:before="80"/>
        <w:ind w:left="0"/>
        <w:jc w:val="left"/>
      </w:pPr>
    </w:p>
    <w:p>
      <w:pPr>
        <w:pStyle w:val="Heading1"/>
        <w:tabs>
          <w:tab w:pos="6252" w:val="left" w:leader="none"/>
          <w:tab w:pos="10232" w:val="left" w:leader="none"/>
        </w:tabs>
        <w:ind w:left="3472"/>
      </w:pPr>
      <w:r>
        <w:rPr/>
        <mc:AlternateContent>
          <mc:Choice Requires="wps">
            <w:drawing>
              <wp:anchor distT="0" distB="0" distL="0" distR="0" allowOverlap="1" layoutInCell="1" locked="0" behindDoc="0" simplePos="0" relativeHeight="15731200">
                <wp:simplePos x="0" y="0"/>
                <wp:positionH relativeFrom="page">
                  <wp:posOffset>2435225</wp:posOffset>
                </wp:positionH>
                <wp:positionV relativeFrom="paragraph">
                  <wp:posOffset>38478</wp:posOffset>
                </wp:positionV>
                <wp:extent cx="1270" cy="45631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70" cy="4563110"/>
                        </a:xfrm>
                        <a:custGeom>
                          <a:avLst/>
                          <a:gdLst/>
                          <a:ahLst/>
                          <a:cxnLst/>
                          <a:rect l="l" t="t" r="r" b="b"/>
                          <a:pathLst>
                            <a:path w="0" h="4563110">
                              <a:moveTo>
                                <a:pt x="0" y="0"/>
                              </a:moveTo>
                              <a:lnTo>
                                <a:pt x="0" y="4563109"/>
                              </a:lnTo>
                            </a:path>
                          </a:pathLst>
                        </a:custGeom>
                        <a:ln w="19050">
                          <a:solidFill>
                            <a:srgbClr val="BCD6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91.75pt,3.029785pt" to="191.75pt,362.329785pt" stroked="true" strokeweight="1.5pt" strokecolor="#bcd6ed">
                <v:stroke dashstyle="solid"/>
                <w10:wrap type="none"/>
              </v:line>
            </w:pict>
          </mc:Fallback>
        </mc:AlternateContent>
      </w:r>
      <w:r>
        <w:rPr>
          <w:color w:val="000000"/>
          <w:shd w:fill="DEEAF6" w:color="auto" w:val="clear"/>
        </w:rPr>
        <w:tab/>
      </w:r>
      <w:r>
        <w:rPr>
          <w:color w:val="000000"/>
          <w:spacing w:val="-2"/>
          <w:shd w:fill="DEEAF6" w:color="auto" w:val="clear"/>
        </w:rPr>
        <w:t>ABSTRACT</w:t>
      </w:r>
      <w:r>
        <w:rPr>
          <w:color w:val="000000"/>
          <w:shd w:fill="DEEAF6" w:color="auto" w:val="clear"/>
        </w:rPr>
        <w:tab/>
      </w:r>
    </w:p>
    <w:p>
      <w:pPr>
        <w:spacing w:line="218" w:lineRule="exact" w:before="41"/>
        <w:ind w:left="671" w:right="0" w:firstLine="0"/>
        <w:jc w:val="left"/>
        <w:rPr>
          <w:sz w:val="18"/>
        </w:rPr>
      </w:pPr>
      <w:r>
        <w:rPr>
          <w:sz w:val="18"/>
        </w:rPr>
        <mc:AlternateContent>
          <mc:Choice Requires="wps">
            <w:drawing>
              <wp:anchor distT="0" distB="0" distL="0" distR="0" allowOverlap="1" layoutInCell="1" locked="0" behindDoc="0" simplePos="0" relativeHeight="15731712">
                <wp:simplePos x="0" y="0"/>
                <wp:positionH relativeFrom="page">
                  <wp:posOffset>2662301</wp:posOffset>
                </wp:positionH>
                <wp:positionV relativeFrom="paragraph">
                  <wp:posOffset>114945</wp:posOffset>
                </wp:positionV>
                <wp:extent cx="4292600" cy="37712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292600" cy="3771265"/>
                        </a:xfrm>
                        <a:prstGeom prst="rect">
                          <a:avLst/>
                        </a:prstGeom>
                        <a:solidFill>
                          <a:srgbClr val="DEEAF6"/>
                        </a:solidFill>
                      </wps:spPr>
                      <wps:txbx>
                        <w:txbxContent>
                          <w:p>
                            <w:pPr>
                              <w:pStyle w:val="BodyText"/>
                              <w:spacing w:before="112"/>
                              <w:ind w:left="30" w:right="26" w:firstLine="720"/>
                              <w:rPr>
                                <w:color w:val="000000"/>
                              </w:rPr>
                            </w:pPr>
                            <w:r>
                              <w:rPr>
                                <w:color w:val="000000"/>
                              </w:rPr>
                              <w:t>Student satisfaction has become a vital measure of educational effectiveness,</w:t>
                            </w:r>
                            <w:r>
                              <w:rPr>
                                <w:color w:val="000000"/>
                                <w:spacing w:val="-5"/>
                              </w:rPr>
                              <w:t> </w:t>
                            </w:r>
                            <w:r>
                              <w:rPr>
                                <w:color w:val="000000"/>
                              </w:rPr>
                              <w:t>particularly</w:t>
                            </w:r>
                            <w:r>
                              <w:rPr>
                                <w:color w:val="000000"/>
                                <w:spacing w:val="-9"/>
                              </w:rPr>
                              <w:t> </w:t>
                            </w:r>
                            <w:r>
                              <w:rPr>
                                <w:color w:val="000000"/>
                              </w:rPr>
                              <w:t>in</w:t>
                            </w:r>
                            <w:r>
                              <w:rPr>
                                <w:color w:val="000000"/>
                                <w:spacing w:val="-4"/>
                              </w:rPr>
                              <w:t> </w:t>
                            </w:r>
                            <w:r>
                              <w:rPr>
                                <w:color w:val="000000"/>
                              </w:rPr>
                              <w:t>Junior</w:t>
                            </w:r>
                            <w:r>
                              <w:rPr>
                                <w:color w:val="000000"/>
                                <w:spacing w:val="-3"/>
                              </w:rPr>
                              <w:t> </w:t>
                            </w:r>
                            <w:r>
                              <w:rPr>
                                <w:color w:val="000000"/>
                              </w:rPr>
                              <w:t>High</w:t>
                            </w:r>
                            <w:r>
                              <w:rPr>
                                <w:color w:val="000000"/>
                                <w:spacing w:val="-6"/>
                              </w:rPr>
                              <w:t> </w:t>
                            </w:r>
                            <w:r>
                              <w:rPr>
                                <w:color w:val="000000"/>
                              </w:rPr>
                              <w:t>School,</w:t>
                            </w:r>
                            <w:r>
                              <w:rPr>
                                <w:color w:val="000000"/>
                                <w:spacing w:val="-3"/>
                              </w:rPr>
                              <w:t> </w:t>
                            </w:r>
                            <w:r>
                              <w:rPr>
                                <w:color w:val="000000"/>
                              </w:rPr>
                              <w:t>where</w:t>
                            </w:r>
                            <w:r>
                              <w:rPr>
                                <w:color w:val="000000"/>
                                <w:spacing w:val="-3"/>
                              </w:rPr>
                              <w:t> </w:t>
                            </w:r>
                            <w:r>
                              <w:rPr>
                                <w:color w:val="000000"/>
                              </w:rPr>
                              <w:t>students</w:t>
                            </w:r>
                            <w:r>
                              <w:rPr>
                                <w:color w:val="000000"/>
                                <w:spacing w:val="-5"/>
                              </w:rPr>
                              <w:t> </w:t>
                            </w:r>
                            <w:r>
                              <w:rPr>
                                <w:color w:val="000000"/>
                              </w:rPr>
                              <w:t>experience significant</w:t>
                            </w:r>
                            <w:r>
                              <w:rPr>
                                <w:color w:val="000000"/>
                                <w:spacing w:val="-9"/>
                              </w:rPr>
                              <w:t> </w:t>
                            </w:r>
                            <w:r>
                              <w:rPr>
                                <w:color w:val="000000"/>
                              </w:rPr>
                              <w:t>academic,</w:t>
                            </w:r>
                            <w:r>
                              <w:rPr>
                                <w:color w:val="000000"/>
                                <w:spacing w:val="-8"/>
                              </w:rPr>
                              <w:t> </w:t>
                            </w:r>
                            <w:r>
                              <w:rPr>
                                <w:color w:val="000000"/>
                              </w:rPr>
                              <w:t>social,</w:t>
                            </w:r>
                            <w:r>
                              <w:rPr>
                                <w:color w:val="000000"/>
                                <w:spacing w:val="-9"/>
                              </w:rPr>
                              <w:t> </w:t>
                            </w:r>
                            <w:r>
                              <w:rPr>
                                <w:color w:val="000000"/>
                              </w:rPr>
                              <w:t>and</w:t>
                            </w:r>
                            <w:r>
                              <w:rPr>
                                <w:color w:val="000000"/>
                                <w:spacing w:val="-9"/>
                              </w:rPr>
                              <w:t> </w:t>
                            </w:r>
                            <w:r>
                              <w:rPr>
                                <w:color w:val="000000"/>
                              </w:rPr>
                              <w:t>personal</w:t>
                            </w:r>
                            <w:r>
                              <w:rPr>
                                <w:color w:val="000000"/>
                                <w:spacing w:val="-9"/>
                              </w:rPr>
                              <w:t> </w:t>
                            </w:r>
                            <w:r>
                              <w:rPr>
                                <w:color w:val="000000"/>
                              </w:rPr>
                              <w:t>development.</w:t>
                            </w:r>
                            <w:r>
                              <w:rPr>
                                <w:color w:val="000000"/>
                                <w:spacing w:val="-9"/>
                              </w:rPr>
                              <w:t> </w:t>
                            </w:r>
                            <w:r>
                              <w:rPr>
                                <w:color w:val="000000"/>
                              </w:rPr>
                              <w:t>Understanding</w:t>
                            </w:r>
                            <w:r>
                              <w:rPr>
                                <w:color w:val="000000"/>
                                <w:spacing w:val="-9"/>
                              </w:rPr>
                              <w:t> </w:t>
                            </w:r>
                            <w:r>
                              <w:rPr>
                                <w:color w:val="000000"/>
                              </w:rPr>
                              <w:t>their level of satisfaction provides institutions with valuable insights into how effectively they are meeting the needs of learners in key areas, including instruction, curriculum, school environment, facilities, and student support services. The primary objective of this study was to assess the level of satisfaction among junior high school students at UCLM and to identify</w:t>
                            </w:r>
                            <w:r>
                              <w:rPr>
                                <w:color w:val="000000"/>
                                <w:spacing w:val="-6"/>
                              </w:rPr>
                              <w:t> </w:t>
                            </w:r>
                            <w:r>
                              <w:rPr>
                                <w:color w:val="000000"/>
                              </w:rPr>
                              <w:t>the significant predictors that influence their satisfaction. Using a quantitative research design, the study employed survey questionnaires administered to 499</w:t>
                            </w:r>
                            <w:r>
                              <w:rPr>
                                <w:color w:val="000000"/>
                                <w:spacing w:val="-5"/>
                              </w:rPr>
                              <w:t> </w:t>
                            </w:r>
                            <w:r>
                              <w:rPr>
                                <w:color w:val="000000"/>
                              </w:rPr>
                              <w:t>students</w:t>
                            </w:r>
                            <w:r>
                              <w:rPr>
                                <w:color w:val="000000"/>
                                <w:spacing w:val="-6"/>
                              </w:rPr>
                              <w:t> </w:t>
                            </w:r>
                            <w:r>
                              <w:rPr>
                                <w:color w:val="000000"/>
                              </w:rPr>
                              <w:t>selected</w:t>
                            </w:r>
                            <w:r>
                              <w:rPr>
                                <w:color w:val="000000"/>
                                <w:spacing w:val="-6"/>
                              </w:rPr>
                              <w:t> </w:t>
                            </w:r>
                            <w:r>
                              <w:rPr>
                                <w:color w:val="000000"/>
                              </w:rPr>
                              <w:t>through</w:t>
                            </w:r>
                            <w:r>
                              <w:rPr>
                                <w:color w:val="000000"/>
                                <w:spacing w:val="-5"/>
                              </w:rPr>
                              <w:t> </w:t>
                            </w:r>
                            <w:r>
                              <w:rPr>
                                <w:color w:val="000000"/>
                              </w:rPr>
                              <w:t>stratified</w:t>
                            </w:r>
                            <w:r>
                              <w:rPr>
                                <w:color w:val="000000"/>
                                <w:spacing w:val="-6"/>
                              </w:rPr>
                              <w:t> </w:t>
                            </w:r>
                            <w:r>
                              <w:rPr>
                                <w:color w:val="000000"/>
                              </w:rPr>
                              <w:t>random</w:t>
                            </w:r>
                            <w:r>
                              <w:rPr>
                                <w:color w:val="000000"/>
                                <w:spacing w:val="-8"/>
                              </w:rPr>
                              <w:t> </w:t>
                            </w:r>
                            <w:r>
                              <w:rPr>
                                <w:color w:val="000000"/>
                              </w:rPr>
                              <w:t>sampling.</w:t>
                            </w:r>
                            <w:r>
                              <w:rPr>
                                <w:color w:val="000000"/>
                                <w:spacing w:val="-4"/>
                              </w:rPr>
                              <w:t> </w:t>
                            </w:r>
                            <w:r>
                              <w:rPr>
                                <w:color w:val="000000"/>
                              </w:rPr>
                              <w:t>Simple</w:t>
                            </w:r>
                            <w:r>
                              <w:rPr>
                                <w:color w:val="000000"/>
                                <w:spacing w:val="-4"/>
                              </w:rPr>
                              <w:t> </w:t>
                            </w:r>
                            <w:r>
                              <w:rPr>
                                <w:color w:val="000000"/>
                              </w:rPr>
                              <w:t>frequency and percentage, weighted mean, Chi-square test of independence, and multiple regression analysis were used to analyze the data. The findings revealed that students expressed high satisfaction in areas such as teacher quality and the delivery of instruction. In contrast, relatively lower satisfaction was noted in aspects of school facilities and the learning environment. Findings further revealed that teacher quality, curriculum workload, learning environment, school facilities, and student support services were significant predictors of student satisfaction. This study concluded that focusing on these dimensions can enhance the overall educational experience of Junior High School students. It emphasizes the importance of holistic institutional development to foster student engagement, motivation, and preparedness for higher levels of education.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9.630005pt;margin-top:9.050859pt;width:338pt;height:296.95pt;mso-position-horizontal-relative:page;mso-position-vertical-relative:paragraph;z-index:15731712" type="#_x0000_t202" id="docshape4" filled="true" fillcolor="#deeaf6" stroked="false">
                <v:textbox inset="0,0,0,0">
                  <w:txbxContent>
                    <w:p>
                      <w:pPr>
                        <w:pStyle w:val="BodyText"/>
                        <w:spacing w:before="112"/>
                        <w:ind w:left="30" w:right="26" w:firstLine="720"/>
                        <w:rPr>
                          <w:color w:val="000000"/>
                        </w:rPr>
                      </w:pPr>
                      <w:r>
                        <w:rPr>
                          <w:color w:val="000000"/>
                        </w:rPr>
                        <w:t>Student satisfaction has become a vital measure of educational effectiveness,</w:t>
                      </w:r>
                      <w:r>
                        <w:rPr>
                          <w:color w:val="000000"/>
                          <w:spacing w:val="-5"/>
                        </w:rPr>
                        <w:t> </w:t>
                      </w:r>
                      <w:r>
                        <w:rPr>
                          <w:color w:val="000000"/>
                        </w:rPr>
                        <w:t>particularly</w:t>
                      </w:r>
                      <w:r>
                        <w:rPr>
                          <w:color w:val="000000"/>
                          <w:spacing w:val="-9"/>
                        </w:rPr>
                        <w:t> </w:t>
                      </w:r>
                      <w:r>
                        <w:rPr>
                          <w:color w:val="000000"/>
                        </w:rPr>
                        <w:t>in</w:t>
                      </w:r>
                      <w:r>
                        <w:rPr>
                          <w:color w:val="000000"/>
                          <w:spacing w:val="-4"/>
                        </w:rPr>
                        <w:t> </w:t>
                      </w:r>
                      <w:r>
                        <w:rPr>
                          <w:color w:val="000000"/>
                        </w:rPr>
                        <w:t>Junior</w:t>
                      </w:r>
                      <w:r>
                        <w:rPr>
                          <w:color w:val="000000"/>
                          <w:spacing w:val="-3"/>
                        </w:rPr>
                        <w:t> </w:t>
                      </w:r>
                      <w:r>
                        <w:rPr>
                          <w:color w:val="000000"/>
                        </w:rPr>
                        <w:t>High</w:t>
                      </w:r>
                      <w:r>
                        <w:rPr>
                          <w:color w:val="000000"/>
                          <w:spacing w:val="-6"/>
                        </w:rPr>
                        <w:t> </w:t>
                      </w:r>
                      <w:r>
                        <w:rPr>
                          <w:color w:val="000000"/>
                        </w:rPr>
                        <w:t>School,</w:t>
                      </w:r>
                      <w:r>
                        <w:rPr>
                          <w:color w:val="000000"/>
                          <w:spacing w:val="-3"/>
                        </w:rPr>
                        <w:t> </w:t>
                      </w:r>
                      <w:r>
                        <w:rPr>
                          <w:color w:val="000000"/>
                        </w:rPr>
                        <w:t>where</w:t>
                      </w:r>
                      <w:r>
                        <w:rPr>
                          <w:color w:val="000000"/>
                          <w:spacing w:val="-3"/>
                        </w:rPr>
                        <w:t> </w:t>
                      </w:r>
                      <w:r>
                        <w:rPr>
                          <w:color w:val="000000"/>
                        </w:rPr>
                        <w:t>students</w:t>
                      </w:r>
                      <w:r>
                        <w:rPr>
                          <w:color w:val="000000"/>
                          <w:spacing w:val="-5"/>
                        </w:rPr>
                        <w:t> </w:t>
                      </w:r>
                      <w:r>
                        <w:rPr>
                          <w:color w:val="000000"/>
                        </w:rPr>
                        <w:t>experience significant</w:t>
                      </w:r>
                      <w:r>
                        <w:rPr>
                          <w:color w:val="000000"/>
                          <w:spacing w:val="-9"/>
                        </w:rPr>
                        <w:t> </w:t>
                      </w:r>
                      <w:r>
                        <w:rPr>
                          <w:color w:val="000000"/>
                        </w:rPr>
                        <w:t>academic,</w:t>
                      </w:r>
                      <w:r>
                        <w:rPr>
                          <w:color w:val="000000"/>
                          <w:spacing w:val="-8"/>
                        </w:rPr>
                        <w:t> </w:t>
                      </w:r>
                      <w:r>
                        <w:rPr>
                          <w:color w:val="000000"/>
                        </w:rPr>
                        <w:t>social,</w:t>
                      </w:r>
                      <w:r>
                        <w:rPr>
                          <w:color w:val="000000"/>
                          <w:spacing w:val="-9"/>
                        </w:rPr>
                        <w:t> </w:t>
                      </w:r>
                      <w:r>
                        <w:rPr>
                          <w:color w:val="000000"/>
                        </w:rPr>
                        <w:t>and</w:t>
                      </w:r>
                      <w:r>
                        <w:rPr>
                          <w:color w:val="000000"/>
                          <w:spacing w:val="-9"/>
                        </w:rPr>
                        <w:t> </w:t>
                      </w:r>
                      <w:r>
                        <w:rPr>
                          <w:color w:val="000000"/>
                        </w:rPr>
                        <w:t>personal</w:t>
                      </w:r>
                      <w:r>
                        <w:rPr>
                          <w:color w:val="000000"/>
                          <w:spacing w:val="-9"/>
                        </w:rPr>
                        <w:t> </w:t>
                      </w:r>
                      <w:r>
                        <w:rPr>
                          <w:color w:val="000000"/>
                        </w:rPr>
                        <w:t>development.</w:t>
                      </w:r>
                      <w:r>
                        <w:rPr>
                          <w:color w:val="000000"/>
                          <w:spacing w:val="-9"/>
                        </w:rPr>
                        <w:t> </w:t>
                      </w:r>
                      <w:r>
                        <w:rPr>
                          <w:color w:val="000000"/>
                        </w:rPr>
                        <w:t>Understanding</w:t>
                      </w:r>
                      <w:r>
                        <w:rPr>
                          <w:color w:val="000000"/>
                          <w:spacing w:val="-9"/>
                        </w:rPr>
                        <w:t> </w:t>
                      </w:r>
                      <w:r>
                        <w:rPr>
                          <w:color w:val="000000"/>
                        </w:rPr>
                        <w:t>their level of satisfaction provides institutions with valuable insights into how effectively they are meeting the needs of learners in key areas, including instruction, curriculum, school environment, facilities, and student support services. The primary objective of this study was to assess the level of satisfaction among junior high school students at UCLM and to identify</w:t>
                      </w:r>
                      <w:r>
                        <w:rPr>
                          <w:color w:val="000000"/>
                          <w:spacing w:val="-6"/>
                        </w:rPr>
                        <w:t> </w:t>
                      </w:r>
                      <w:r>
                        <w:rPr>
                          <w:color w:val="000000"/>
                        </w:rPr>
                        <w:t>the significant predictors that influence their satisfaction. Using a quantitative research design, the study employed survey questionnaires administered to 499</w:t>
                      </w:r>
                      <w:r>
                        <w:rPr>
                          <w:color w:val="000000"/>
                          <w:spacing w:val="-5"/>
                        </w:rPr>
                        <w:t> </w:t>
                      </w:r>
                      <w:r>
                        <w:rPr>
                          <w:color w:val="000000"/>
                        </w:rPr>
                        <w:t>students</w:t>
                      </w:r>
                      <w:r>
                        <w:rPr>
                          <w:color w:val="000000"/>
                          <w:spacing w:val="-6"/>
                        </w:rPr>
                        <w:t> </w:t>
                      </w:r>
                      <w:r>
                        <w:rPr>
                          <w:color w:val="000000"/>
                        </w:rPr>
                        <w:t>selected</w:t>
                      </w:r>
                      <w:r>
                        <w:rPr>
                          <w:color w:val="000000"/>
                          <w:spacing w:val="-6"/>
                        </w:rPr>
                        <w:t> </w:t>
                      </w:r>
                      <w:r>
                        <w:rPr>
                          <w:color w:val="000000"/>
                        </w:rPr>
                        <w:t>through</w:t>
                      </w:r>
                      <w:r>
                        <w:rPr>
                          <w:color w:val="000000"/>
                          <w:spacing w:val="-5"/>
                        </w:rPr>
                        <w:t> </w:t>
                      </w:r>
                      <w:r>
                        <w:rPr>
                          <w:color w:val="000000"/>
                        </w:rPr>
                        <w:t>stratified</w:t>
                      </w:r>
                      <w:r>
                        <w:rPr>
                          <w:color w:val="000000"/>
                          <w:spacing w:val="-6"/>
                        </w:rPr>
                        <w:t> </w:t>
                      </w:r>
                      <w:r>
                        <w:rPr>
                          <w:color w:val="000000"/>
                        </w:rPr>
                        <w:t>random</w:t>
                      </w:r>
                      <w:r>
                        <w:rPr>
                          <w:color w:val="000000"/>
                          <w:spacing w:val="-8"/>
                        </w:rPr>
                        <w:t> </w:t>
                      </w:r>
                      <w:r>
                        <w:rPr>
                          <w:color w:val="000000"/>
                        </w:rPr>
                        <w:t>sampling.</w:t>
                      </w:r>
                      <w:r>
                        <w:rPr>
                          <w:color w:val="000000"/>
                          <w:spacing w:val="-4"/>
                        </w:rPr>
                        <w:t> </w:t>
                      </w:r>
                      <w:r>
                        <w:rPr>
                          <w:color w:val="000000"/>
                        </w:rPr>
                        <w:t>Simple</w:t>
                      </w:r>
                      <w:r>
                        <w:rPr>
                          <w:color w:val="000000"/>
                          <w:spacing w:val="-4"/>
                        </w:rPr>
                        <w:t> </w:t>
                      </w:r>
                      <w:r>
                        <w:rPr>
                          <w:color w:val="000000"/>
                        </w:rPr>
                        <w:t>frequency and percentage, weighted mean, Chi-square test of independence, and multiple regression analysis were used to analyze the data. The findings revealed that students expressed high satisfaction in areas such as teacher quality and the delivery of instruction. In contrast, relatively lower satisfaction was noted in aspects of school facilities and the learning environment. Findings further revealed that teacher quality, curriculum workload, learning environment, school facilities, and student support services were significant predictors of student satisfaction. This study concluded that focusing on these dimensions can enhance the overall educational experience of Junior High School students. It emphasizes the importance of holistic institutional development to foster student engagement, motivation, and preparedness for higher levels of education.</w:t>
                      </w:r>
                    </w:p>
                  </w:txbxContent>
                </v:textbox>
                <v:fill type="solid"/>
                <w10:wrap type="none"/>
              </v:shape>
            </w:pict>
          </mc:Fallback>
        </mc:AlternateContent>
      </w:r>
      <w:hyperlink r:id="rId13">
        <w:r>
          <w:rPr>
            <w:rFonts w:ascii="Calibri"/>
            <w:spacing w:val="-2"/>
            <w:sz w:val="18"/>
            <w:vertAlign w:val="superscript"/>
          </w:rPr>
          <w:t>1</w:t>
        </w:r>
        <w:r>
          <w:rPr>
            <w:spacing w:val="-2"/>
            <w:sz w:val="18"/>
            <w:vertAlign w:val="baseline"/>
          </w:rPr>
          <w:t>gdeniega@uc.edu.ph</w:t>
        </w:r>
      </w:hyperlink>
    </w:p>
    <w:p>
      <w:pPr>
        <w:spacing w:line="240" w:lineRule="auto" w:before="0"/>
        <w:ind w:left="671" w:right="7398" w:firstLine="0"/>
        <w:jc w:val="left"/>
        <w:rPr>
          <w:sz w:val="18"/>
        </w:rPr>
      </w:pPr>
      <w:r>
        <w:rPr>
          <w:sz w:val="18"/>
        </w:rPr>
        <w:t>University</w:t>
      </w:r>
      <w:r>
        <w:rPr>
          <w:spacing w:val="-12"/>
          <w:sz w:val="18"/>
        </w:rPr>
        <w:t> </w:t>
      </w:r>
      <w:r>
        <w:rPr>
          <w:sz w:val="18"/>
        </w:rPr>
        <w:t>of</w:t>
      </w:r>
      <w:r>
        <w:rPr>
          <w:spacing w:val="-11"/>
          <w:sz w:val="18"/>
        </w:rPr>
        <w:t> </w:t>
      </w:r>
      <w:r>
        <w:rPr>
          <w:sz w:val="18"/>
        </w:rPr>
        <w:t>Cebu</w:t>
      </w:r>
      <w:r>
        <w:rPr>
          <w:spacing w:val="-11"/>
          <w:sz w:val="18"/>
        </w:rPr>
        <w:t> </w:t>
      </w:r>
      <w:r>
        <w:rPr>
          <w:sz w:val="18"/>
        </w:rPr>
        <w:t>Lapu-</w:t>
      </w:r>
      <w:r>
        <w:rPr>
          <w:sz w:val="18"/>
        </w:rPr>
        <w:t>lapu and Mandaue</w:t>
      </w:r>
    </w:p>
    <w:p>
      <w:pPr>
        <w:pStyle w:val="BodyText"/>
        <w:spacing w:before="4"/>
        <w:ind w:left="0"/>
        <w:jc w:val="left"/>
        <w:rPr>
          <w:sz w:val="18"/>
        </w:rPr>
      </w:pPr>
    </w:p>
    <w:p>
      <w:pPr>
        <w:spacing w:line="218" w:lineRule="exact" w:before="0"/>
        <w:ind w:left="671" w:right="0" w:firstLine="0"/>
        <w:jc w:val="left"/>
        <w:rPr>
          <w:sz w:val="18"/>
        </w:rPr>
      </w:pPr>
      <w:hyperlink r:id="rId14">
        <w:r>
          <w:rPr>
            <w:rFonts w:ascii="Calibri"/>
            <w:spacing w:val="-2"/>
            <w:sz w:val="18"/>
            <w:vertAlign w:val="superscript"/>
          </w:rPr>
          <w:t>2</w:t>
        </w:r>
        <w:r>
          <w:rPr>
            <w:spacing w:val="-2"/>
            <w:sz w:val="18"/>
            <w:vertAlign w:val="baseline"/>
          </w:rPr>
          <w:t>rbachanicha@uc.edu.ph</w:t>
        </w:r>
      </w:hyperlink>
    </w:p>
    <w:p>
      <w:pPr>
        <w:spacing w:line="237" w:lineRule="auto" w:before="0"/>
        <w:ind w:left="671" w:right="7398" w:firstLine="0"/>
        <w:jc w:val="left"/>
        <w:rPr>
          <w:sz w:val="18"/>
        </w:rPr>
      </w:pPr>
      <w:r>
        <w:rPr>
          <w:sz w:val="18"/>
        </w:rPr>
        <w:t>University</w:t>
      </w:r>
      <w:r>
        <w:rPr>
          <w:spacing w:val="-12"/>
          <w:sz w:val="18"/>
        </w:rPr>
        <w:t> </w:t>
      </w:r>
      <w:r>
        <w:rPr>
          <w:sz w:val="18"/>
        </w:rPr>
        <w:t>of</w:t>
      </w:r>
      <w:r>
        <w:rPr>
          <w:spacing w:val="-11"/>
          <w:sz w:val="18"/>
        </w:rPr>
        <w:t> </w:t>
      </w:r>
      <w:r>
        <w:rPr>
          <w:sz w:val="18"/>
        </w:rPr>
        <w:t>Cebu</w:t>
      </w:r>
      <w:r>
        <w:rPr>
          <w:spacing w:val="-11"/>
          <w:sz w:val="18"/>
        </w:rPr>
        <w:t> </w:t>
      </w:r>
      <w:r>
        <w:rPr>
          <w:sz w:val="18"/>
        </w:rPr>
        <w:t>Lapu-lapu and Mandaue</w:t>
      </w:r>
    </w:p>
    <w:p>
      <w:pPr>
        <w:pStyle w:val="BodyText"/>
        <w:spacing w:before="5"/>
        <w:ind w:left="0"/>
        <w:jc w:val="left"/>
        <w:rPr>
          <w:sz w:val="18"/>
        </w:rPr>
      </w:pPr>
    </w:p>
    <w:p>
      <w:pPr>
        <w:spacing w:line="218" w:lineRule="exact" w:before="0"/>
        <w:ind w:left="671" w:right="0" w:firstLine="0"/>
        <w:jc w:val="left"/>
        <w:rPr>
          <w:sz w:val="18"/>
        </w:rPr>
      </w:pPr>
      <w:hyperlink r:id="rId15">
        <w:r>
          <w:rPr>
            <w:rFonts w:ascii="Calibri"/>
            <w:spacing w:val="-2"/>
            <w:sz w:val="18"/>
            <w:vertAlign w:val="superscript"/>
          </w:rPr>
          <w:t>3</w:t>
        </w:r>
        <w:r>
          <w:rPr>
            <w:spacing w:val="-2"/>
            <w:sz w:val="18"/>
            <w:vertAlign w:val="baseline"/>
          </w:rPr>
          <w:t>kmicabalo@uc.edu.ph</w:t>
        </w:r>
      </w:hyperlink>
    </w:p>
    <w:p>
      <w:pPr>
        <w:spacing w:line="240" w:lineRule="auto" w:before="0"/>
        <w:ind w:left="671" w:right="7398" w:firstLine="0"/>
        <w:jc w:val="left"/>
        <w:rPr>
          <w:sz w:val="18"/>
        </w:rPr>
      </w:pPr>
      <w:r>
        <w:rPr>
          <w:sz w:val="18"/>
        </w:rPr>
        <w:t>University</w:t>
      </w:r>
      <w:r>
        <w:rPr>
          <w:spacing w:val="-12"/>
          <w:sz w:val="18"/>
        </w:rPr>
        <w:t> </w:t>
      </w:r>
      <w:r>
        <w:rPr>
          <w:sz w:val="18"/>
        </w:rPr>
        <w:t>of</w:t>
      </w:r>
      <w:r>
        <w:rPr>
          <w:spacing w:val="-11"/>
          <w:sz w:val="18"/>
        </w:rPr>
        <w:t> </w:t>
      </w:r>
      <w:r>
        <w:rPr>
          <w:sz w:val="18"/>
        </w:rPr>
        <w:t>Cebu</w:t>
      </w:r>
      <w:r>
        <w:rPr>
          <w:spacing w:val="-11"/>
          <w:sz w:val="18"/>
        </w:rPr>
        <w:t> </w:t>
      </w:r>
      <w:r>
        <w:rPr>
          <w:sz w:val="18"/>
        </w:rPr>
        <w:t>Lapu-lapu and Mandaue</w:t>
      </w:r>
    </w:p>
    <w:p>
      <w:pPr>
        <w:spacing w:line="210" w:lineRule="exact" w:before="203"/>
        <w:ind w:left="671" w:right="0" w:firstLine="0"/>
        <w:jc w:val="left"/>
        <w:rPr>
          <w:sz w:val="18"/>
        </w:rPr>
      </w:pPr>
      <w:hyperlink r:id="rId16">
        <w:r>
          <w:rPr>
            <w:spacing w:val="-2"/>
            <w:position w:val="6"/>
            <w:sz w:val="12"/>
          </w:rPr>
          <w:t>4</w:t>
        </w:r>
        <w:r>
          <w:rPr>
            <w:spacing w:val="-2"/>
            <w:sz w:val="18"/>
          </w:rPr>
          <w:t>kendorte@uc.edu.ph</w:t>
        </w:r>
      </w:hyperlink>
    </w:p>
    <w:p>
      <w:pPr>
        <w:spacing w:before="0"/>
        <w:ind w:left="671" w:right="7398" w:firstLine="0"/>
        <w:jc w:val="left"/>
        <w:rPr>
          <w:sz w:val="18"/>
        </w:rPr>
      </w:pPr>
      <w:r>
        <w:rPr>
          <w:sz w:val="18"/>
        </w:rPr>
        <w:t>University</w:t>
      </w:r>
      <w:r>
        <w:rPr>
          <w:spacing w:val="-12"/>
          <w:sz w:val="18"/>
        </w:rPr>
        <w:t> </w:t>
      </w:r>
      <w:r>
        <w:rPr>
          <w:sz w:val="18"/>
        </w:rPr>
        <w:t>of</w:t>
      </w:r>
      <w:r>
        <w:rPr>
          <w:spacing w:val="-11"/>
          <w:sz w:val="18"/>
        </w:rPr>
        <w:t> </w:t>
      </w:r>
      <w:r>
        <w:rPr>
          <w:sz w:val="18"/>
        </w:rPr>
        <w:t>Cebu</w:t>
      </w:r>
      <w:r>
        <w:rPr>
          <w:spacing w:val="-11"/>
          <w:sz w:val="18"/>
        </w:rPr>
        <w:t> </w:t>
      </w:r>
      <w:r>
        <w:rPr>
          <w:sz w:val="18"/>
        </w:rPr>
        <w:t>Lapu-lapu and Mandaue</w:t>
      </w:r>
    </w:p>
    <w:p>
      <w:pPr>
        <w:spacing w:before="205"/>
        <w:ind w:left="671" w:right="0" w:firstLine="0"/>
        <w:jc w:val="left"/>
        <w:rPr>
          <w:sz w:val="18"/>
        </w:rPr>
      </w:pPr>
      <w:r>
        <w:rPr>
          <w:color w:val="006FC0"/>
          <w:spacing w:val="-2"/>
          <w:sz w:val="18"/>
        </w:rPr>
        <w:t>*Correspondence</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22"/>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2662301</wp:posOffset>
                </wp:positionH>
                <wp:positionV relativeFrom="paragraph">
                  <wp:posOffset>175570</wp:posOffset>
                </wp:positionV>
                <wp:extent cx="4292600" cy="34671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4292600" cy="346710"/>
                        </a:xfrm>
                        <a:prstGeom prst="rect">
                          <a:avLst/>
                        </a:prstGeom>
                        <a:solidFill>
                          <a:srgbClr val="DEEAF6"/>
                        </a:solidFill>
                      </wps:spPr>
                      <wps:txbx>
                        <w:txbxContent>
                          <w:p>
                            <w:pPr>
                              <w:spacing w:line="259" w:lineRule="auto" w:before="0"/>
                              <w:ind w:left="30" w:right="0" w:firstLine="0"/>
                              <w:jc w:val="left"/>
                              <w:rPr>
                                <w:i/>
                                <w:color w:val="000000"/>
                                <w:sz w:val="22"/>
                              </w:rPr>
                            </w:pPr>
                            <w:r>
                              <w:rPr>
                                <w:b/>
                                <w:color w:val="000000"/>
                                <w:sz w:val="22"/>
                              </w:rPr>
                              <w:t>Keywords:</w:t>
                            </w:r>
                            <w:r>
                              <w:rPr>
                                <w:b/>
                                <w:color w:val="000000"/>
                                <w:spacing w:val="80"/>
                                <w:sz w:val="22"/>
                              </w:rPr>
                              <w:t> </w:t>
                            </w:r>
                            <w:r>
                              <w:rPr>
                                <w:i/>
                                <w:color w:val="000000"/>
                                <w:sz w:val="22"/>
                              </w:rPr>
                              <w:t>Customer</w:t>
                            </w:r>
                            <w:r>
                              <w:rPr>
                                <w:i/>
                                <w:color w:val="000000"/>
                                <w:spacing w:val="80"/>
                                <w:sz w:val="22"/>
                              </w:rPr>
                              <w:t> </w:t>
                            </w:r>
                            <w:r>
                              <w:rPr>
                                <w:i/>
                                <w:color w:val="000000"/>
                                <w:sz w:val="22"/>
                              </w:rPr>
                              <w:t>satisfaction,</w:t>
                            </w:r>
                            <w:r>
                              <w:rPr>
                                <w:i/>
                                <w:color w:val="000000"/>
                                <w:spacing w:val="80"/>
                                <w:sz w:val="22"/>
                              </w:rPr>
                              <w:t> </w:t>
                            </w:r>
                            <w:r>
                              <w:rPr>
                                <w:i/>
                                <w:color w:val="000000"/>
                                <w:sz w:val="22"/>
                              </w:rPr>
                              <w:t>junior</w:t>
                            </w:r>
                            <w:r>
                              <w:rPr>
                                <w:i/>
                                <w:color w:val="000000"/>
                                <w:spacing w:val="80"/>
                                <w:sz w:val="22"/>
                              </w:rPr>
                              <w:t> </w:t>
                            </w:r>
                            <w:r>
                              <w:rPr>
                                <w:i/>
                                <w:color w:val="000000"/>
                                <w:sz w:val="22"/>
                              </w:rPr>
                              <w:t>high,</w:t>
                            </w:r>
                            <w:r>
                              <w:rPr>
                                <w:i/>
                                <w:color w:val="000000"/>
                                <w:spacing w:val="80"/>
                                <w:sz w:val="22"/>
                              </w:rPr>
                              <w:t> </w:t>
                            </w:r>
                            <w:r>
                              <w:rPr>
                                <w:i/>
                                <w:color w:val="000000"/>
                                <w:sz w:val="22"/>
                              </w:rPr>
                              <w:t>student</w:t>
                            </w:r>
                            <w:r>
                              <w:rPr>
                                <w:i/>
                                <w:color w:val="000000"/>
                                <w:spacing w:val="80"/>
                                <w:sz w:val="22"/>
                              </w:rPr>
                              <w:t> </w:t>
                            </w:r>
                            <w:r>
                              <w:rPr>
                                <w:i/>
                                <w:color w:val="000000"/>
                                <w:sz w:val="22"/>
                              </w:rPr>
                              <w:t>satisfaction,</w:t>
                            </w:r>
                            <w:r>
                              <w:rPr>
                                <w:i/>
                                <w:color w:val="000000"/>
                                <w:spacing w:val="40"/>
                                <w:sz w:val="22"/>
                              </w:rPr>
                              <w:t> </w:t>
                            </w:r>
                            <w:r>
                              <w:rPr>
                                <w:i/>
                                <w:color w:val="000000"/>
                                <w:sz w:val="22"/>
                              </w:rPr>
                              <w:t>practical instruction, satisfaction level, Philippines</w:t>
                            </w:r>
                          </w:p>
                        </w:txbxContent>
                      </wps:txbx>
                      <wps:bodyPr wrap="square" lIns="0" tIns="0" rIns="0" bIns="0" rtlCol="0">
                        <a:noAutofit/>
                      </wps:bodyPr>
                    </wps:wsp>
                  </a:graphicData>
                </a:graphic>
              </wp:anchor>
            </w:drawing>
          </mc:Choice>
          <mc:Fallback>
            <w:pict>
              <v:shape style="position:absolute;margin-left:209.630005pt;margin-top:13.824464pt;width:338pt;height:27.3pt;mso-position-horizontal-relative:page;mso-position-vertical-relative:paragraph;z-index:-15728640;mso-wrap-distance-left:0;mso-wrap-distance-right:0" type="#_x0000_t202" id="docshape5" filled="true" fillcolor="#deeaf6" stroked="false">
                <v:textbox inset="0,0,0,0">
                  <w:txbxContent>
                    <w:p>
                      <w:pPr>
                        <w:spacing w:line="259" w:lineRule="auto" w:before="0"/>
                        <w:ind w:left="30" w:right="0" w:firstLine="0"/>
                        <w:jc w:val="left"/>
                        <w:rPr>
                          <w:i/>
                          <w:color w:val="000000"/>
                          <w:sz w:val="22"/>
                        </w:rPr>
                      </w:pPr>
                      <w:r>
                        <w:rPr>
                          <w:b/>
                          <w:color w:val="000000"/>
                          <w:sz w:val="22"/>
                        </w:rPr>
                        <w:t>Keywords:</w:t>
                      </w:r>
                      <w:r>
                        <w:rPr>
                          <w:b/>
                          <w:color w:val="000000"/>
                          <w:spacing w:val="80"/>
                          <w:sz w:val="22"/>
                        </w:rPr>
                        <w:t> </w:t>
                      </w:r>
                      <w:r>
                        <w:rPr>
                          <w:i/>
                          <w:color w:val="000000"/>
                          <w:sz w:val="22"/>
                        </w:rPr>
                        <w:t>Customer</w:t>
                      </w:r>
                      <w:r>
                        <w:rPr>
                          <w:i/>
                          <w:color w:val="000000"/>
                          <w:spacing w:val="80"/>
                          <w:sz w:val="22"/>
                        </w:rPr>
                        <w:t> </w:t>
                      </w:r>
                      <w:r>
                        <w:rPr>
                          <w:i/>
                          <w:color w:val="000000"/>
                          <w:sz w:val="22"/>
                        </w:rPr>
                        <w:t>satisfaction,</w:t>
                      </w:r>
                      <w:r>
                        <w:rPr>
                          <w:i/>
                          <w:color w:val="000000"/>
                          <w:spacing w:val="80"/>
                          <w:sz w:val="22"/>
                        </w:rPr>
                        <w:t> </w:t>
                      </w:r>
                      <w:r>
                        <w:rPr>
                          <w:i/>
                          <w:color w:val="000000"/>
                          <w:sz w:val="22"/>
                        </w:rPr>
                        <w:t>junior</w:t>
                      </w:r>
                      <w:r>
                        <w:rPr>
                          <w:i/>
                          <w:color w:val="000000"/>
                          <w:spacing w:val="80"/>
                          <w:sz w:val="22"/>
                        </w:rPr>
                        <w:t> </w:t>
                      </w:r>
                      <w:r>
                        <w:rPr>
                          <w:i/>
                          <w:color w:val="000000"/>
                          <w:sz w:val="22"/>
                        </w:rPr>
                        <w:t>high,</w:t>
                      </w:r>
                      <w:r>
                        <w:rPr>
                          <w:i/>
                          <w:color w:val="000000"/>
                          <w:spacing w:val="80"/>
                          <w:sz w:val="22"/>
                        </w:rPr>
                        <w:t> </w:t>
                      </w:r>
                      <w:r>
                        <w:rPr>
                          <w:i/>
                          <w:color w:val="000000"/>
                          <w:sz w:val="22"/>
                        </w:rPr>
                        <w:t>student</w:t>
                      </w:r>
                      <w:r>
                        <w:rPr>
                          <w:i/>
                          <w:color w:val="000000"/>
                          <w:spacing w:val="80"/>
                          <w:sz w:val="22"/>
                        </w:rPr>
                        <w:t> </w:t>
                      </w:r>
                      <w:r>
                        <w:rPr>
                          <w:i/>
                          <w:color w:val="000000"/>
                          <w:sz w:val="22"/>
                        </w:rPr>
                        <w:t>satisfaction,</w:t>
                      </w:r>
                      <w:r>
                        <w:rPr>
                          <w:i/>
                          <w:color w:val="000000"/>
                          <w:spacing w:val="40"/>
                          <w:sz w:val="22"/>
                        </w:rPr>
                        <w:t> </w:t>
                      </w:r>
                      <w:r>
                        <w:rPr>
                          <w:i/>
                          <w:color w:val="000000"/>
                          <w:sz w:val="22"/>
                        </w:rPr>
                        <w:t>practical instruction, satisfaction level, Philippines</w:t>
                      </w:r>
                    </w:p>
                  </w:txbxContent>
                </v:textbox>
                <v:fill type="solid"/>
                <w10:wrap type="topAndBottom"/>
              </v:shape>
            </w:pict>
          </mc:Fallback>
        </mc:AlternateContent>
      </w:r>
    </w:p>
    <w:p>
      <w:pPr>
        <w:pStyle w:val="BodyText"/>
        <w:ind w:left="0"/>
        <w:jc w:val="left"/>
      </w:pPr>
    </w:p>
    <w:p>
      <w:pPr>
        <w:pStyle w:val="BodyText"/>
        <w:ind w:left="0"/>
        <w:jc w:val="left"/>
      </w:pPr>
    </w:p>
    <w:p>
      <w:pPr>
        <w:pStyle w:val="BodyText"/>
        <w:spacing w:before="189"/>
        <w:ind w:left="0"/>
        <w:jc w:val="left"/>
      </w:pPr>
    </w:p>
    <w:p>
      <w:pPr>
        <w:pStyle w:val="Heading1"/>
      </w:pPr>
      <w:r>
        <w:rPr>
          <w:spacing w:val="-2"/>
        </w:rPr>
        <w:t>INTRODUCTION</w:t>
      </w:r>
    </w:p>
    <w:p>
      <w:pPr>
        <w:pStyle w:val="BodyText"/>
        <w:spacing w:line="259" w:lineRule="auto" w:before="175"/>
        <w:ind w:right="356" w:firstLine="720"/>
      </w:pPr>
      <w:r>
        <w:rPr/>
        <w:t>Student satisfaction is a critical indicator of the quality of education and overall institutional performance, serving as both a measure of students' learning experiences and a determinant of their engagement,</w:t>
      </w:r>
      <w:r>
        <w:rPr>
          <w:spacing w:val="-8"/>
        </w:rPr>
        <w:t> </w:t>
      </w:r>
      <w:r>
        <w:rPr/>
        <w:t>motivation,</w:t>
      </w:r>
      <w:r>
        <w:rPr>
          <w:spacing w:val="-10"/>
        </w:rPr>
        <w:t> </w:t>
      </w:r>
      <w:r>
        <w:rPr/>
        <w:t>and</w:t>
      </w:r>
      <w:r>
        <w:rPr>
          <w:spacing w:val="-10"/>
        </w:rPr>
        <w:t> </w:t>
      </w:r>
      <w:r>
        <w:rPr/>
        <w:t>academic</w:t>
      </w:r>
      <w:r>
        <w:rPr>
          <w:spacing w:val="-10"/>
        </w:rPr>
        <w:t> </w:t>
      </w:r>
      <w:r>
        <w:rPr/>
        <w:t>success.</w:t>
      </w:r>
      <w:r>
        <w:rPr>
          <w:spacing w:val="-10"/>
        </w:rPr>
        <w:t> </w:t>
      </w:r>
      <w:r>
        <w:rPr/>
        <w:t>In</w:t>
      </w:r>
      <w:r>
        <w:rPr>
          <w:spacing w:val="-13"/>
        </w:rPr>
        <w:t> </w:t>
      </w:r>
      <w:r>
        <w:rPr/>
        <w:t>the</w:t>
      </w:r>
      <w:r>
        <w:rPr>
          <w:spacing w:val="-10"/>
        </w:rPr>
        <w:t> </w:t>
      </w:r>
      <w:r>
        <w:rPr/>
        <w:t>context</w:t>
      </w:r>
      <w:r>
        <w:rPr>
          <w:spacing w:val="-10"/>
        </w:rPr>
        <w:t> </w:t>
      </w:r>
      <w:r>
        <w:rPr/>
        <w:t>of</w:t>
      </w:r>
      <w:r>
        <w:rPr>
          <w:spacing w:val="-10"/>
        </w:rPr>
        <w:t> </w:t>
      </w:r>
      <w:r>
        <w:rPr/>
        <w:t>Philippine</w:t>
      </w:r>
      <w:r>
        <w:rPr>
          <w:spacing w:val="-10"/>
        </w:rPr>
        <w:t> </w:t>
      </w:r>
      <w:r>
        <w:rPr/>
        <w:t>basic</w:t>
      </w:r>
      <w:r>
        <w:rPr>
          <w:spacing w:val="-10"/>
        </w:rPr>
        <w:t> </w:t>
      </w:r>
      <w:r>
        <w:rPr/>
        <w:t>education,</w:t>
      </w:r>
      <w:r>
        <w:rPr>
          <w:spacing w:val="-12"/>
        </w:rPr>
        <w:t> </w:t>
      </w:r>
      <w:r>
        <w:rPr/>
        <w:t>understanding the</w:t>
      </w:r>
      <w:r>
        <w:rPr>
          <w:spacing w:val="-1"/>
        </w:rPr>
        <w:t> </w:t>
      </w:r>
      <w:r>
        <w:rPr/>
        <w:t>satisfaction</w:t>
      </w:r>
      <w:r>
        <w:rPr>
          <w:spacing w:val="-4"/>
        </w:rPr>
        <w:t> </w:t>
      </w:r>
      <w:r>
        <w:rPr/>
        <w:t>levels</w:t>
      </w:r>
      <w:r>
        <w:rPr>
          <w:spacing w:val="-2"/>
        </w:rPr>
        <w:t> </w:t>
      </w:r>
      <w:r>
        <w:rPr/>
        <w:t>of</w:t>
      </w:r>
      <w:r>
        <w:rPr>
          <w:spacing w:val="-2"/>
        </w:rPr>
        <w:t> </w:t>
      </w:r>
      <w:r>
        <w:rPr/>
        <w:t>junior</w:t>
      </w:r>
      <w:r>
        <w:rPr>
          <w:spacing w:val="-1"/>
        </w:rPr>
        <w:t> </w:t>
      </w:r>
      <w:r>
        <w:rPr/>
        <w:t>high</w:t>
      </w:r>
      <w:r>
        <w:rPr>
          <w:spacing w:val="-2"/>
        </w:rPr>
        <w:t> </w:t>
      </w:r>
      <w:r>
        <w:rPr/>
        <w:t>school</w:t>
      </w:r>
      <w:r>
        <w:rPr>
          <w:spacing w:val="-1"/>
        </w:rPr>
        <w:t> </w:t>
      </w:r>
      <w:r>
        <w:rPr/>
        <w:t>students</w:t>
      </w:r>
      <w:r>
        <w:rPr>
          <w:spacing w:val="-2"/>
        </w:rPr>
        <w:t> </w:t>
      </w:r>
      <w:r>
        <w:rPr/>
        <w:t>is</w:t>
      </w:r>
      <w:r>
        <w:rPr>
          <w:spacing w:val="-1"/>
        </w:rPr>
        <w:t> </w:t>
      </w:r>
      <w:r>
        <w:rPr/>
        <w:t>crucial,</w:t>
      </w:r>
      <w:r>
        <w:rPr>
          <w:spacing w:val="-3"/>
        </w:rPr>
        <w:t> </w:t>
      </w:r>
      <w:r>
        <w:rPr/>
        <w:t>as</w:t>
      </w:r>
      <w:r>
        <w:rPr>
          <w:spacing w:val="-3"/>
        </w:rPr>
        <w:t> </w:t>
      </w:r>
      <w:r>
        <w:rPr/>
        <w:t>this</w:t>
      </w:r>
      <w:r>
        <w:rPr>
          <w:spacing w:val="-1"/>
        </w:rPr>
        <w:t> </w:t>
      </w:r>
      <w:r>
        <w:rPr/>
        <w:t>stage</w:t>
      </w:r>
      <w:r>
        <w:rPr>
          <w:spacing w:val="-3"/>
        </w:rPr>
        <w:t> </w:t>
      </w:r>
      <w:r>
        <w:rPr/>
        <w:t>represents</w:t>
      </w:r>
      <w:r>
        <w:rPr>
          <w:spacing w:val="-1"/>
        </w:rPr>
        <w:t> </w:t>
      </w:r>
      <w:r>
        <w:rPr/>
        <w:t>a</w:t>
      </w:r>
      <w:r>
        <w:rPr>
          <w:spacing w:val="-3"/>
        </w:rPr>
        <w:t> </w:t>
      </w:r>
      <w:r>
        <w:rPr/>
        <w:t>transitional</w:t>
      </w:r>
      <w:r>
        <w:rPr>
          <w:spacing w:val="-1"/>
        </w:rPr>
        <w:t> </w:t>
      </w:r>
      <w:r>
        <w:rPr/>
        <w:t>period during which learners develop key academic skills, social competencies, and undergo personal growth. Schools, therefore, must not only deliver quality instruction but also provide a supportive learning environment, adequate resources, and opportunities for holistic development.</w:t>
      </w:r>
    </w:p>
    <w:p>
      <w:pPr>
        <w:pStyle w:val="BodyText"/>
        <w:ind w:left="0"/>
        <w:jc w:val="left"/>
        <w:rPr>
          <w:sz w:val="17"/>
        </w:rPr>
      </w:pPr>
    </w:p>
    <w:p>
      <w:pPr>
        <w:pStyle w:val="BodyText"/>
        <w:ind w:left="0"/>
        <w:jc w:val="left"/>
        <w:rPr>
          <w:sz w:val="17"/>
        </w:rPr>
      </w:pPr>
    </w:p>
    <w:p>
      <w:pPr>
        <w:pStyle w:val="BodyText"/>
        <w:ind w:left="0"/>
        <w:jc w:val="left"/>
        <w:rPr>
          <w:sz w:val="17"/>
        </w:rPr>
      </w:pPr>
    </w:p>
    <w:p>
      <w:pPr>
        <w:pStyle w:val="BodyText"/>
        <w:spacing w:before="71"/>
        <w:ind w:left="0"/>
        <w:jc w:val="left"/>
        <w:rPr>
          <w:sz w:val="17"/>
        </w:rPr>
      </w:pPr>
    </w:p>
    <w:p>
      <w:pPr>
        <w:spacing w:before="0"/>
        <w:ind w:left="322" w:right="0" w:firstLine="0"/>
        <w:jc w:val="left"/>
        <w:rPr>
          <w:sz w:val="17"/>
        </w:rPr>
      </w:pPr>
      <w:r>
        <w:rPr>
          <w:sz w:val="17"/>
        </w:rPr>
        <w:t>Copyright:</w:t>
      </w:r>
      <w:r>
        <w:rPr>
          <w:spacing w:val="-6"/>
          <w:sz w:val="17"/>
        </w:rPr>
        <w:t> </w:t>
      </w:r>
      <w:r>
        <w:rPr>
          <w:sz w:val="17"/>
        </w:rPr>
        <w:t>©2026</w:t>
      </w:r>
      <w:r>
        <w:rPr>
          <w:spacing w:val="-3"/>
          <w:sz w:val="17"/>
        </w:rPr>
        <w:t> </w:t>
      </w:r>
      <w:r>
        <w:rPr>
          <w:sz w:val="17"/>
        </w:rPr>
        <w:t>The</w:t>
      </w:r>
      <w:r>
        <w:rPr>
          <w:spacing w:val="-3"/>
          <w:sz w:val="17"/>
        </w:rPr>
        <w:t> </w:t>
      </w:r>
      <w:r>
        <w:rPr>
          <w:sz w:val="17"/>
        </w:rPr>
        <w:t>Authors.</w:t>
      </w:r>
      <w:r>
        <w:rPr>
          <w:spacing w:val="-4"/>
          <w:sz w:val="17"/>
        </w:rPr>
        <w:t> </w:t>
      </w:r>
      <w:r>
        <w:rPr>
          <w:sz w:val="17"/>
        </w:rPr>
        <w:t>UCLM</w:t>
      </w:r>
      <w:r>
        <w:rPr>
          <w:spacing w:val="-3"/>
          <w:sz w:val="17"/>
        </w:rPr>
        <w:t> </w:t>
      </w:r>
      <w:r>
        <w:rPr>
          <w:sz w:val="17"/>
        </w:rPr>
        <w:t>Journal</w:t>
      </w:r>
      <w:r>
        <w:rPr>
          <w:spacing w:val="-3"/>
          <w:sz w:val="17"/>
        </w:rPr>
        <w:t> </w:t>
      </w:r>
      <w:r>
        <w:rPr>
          <w:sz w:val="17"/>
        </w:rPr>
        <w:t>of</w:t>
      </w:r>
      <w:r>
        <w:rPr>
          <w:spacing w:val="-2"/>
          <w:sz w:val="17"/>
        </w:rPr>
        <w:t> </w:t>
      </w:r>
      <w:r>
        <w:rPr>
          <w:sz w:val="17"/>
        </w:rPr>
        <w:t>Research</w:t>
      </w:r>
      <w:r>
        <w:rPr>
          <w:spacing w:val="-3"/>
          <w:sz w:val="17"/>
        </w:rPr>
        <w:t> </w:t>
      </w:r>
      <w:r>
        <w:rPr>
          <w:sz w:val="17"/>
        </w:rPr>
        <w:t>and</w:t>
      </w:r>
      <w:r>
        <w:rPr>
          <w:spacing w:val="-3"/>
          <w:sz w:val="17"/>
        </w:rPr>
        <w:t> </w:t>
      </w:r>
      <w:r>
        <w:rPr>
          <w:sz w:val="17"/>
        </w:rPr>
        <w:t>Innovation is</w:t>
      </w:r>
      <w:r>
        <w:rPr>
          <w:spacing w:val="-4"/>
          <w:sz w:val="17"/>
        </w:rPr>
        <w:t> </w:t>
      </w:r>
      <w:r>
        <w:rPr>
          <w:sz w:val="17"/>
        </w:rPr>
        <w:t>published</w:t>
      </w:r>
      <w:r>
        <w:rPr>
          <w:spacing w:val="-5"/>
          <w:sz w:val="17"/>
        </w:rPr>
        <w:t> </w:t>
      </w:r>
      <w:r>
        <w:rPr>
          <w:sz w:val="17"/>
        </w:rPr>
        <w:t>by</w:t>
      </w:r>
      <w:r>
        <w:rPr>
          <w:spacing w:val="-5"/>
          <w:sz w:val="17"/>
        </w:rPr>
        <w:t> </w:t>
      </w:r>
      <w:r>
        <w:rPr>
          <w:sz w:val="17"/>
        </w:rPr>
        <w:t>University</w:t>
      </w:r>
      <w:r>
        <w:rPr>
          <w:spacing w:val="-5"/>
          <w:sz w:val="17"/>
        </w:rPr>
        <w:t> </w:t>
      </w:r>
      <w:r>
        <w:rPr>
          <w:sz w:val="17"/>
        </w:rPr>
        <w:t>of</w:t>
      </w:r>
      <w:r>
        <w:rPr>
          <w:spacing w:val="-2"/>
          <w:sz w:val="17"/>
        </w:rPr>
        <w:t> </w:t>
      </w:r>
      <w:r>
        <w:rPr>
          <w:sz w:val="17"/>
        </w:rPr>
        <w:t>Cebu</w:t>
      </w:r>
      <w:r>
        <w:rPr>
          <w:spacing w:val="-3"/>
          <w:sz w:val="17"/>
        </w:rPr>
        <w:t> </w:t>
      </w:r>
      <w:r>
        <w:rPr>
          <w:sz w:val="17"/>
        </w:rPr>
        <w:t>Lapu-Lapu</w:t>
      </w:r>
      <w:r>
        <w:rPr>
          <w:spacing w:val="-3"/>
          <w:sz w:val="17"/>
        </w:rPr>
        <w:t> </w:t>
      </w:r>
      <w:r>
        <w:rPr>
          <w:sz w:val="17"/>
        </w:rPr>
        <w:t>&amp;</w:t>
      </w:r>
      <w:r>
        <w:rPr>
          <w:spacing w:val="-5"/>
          <w:sz w:val="17"/>
        </w:rPr>
        <w:t> </w:t>
      </w:r>
      <w:r>
        <w:rPr>
          <w:spacing w:val="-2"/>
          <w:sz w:val="17"/>
        </w:rPr>
        <w:t>Mandaue</w:t>
      </w:r>
    </w:p>
    <w:p>
      <w:pPr>
        <w:spacing w:before="1"/>
        <w:ind w:left="322" w:right="0" w:firstLine="0"/>
        <w:jc w:val="left"/>
        <w:rPr>
          <w:sz w:val="17"/>
        </w:rPr>
      </w:pPr>
      <w:r>
        <w:rPr>
          <w:sz w:val="17"/>
        </w:rPr>
        <w:t>This</w:t>
      </w:r>
      <w:r>
        <w:rPr>
          <w:spacing w:val="-6"/>
          <w:sz w:val="17"/>
        </w:rPr>
        <w:t> </w:t>
      </w:r>
      <w:r>
        <w:rPr>
          <w:sz w:val="17"/>
        </w:rPr>
        <w:t>is</w:t>
      </w:r>
      <w:r>
        <w:rPr>
          <w:spacing w:val="-3"/>
          <w:sz w:val="17"/>
        </w:rPr>
        <w:t> </w:t>
      </w:r>
      <w:r>
        <w:rPr>
          <w:sz w:val="17"/>
        </w:rPr>
        <w:t>an</w:t>
      </w:r>
      <w:r>
        <w:rPr>
          <w:spacing w:val="-4"/>
          <w:sz w:val="17"/>
        </w:rPr>
        <w:t> </w:t>
      </w:r>
      <w:r>
        <w:rPr>
          <w:sz w:val="17"/>
        </w:rPr>
        <w:t>open-access</w:t>
      </w:r>
      <w:r>
        <w:rPr>
          <w:spacing w:val="-4"/>
          <w:sz w:val="17"/>
        </w:rPr>
        <w:t> </w:t>
      </w:r>
      <w:r>
        <w:rPr>
          <w:sz w:val="17"/>
        </w:rPr>
        <w:t>journal</w:t>
      </w:r>
      <w:r>
        <w:rPr>
          <w:spacing w:val="-2"/>
          <w:sz w:val="17"/>
        </w:rPr>
        <w:t> </w:t>
      </w:r>
      <w:r>
        <w:rPr>
          <w:sz w:val="17"/>
        </w:rPr>
        <w:t>licensed</w:t>
      </w:r>
      <w:r>
        <w:rPr>
          <w:spacing w:val="-3"/>
          <w:sz w:val="17"/>
        </w:rPr>
        <w:t> </w:t>
      </w:r>
      <w:r>
        <w:rPr>
          <w:sz w:val="17"/>
        </w:rPr>
        <w:t>under</w:t>
      </w:r>
      <w:r>
        <w:rPr>
          <w:spacing w:val="-3"/>
          <w:sz w:val="17"/>
        </w:rPr>
        <w:t> </w:t>
      </w:r>
      <w:r>
        <w:rPr>
          <w:sz w:val="17"/>
        </w:rPr>
        <w:t>the</w:t>
      </w:r>
      <w:r>
        <w:rPr>
          <w:spacing w:val="-2"/>
          <w:sz w:val="17"/>
        </w:rPr>
        <w:t> </w:t>
      </w:r>
      <w:r>
        <w:rPr>
          <w:sz w:val="17"/>
        </w:rPr>
        <w:t>Creative</w:t>
      </w:r>
      <w:r>
        <w:rPr>
          <w:spacing w:val="-3"/>
          <w:sz w:val="17"/>
        </w:rPr>
        <w:t> </w:t>
      </w:r>
      <w:r>
        <w:rPr>
          <w:sz w:val="17"/>
        </w:rPr>
        <w:t>Commons</w:t>
      </w:r>
      <w:r>
        <w:rPr>
          <w:spacing w:val="-3"/>
          <w:sz w:val="17"/>
        </w:rPr>
        <w:t> </w:t>
      </w:r>
      <w:r>
        <w:rPr>
          <w:sz w:val="17"/>
        </w:rPr>
        <w:t>Attribution-NonCommercial</w:t>
      </w:r>
      <w:r>
        <w:rPr>
          <w:spacing w:val="-3"/>
          <w:sz w:val="17"/>
        </w:rPr>
        <w:t> </w:t>
      </w:r>
      <w:r>
        <w:rPr>
          <w:sz w:val="17"/>
        </w:rPr>
        <w:t>4.0</w:t>
      </w:r>
      <w:r>
        <w:rPr>
          <w:spacing w:val="-2"/>
          <w:sz w:val="17"/>
        </w:rPr>
        <w:t> </w:t>
      </w:r>
      <w:r>
        <w:rPr>
          <w:sz w:val="17"/>
        </w:rPr>
        <w:t>International</w:t>
      </w:r>
      <w:r>
        <w:rPr>
          <w:spacing w:val="-2"/>
          <w:sz w:val="17"/>
        </w:rPr>
        <w:t> </w:t>
      </w:r>
      <w:r>
        <w:rPr>
          <w:sz w:val="17"/>
        </w:rPr>
        <w:t>(</w:t>
      </w:r>
      <w:r>
        <w:rPr>
          <w:b/>
          <w:sz w:val="17"/>
        </w:rPr>
        <w:t>CC</w:t>
      </w:r>
      <w:r>
        <w:rPr>
          <w:b/>
          <w:spacing w:val="-5"/>
          <w:sz w:val="17"/>
        </w:rPr>
        <w:t> </w:t>
      </w:r>
      <w:r>
        <w:rPr>
          <w:b/>
          <w:sz w:val="17"/>
        </w:rPr>
        <w:t>BY-NC</w:t>
      </w:r>
      <w:r>
        <w:rPr>
          <w:b/>
          <w:spacing w:val="-3"/>
          <w:sz w:val="17"/>
        </w:rPr>
        <w:t> </w:t>
      </w:r>
      <w:r>
        <w:rPr>
          <w:b/>
          <w:sz w:val="17"/>
        </w:rPr>
        <w:t>4.0</w:t>
      </w:r>
      <w:r>
        <w:rPr>
          <w:sz w:val="17"/>
        </w:rPr>
        <w:t>)</w:t>
      </w:r>
      <w:r>
        <w:rPr>
          <w:spacing w:val="-1"/>
          <w:sz w:val="17"/>
        </w:rPr>
        <w:t> </w:t>
      </w:r>
      <w:r>
        <w:rPr>
          <w:spacing w:val="-2"/>
          <w:sz w:val="17"/>
        </w:rPr>
        <w:t>License.</w:t>
      </w:r>
    </w:p>
    <w:p>
      <w:pPr>
        <w:spacing w:after="0"/>
        <w:jc w:val="left"/>
        <w:rPr>
          <w:sz w:val="17"/>
        </w:rPr>
        <w:sectPr>
          <w:type w:val="continuous"/>
          <w:pgSz w:w="12240" w:h="15840"/>
          <w:pgMar w:top="380" w:bottom="280" w:left="720" w:right="1080"/>
        </w:sectPr>
      </w:pPr>
    </w:p>
    <w:p>
      <w:pPr>
        <w:pStyle w:val="BodyText"/>
        <w:spacing w:line="259" w:lineRule="auto" w:before="104"/>
        <w:ind w:right="356" w:firstLine="720"/>
      </w:pPr>
      <w:r>
        <w:rPr/>
        <w:t>Research has highlighted several factors that influence student satisfaction at the secondary</w:t>
      </w:r>
      <w:r>
        <w:rPr>
          <w:spacing w:val="-1"/>
        </w:rPr>
        <w:t> </w:t>
      </w:r>
      <w:r>
        <w:rPr/>
        <w:t>level. Teacher quality and effective instruction delivery are consistently recognized as primary determinants of student</w:t>
      </w:r>
      <w:r>
        <w:rPr>
          <w:spacing w:val="-10"/>
        </w:rPr>
        <w:t> </w:t>
      </w:r>
      <w:r>
        <w:rPr/>
        <w:t>engagement</w:t>
      </w:r>
      <w:r>
        <w:rPr>
          <w:spacing w:val="-9"/>
        </w:rPr>
        <w:t> </w:t>
      </w:r>
      <w:r>
        <w:rPr/>
        <w:t>and</w:t>
      </w:r>
      <w:r>
        <w:rPr>
          <w:spacing w:val="-10"/>
        </w:rPr>
        <w:t> </w:t>
      </w:r>
      <w:r>
        <w:rPr/>
        <w:t>learning</w:t>
      </w:r>
      <w:r>
        <w:rPr>
          <w:spacing w:val="-12"/>
        </w:rPr>
        <w:t> </w:t>
      </w:r>
      <w:r>
        <w:rPr/>
        <w:t>outcomes</w:t>
      </w:r>
      <w:r>
        <w:rPr>
          <w:spacing w:val="-9"/>
        </w:rPr>
        <w:t> </w:t>
      </w:r>
      <w:r>
        <w:rPr/>
        <w:t>(Micabalo</w:t>
      </w:r>
      <w:r>
        <w:rPr>
          <w:spacing w:val="-7"/>
        </w:rPr>
        <w:t> </w:t>
      </w:r>
      <w:r>
        <w:rPr/>
        <w:t>et</w:t>
      </w:r>
      <w:r>
        <w:rPr>
          <w:spacing w:val="-10"/>
        </w:rPr>
        <w:t> </w:t>
      </w:r>
      <w:r>
        <w:rPr/>
        <w:t>al.,</w:t>
      </w:r>
      <w:r>
        <w:rPr>
          <w:spacing w:val="-10"/>
        </w:rPr>
        <w:t> </w:t>
      </w:r>
      <w:r>
        <w:rPr/>
        <w:t>2020).</w:t>
      </w:r>
      <w:r>
        <w:rPr>
          <w:spacing w:val="-13"/>
        </w:rPr>
        <w:t> </w:t>
      </w:r>
      <w:r>
        <w:rPr/>
        <w:t>Similarly,</w:t>
      </w:r>
      <w:r>
        <w:rPr>
          <w:spacing w:val="-9"/>
        </w:rPr>
        <w:t> </w:t>
      </w:r>
      <w:r>
        <w:rPr/>
        <w:t>the</w:t>
      </w:r>
      <w:r>
        <w:rPr>
          <w:spacing w:val="-11"/>
        </w:rPr>
        <w:t> </w:t>
      </w:r>
      <w:r>
        <w:rPr/>
        <w:t>curriculum</w:t>
      </w:r>
      <w:r>
        <w:rPr>
          <w:spacing w:val="-13"/>
        </w:rPr>
        <w:t> </w:t>
      </w:r>
      <w:r>
        <w:rPr/>
        <w:t>and</w:t>
      </w:r>
      <w:r>
        <w:rPr>
          <w:spacing w:val="-9"/>
        </w:rPr>
        <w:t> </w:t>
      </w:r>
      <w:r>
        <w:rPr/>
        <w:t>academic workload play a crucial role, as appropriately balanced content and assessment structures foster positive perceptions of school life (Bachanicha et.al, 2025; Montebon &amp; Bachanicha, 2018; Anit, 2024). The learning</w:t>
      </w:r>
      <w:r>
        <w:rPr>
          <w:spacing w:val="-16"/>
        </w:rPr>
        <w:t> </w:t>
      </w:r>
      <w:r>
        <w:rPr/>
        <w:t>environment,</w:t>
      </w:r>
      <w:r>
        <w:rPr>
          <w:spacing w:val="-14"/>
        </w:rPr>
        <w:t> </w:t>
      </w:r>
      <w:r>
        <w:rPr/>
        <w:t>encompassing</w:t>
      </w:r>
      <w:r>
        <w:rPr>
          <w:spacing w:val="-14"/>
        </w:rPr>
        <w:t> </w:t>
      </w:r>
      <w:r>
        <w:rPr/>
        <w:t>classroom</w:t>
      </w:r>
      <w:r>
        <w:rPr>
          <w:spacing w:val="-13"/>
        </w:rPr>
        <w:t> </w:t>
      </w:r>
      <w:r>
        <w:rPr/>
        <w:t>climate</w:t>
      </w:r>
      <w:r>
        <w:rPr>
          <w:spacing w:val="-14"/>
        </w:rPr>
        <w:t> </w:t>
      </w:r>
      <w:r>
        <w:rPr/>
        <w:t>and</w:t>
      </w:r>
      <w:r>
        <w:rPr>
          <w:spacing w:val="-14"/>
        </w:rPr>
        <w:t> </w:t>
      </w:r>
      <w:r>
        <w:rPr/>
        <w:t>peer</w:t>
      </w:r>
      <w:r>
        <w:rPr>
          <w:spacing w:val="-14"/>
        </w:rPr>
        <w:t> </w:t>
      </w:r>
      <w:r>
        <w:rPr/>
        <w:t>interaction,</w:t>
      </w:r>
      <w:r>
        <w:rPr>
          <w:spacing w:val="-13"/>
        </w:rPr>
        <w:t> </w:t>
      </w:r>
      <w:r>
        <w:rPr/>
        <w:t>has</w:t>
      </w:r>
      <w:r>
        <w:rPr>
          <w:spacing w:val="-14"/>
        </w:rPr>
        <w:t> </w:t>
      </w:r>
      <w:r>
        <w:rPr/>
        <w:t>been</w:t>
      </w:r>
      <w:r>
        <w:rPr>
          <w:spacing w:val="-14"/>
        </w:rPr>
        <w:t> </w:t>
      </w:r>
      <w:r>
        <w:rPr/>
        <w:t>demonstrated</w:t>
      </w:r>
      <w:r>
        <w:rPr>
          <w:spacing w:val="-14"/>
        </w:rPr>
        <w:t> </w:t>
      </w:r>
      <w:r>
        <w:rPr/>
        <w:t>to</w:t>
      </w:r>
      <w:r>
        <w:rPr>
          <w:spacing w:val="-13"/>
        </w:rPr>
        <w:t> </w:t>
      </w:r>
      <w:r>
        <w:rPr/>
        <w:t>have a significant impact on students' social and emotional well-being. At the same time, school facilities and resources,</w:t>
      </w:r>
      <w:r>
        <w:rPr>
          <w:spacing w:val="-14"/>
        </w:rPr>
        <w:t> </w:t>
      </w:r>
      <w:r>
        <w:rPr/>
        <w:t>such</w:t>
      </w:r>
      <w:r>
        <w:rPr>
          <w:spacing w:val="-14"/>
        </w:rPr>
        <w:t> </w:t>
      </w:r>
      <w:r>
        <w:rPr/>
        <w:t>as</w:t>
      </w:r>
      <w:r>
        <w:rPr>
          <w:spacing w:val="-14"/>
        </w:rPr>
        <w:t> </w:t>
      </w:r>
      <w:r>
        <w:rPr/>
        <w:t>laboratories,</w:t>
      </w:r>
      <w:r>
        <w:rPr>
          <w:spacing w:val="-13"/>
        </w:rPr>
        <w:t> </w:t>
      </w:r>
      <w:r>
        <w:rPr/>
        <w:t>libraries,</w:t>
      </w:r>
      <w:r>
        <w:rPr>
          <w:spacing w:val="-14"/>
        </w:rPr>
        <w:t> </w:t>
      </w:r>
      <w:r>
        <w:rPr/>
        <w:t>and</w:t>
      </w:r>
      <w:r>
        <w:rPr>
          <w:spacing w:val="-14"/>
        </w:rPr>
        <w:t> </w:t>
      </w:r>
      <w:r>
        <w:rPr/>
        <w:t>technological</w:t>
      </w:r>
      <w:r>
        <w:rPr>
          <w:spacing w:val="-14"/>
        </w:rPr>
        <w:t> </w:t>
      </w:r>
      <w:r>
        <w:rPr/>
        <w:t>tools,</w:t>
      </w:r>
      <w:r>
        <w:rPr>
          <w:spacing w:val="-13"/>
        </w:rPr>
        <w:t> </w:t>
      </w:r>
      <w:r>
        <w:rPr/>
        <w:t>support</w:t>
      </w:r>
      <w:r>
        <w:rPr>
          <w:spacing w:val="-14"/>
        </w:rPr>
        <w:t> </w:t>
      </w:r>
      <w:r>
        <w:rPr/>
        <w:t>both</w:t>
      </w:r>
      <w:r>
        <w:rPr>
          <w:spacing w:val="-14"/>
        </w:rPr>
        <w:t> </w:t>
      </w:r>
      <w:r>
        <w:rPr/>
        <w:t>academic</w:t>
      </w:r>
      <w:r>
        <w:rPr>
          <w:spacing w:val="-6"/>
        </w:rPr>
        <w:t> </w:t>
      </w:r>
      <w:r>
        <w:rPr/>
        <w:t>and</w:t>
      </w:r>
      <w:r>
        <w:rPr>
          <w:spacing w:val="-14"/>
        </w:rPr>
        <w:t> </w:t>
      </w:r>
      <w:r>
        <w:rPr/>
        <w:t>extracurricular engagement (Bachanicha et al., 2025; Gorospe et al., 2021). Finally, student support services and extracurricular activities provide avenues for personal development, social integration, and institutional attachment (Bironia &amp; Ecat, 2023; Deniega et. al, 2026).</w:t>
      </w:r>
    </w:p>
    <w:p>
      <w:pPr>
        <w:pStyle w:val="BodyText"/>
        <w:spacing w:line="259" w:lineRule="auto" w:before="159"/>
        <w:ind w:right="356" w:firstLine="720"/>
      </w:pPr>
      <w:r>
        <w:rPr/>
        <w:t>Despite these insights, a noticeable gap remains in the literature, which focuses exclusively on </w:t>
      </w:r>
      <w:r>
        <w:rPr>
          <w:spacing w:val="-2"/>
        </w:rPr>
        <w:t>junior</w:t>
      </w:r>
      <w:r>
        <w:rPr>
          <w:spacing w:val="-4"/>
        </w:rPr>
        <w:t> </w:t>
      </w:r>
      <w:r>
        <w:rPr>
          <w:spacing w:val="-2"/>
        </w:rPr>
        <w:t>high school</w:t>
      </w:r>
      <w:r>
        <w:rPr>
          <w:spacing w:val="-4"/>
        </w:rPr>
        <w:t> </w:t>
      </w:r>
      <w:r>
        <w:rPr>
          <w:spacing w:val="-2"/>
        </w:rPr>
        <w:t>students</w:t>
      </w:r>
      <w:r>
        <w:rPr>
          <w:spacing w:val="-4"/>
        </w:rPr>
        <w:t> </w:t>
      </w:r>
      <w:r>
        <w:rPr>
          <w:spacing w:val="-2"/>
        </w:rPr>
        <w:t>in private</w:t>
      </w:r>
      <w:r>
        <w:rPr>
          <w:spacing w:val="-4"/>
        </w:rPr>
        <w:t> </w:t>
      </w:r>
      <w:r>
        <w:rPr>
          <w:spacing w:val="-2"/>
        </w:rPr>
        <w:t>Philippine institutions, particularly</w:t>
      </w:r>
      <w:r>
        <w:rPr>
          <w:spacing w:val="-9"/>
        </w:rPr>
        <w:t> </w:t>
      </w:r>
      <w:r>
        <w:rPr>
          <w:spacing w:val="-2"/>
        </w:rPr>
        <w:t>at the University</w:t>
      </w:r>
      <w:r>
        <w:rPr>
          <w:spacing w:val="-9"/>
        </w:rPr>
        <w:t> </w:t>
      </w:r>
      <w:r>
        <w:rPr>
          <w:spacing w:val="-2"/>
        </w:rPr>
        <w:t>of Cebu Lapulapu </w:t>
      </w:r>
      <w:r>
        <w:rPr/>
        <w:t>and</w:t>
      </w:r>
      <w:r>
        <w:rPr>
          <w:spacing w:val="-2"/>
        </w:rPr>
        <w:t> </w:t>
      </w:r>
      <w:r>
        <w:rPr/>
        <w:t>Mandaue</w:t>
      </w:r>
      <w:r>
        <w:rPr>
          <w:spacing w:val="-4"/>
        </w:rPr>
        <w:t> </w:t>
      </w:r>
      <w:r>
        <w:rPr/>
        <w:t>Campus (UCLM).</w:t>
      </w:r>
      <w:r>
        <w:rPr>
          <w:spacing w:val="-2"/>
        </w:rPr>
        <w:t> </w:t>
      </w:r>
      <w:r>
        <w:rPr/>
        <w:t>Most</w:t>
      </w:r>
      <w:r>
        <w:rPr>
          <w:spacing w:val="-2"/>
        </w:rPr>
        <w:t> </w:t>
      </w:r>
      <w:r>
        <w:rPr/>
        <w:t>existing</w:t>
      </w:r>
      <w:r>
        <w:rPr>
          <w:spacing w:val="-3"/>
        </w:rPr>
        <w:t> </w:t>
      </w:r>
      <w:r>
        <w:rPr/>
        <w:t>studies</w:t>
      </w:r>
      <w:r>
        <w:rPr>
          <w:spacing w:val="-2"/>
        </w:rPr>
        <w:t> </w:t>
      </w:r>
      <w:r>
        <w:rPr/>
        <w:t>have</w:t>
      </w:r>
      <w:r>
        <w:rPr>
          <w:spacing w:val="-4"/>
        </w:rPr>
        <w:t> </w:t>
      </w:r>
      <w:r>
        <w:rPr/>
        <w:t>either</w:t>
      </w:r>
      <w:r>
        <w:rPr>
          <w:spacing w:val="-3"/>
        </w:rPr>
        <w:t> </w:t>
      </w:r>
      <w:r>
        <w:rPr/>
        <w:t>combined</w:t>
      </w:r>
      <w:r>
        <w:rPr>
          <w:spacing w:val="-2"/>
        </w:rPr>
        <w:t> </w:t>
      </w:r>
      <w:r>
        <w:rPr/>
        <w:t>junior</w:t>
      </w:r>
      <w:r>
        <w:rPr>
          <w:spacing w:val="-2"/>
        </w:rPr>
        <w:t> </w:t>
      </w:r>
      <w:r>
        <w:rPr/>
        <w:t>and</w:t>
      </w:r>
      <w:r>
        <w:rPr>
          <w:spacing w:val="-4"/>
        </w:rPr>
        <w:t> </w:t>
      </w:r>
      <w:r>
        <w:rPr/>
        <w:t>senior</w:t>
      </w:r>
      <w:r>
        <w:rPr>
          <w:spacing w:val="-2"/>
        </w:rPr>
        <w:t> </w:t>
      </w:r>
      <w:r>
        <w:rPr/>
        <w:t>high</w:t>
      </w:r>
      <w:r>
        <w:rPr>
          <w:spacing w:val="-3"/>
        </w:rPr>
        <w:t> </w:t>
      </w:r>
      <w:r>
        <w:rPr/>
        <w:t>school respondents, concentrated on college students, or addressed isolated aspects of satisfaction, such as administrative</w:t>
      </w:r>
      <w:r>
        <w:rPr>
          <w:spacing w:val="-16"/>
        </w:rPr>
        <w:t> </w:t>
      </w:r>
      <w:r>
        <w:rPr/>
        <w:t>services</w:t>
      </w:r>
      <w:r>
        <w:rPr>
          <w:spacing w:val="-14"/>
        </w:rPr>
        <w:t> </w:t>
      </w:r>
      <w:r>
        <w:rPr/>
        <w:t>or</w:t>
      </w:r>
      <w:r>
        <w:rPr>
          <w:spacing w:val="-14"/>
        </w:rPr>
        <w:t> </w:t>
      </w:r>
      <w:r>
        <w:rPr/>
        <w:t>academic</w:t>
      </w:r>
      <w:r>
        <w:rPr>
          <w:spacing w:val="-13"/>
        </w:rPr>
        <w:t> </w:t>
      </w:r>
      <w:r>
        <w:rPr/>
        <w:t>performance.</w:t>
      </w:r>
      <w:r>
        <w:rPr>
          <w:spacing w:val="-14"/>
        </w:rPr>
        <w:t> </w:t>
      </w:r>
      <w:r>
        <w:rPr/>
        <w:t>Consequently,</w:t>
      </w:r>
      <w:r>
        <w:rPr>
          <w:spacing w:val="-14"/>
        </w:rPr>
        <w:t> </w:t>
      </w:r>
      <w:r>
        <w:rPr/>
        <w:t>there</w:t>
      </w:r>
      <w:r>
        <w:rPr>
          <w:spacing w:val="-14"/>
        </w:rPr>
        <w:t> </w:t>
      </w:r>
      <w:r>
        <w:rPr/>
        <w:t>is</w:t>
      </w:r>
      <w:r>
        <w:rPr>
          <w:spacing w:val="-13"/>
        </w:rPr>
        <w:t> </w:t>
      </w:r>
      <w:r>
        <w:rPr/>
        <w:t>limited</w:t>
      </w:r>
      <w:r>
        <w:rPr>
          <w:spacing w:val="-14"/>
        </w:rPr>
        <w:t> </w:t>
      </w:r>
      <w:r>
        <w:rPr/>
        <w:t>empirical</w:t>
      </w:r>
      <w:r>
        <w:rPr>
          <w:spacing w:val="-14"/>
        </w:rPr>
        <w:t> </w:t>
      </w:r>
      <w:r>
        <w:rPr/>
        <w:t>evidence</w:t>
      </w:r>
      <w:r>
        <w:rPr>
          <w:spacing w:val="-14"/>
        </w:rPr>
        <w:t> </w:t>
      </w:r>
      <w:r>
        <w:rPr/>
        <w:t>on</w:t>
      </w:r>
      <w:r>
        <w:rPr>
          <w:spacing w:val="-13"/>
        </w:rPr>
        <w:t> </w:t>
      </w:r>
      <w:r>
        <w:rPr/>
        <w:t>how specific factors—including teacher quality and instruction delivery, curriculum and academic workload, learning</w:t>
      </w:r>
      <w:r>
        <w:rPr>
          <w:spacing w:val="-7"/>
        </w:rPr>
        <w:t> </w:t>
      </w:r>
      <w:r>
        <w:rPr/>
        <w:t>environment</w:t>
      </w:r>
      <w:r>
        <w:rPr>
          <w:spacing w:val="-6"/>
        </w:rPr>
        <w:t> </w:t>
      </w:r>
      <w:r>
        <w:rPr/>
        <w:t>and</w:t>
      </w:r>
      <w:r>
        <w:rPr>
          <w:spacing w:val="-6"/>
        </w:rPr>
        <w:t> </w:t>
      </w:r>
      <w:r>
        <w:rPr/>
        <w:t>peer</w:t>
      </w:r>
      <w:r>
        <w:rPr>
          <w:spacing w:val="-7"/>
        </w:rPr>
        <w:t> </w:t>
      </w:r>
      <w:r>
        <w:rPr/>
        <w:t>interaction,</w:t>
      </w:r>
      <w:r>
        <w:rPr>
          <w:spacing w:val="-8"/>
        </w:rPr>
        <w:t> </w:t>
      </w:r>
      <w:r>
        <w:rPr/>
        <w:t>school</w:t>
      </w:r>
      <w:r>
        <w:rPr>
          <w:spacing w:val="-6"/>
        </w:rPr>
        <w:t> </w:t>
      </w:r>
      <w:r>
        <w:rPr/>
        <w:t>facilities</w:t>
      </w:r>
      <w:r>
        <w:rPr>
          <w:spacing w:val="-8"/>
        </w:rPr>
        <w:t> </w:t>
      </w:r>
      <w:r>
        <w:rPr/>
        <w:t>and</w:t>
      </w:r>
      <w:r>
        <w:rPr>
          <w:spacing w:val="-8"/>
        </w:rPr>
        <w:t> </w:t>
      </w:r>
      <w:r>
        <w:rPr/>
        <w:t>resources,</w:t>
      </w:r>
      <w:r>
        <w:rPr>
          <w:spacing w:val="-8"/>
        </w:rPr>
        <w:t> </w:t>
      </w:r>
      <w:r>
        <w:rPr/>
        <w:t>and</w:t>
      </w:r>
      <w:r>
        <w:rPr>
          <w:spacing w:val="-8"/>
        </w:rPr>
        <w:t> </w:t>
      </w:r>
      <w:r>
        <w:rPr/>
        <w:t>student</w:t>
      </w:r>
      <w:r>
        <w:rPr>
          <w:spacing w:val="-7"/>
        </w:rPr>
        <w:t> </w:t>
      </w:r>
      <w:r>
        <w:rPr/>
        <w:t>support</w:t>
      </w:r>
      <w:r>
        <w:rPr>
          <w:spacing w:val="-8"/>
        </w:rPr>
        <w:t> </w:t>
      </w:r>
      <w:r>
        <w:rPr/>
        <w:t>services</w:t>
      </w:r>
      <w:r>
        <w:rPr>
          <w:spacing w:val="-7"/>
        </w:rPr>
        <w:t> </w:t>
      </w:r>
      <w:r>
        <w:rPr/>
        <w:t>and extracurricular activities—collectively influence the overall satisfaction of junior high school students. Addressing this gap is crucial to ensuring that educational strategies and institutional policies are tailored to the specific needs of this learner population.</w:t>
      </w:r>
    </w:p>
    <w:p>
      <w:pPr>
        <w:pStyle w:val="BodyText"/>
        <w:spacing w:line="259" w:lineRule="auto" w:before="158"/>
        <w:ind w:right="354" w:firstLine="720"/>
      </w:pPr>
      <w:r>
        <w:rPr/>
        <w:t>Previous research provides a foundation for the present study. For instance, Micabalo, Cano, and Montilla (2020) examined university students' satisfaction with instructional quality and institutional services in Cebu, identifying both strengths and areas for improvement. Anit (2024) investigated student satisfaction with frontline service delivery in private high schools and highlighted the variability of satisfaction across different student groups. Gorospe, Rabanal, and Talosa (2021) assessed satisfaction in higher education institutions, emphasizing the influence of resources and learning environments. Lastly, Bironia</w:t>
      </w:r>
      <w:r>
        <w:rPr>
          <w:spacing w:val="-10"/>
        </w:rPr>
        <w:t> </w:t>
      </w:r>
      <w:r>
        <w:rPr/>
        <w:t>and</w:t>
      </w:r>
      <w:r>
        <w:rPr>
          <w:spacing w:val="-7"/>
        </w:rPr>
        <w:t> </w:t>
      </w:r>
      <w:r>
        <w:rPr/>
        <w:t>Ecat</w:t>
      </w:r>
      <w:r>
        <w:rPr>
          <w:spacing w:val="-8"/>
        </w:rPr>
        <w:t> </w:t>
      </w:r>
      <w:r>
        <w:rPr/>
        <w:t>(2023)</w:t>
      </w:r>
      <w:r>
        <w:rPr>
          <w:spacing w:val="-7"/>
        </w:rPr>
        <w:t> </w:t>
      </w:r>
      <w:r>
        <w:rPr/>
        <w:t>explored</w:t>
      </w:r>
      <w:r>
        <w:rPr>
          <w:spacing w:val="-7"/>
        </w:rPr>
        <w:t> </w:t>
      </w:r>
      <w:r>
        <w:rPr/>
        <w:t>student</w:t>
      </w:r>
      <w:r>
        <w:rPr>
          <w:spacing w:val="-8"/>
        </w:rPr>
        <w:t> </w:t>
      </w:r>
      <w:r>
        <w:rPr/>
        <w:t>satisfaction</w:t>
      </w:r>
      <w:r>
        <w:rPr>
          <w:spacing w:val="-7"/>
        </w:rPr>
        <w:t> </w:t>
      </w:r>
      <w:r>
        <w:rPr/>
        <w:t>across</w:t>
      </w:r>
      <w:r>
        <w:rPr>
          <w:spacing w:val="-7"/>
        </w:rPr>
        <w:t> </w:t>
      </w:r>
      <w:r>
        <w:rPr/>
        <w:t>various</w:t>
      </w:r>
      <w:r>
        <w:rPr>
          <w:spacing w:val="-7"/>
        </w:rPr>
        <w:t> </w:t>
      </w:r>
      <w:r>
        <w:rPr/>
        <w:t>services</w:t>
      </w:r>
      <w:r>
        <w:rPr>
          <w:spacing w:val="-7"/>
        </w:rPr>
        <w:t> </w:t>
      </w:r>
      <w:r>
        <w:rPr/>
        <w:t>in</w:t>
      </w:r>
      <w:r>
        <w:rPr>
          <w:spacing w:val="-10"/>
        </w:rPr>
        <w:t> </w:t>
      </w:r>
      <w:r>
        <w:rPr/>
        <w:t>private</w:t>
      </w:r>
      <w:r>
        <w:rPr>
          <w:spacing w:val="-9"/>
        </w:rPr>
        <w:t> </w:t>
      </w:r>
      <w:r>
        <w:rPr/>
        <w:t>tertiary</w:t>
      </w:r>
      <w:r>
        <w:rPr>
          <w:spacing w:val="-14"/>
        </w:rPr>
        <w:t> </w:t>
      </w:r>
      <w:r>
        <w:rPr/>
        <w:t>institutions, underscoring the role of support systems and extracurricular engagement. Collectively, these studies suggest that multiple dimensions contribute to student satisfaction, while also reinforcing the need for research explicitly focused on junior high school students in private Philippine settings.</w:t>
      </w:r>
    </w:p>
    <w:p>
      <w:pPr>
        <w:pStyle w:val="BodyText"/>
        <w:spacing w:line="259" w:lineRule="auto" w:before="159"/>
        <w:ind w:right="362" w:firstLine="720"/>
      </w:pPr>
      <w:r>
        <w:rPr/>
        <w:t>In response to this research gap, the current study aims to evaluate the satisfaction of junior high school students at UCLM using a quantitative approach. By systematically assessing the five identified variables—teacher quality and instruction delivery, curriculum and academic workload, learning environment and peer interaction, school facilities and resources, and student support services and extracurricular activities—this study seeks to provide actionable insights that can guide institutional improvements and enhance student learning experiences. Ultimately, this research underscores the importance</w:t>
      </w:r>
      <w:r>
        <w:rPr>
          <w:spacing w:val="-2"/>
        </w:rPr>
        <w:t> </w:t>
      </w:r>
      <w:r>
        <w:rPr/>
        <w:t>of</w:t>
      </w:r>
      <w:r>
        <w:rPr>
          <w:spacing w:val="-4"/>
        </w:rPr>
        <w:t> </w:t>
      </w:r>
      <w:r>
        <w:rPr/>
        <w:t>listening</w:t>
      </w:r>
      <w:r>
        <w:rPr>
          <w:spacing w:val="-5"/>
        </w:rPr>
        <w:t> </w:t>
      </w:r>
      <w:r>
        <w:rPr/>
        <w:t>to</w:t>
      </w:r>
      <w:r>
        <w:rPr>
          <w:spacing w:val="-5"/>
        </w:rPr>
        <w:t> </w:t>
      </w:r>
      <w:r>
        <w:rPr/>
        <w:t>the</w:t>
      </w:r>
      <w:r>
        <w:rPr>
          <w:spacing w:val="-4"/>
        </w:rPr>
        <w:t> </w:t>
      </w:r>
      <w:r>
        <w:rPr/>
        <w:t>voices</w:t>
      </w:r>
      <w:r>
        <w:rPr>
          <w:spacing w:val="-2"/>
        </w:rPr>
        <w:t> </w:t>
      </w:r>
      <w:r>
        <w:rPr/>
        <w:t>of</w:t>
      </w:r>
      <w:r>
        <w:rPr>
          <w:spacing w:val="-4"/>
        </w:rPr>
        <w:t> </w:t>
      </w:r>
      <w:r>
        <w:rPr/>
        <w:t>junior</w:t>
      </w:r>
      <w:r>
        <w:rPr>
          <w:spacing w:val="-6"/>
        </w:rPr>
        <w:t> </w:t>
      </w:r>
      <w:r>
        <w:rPr/>
        <w:t>high</w:t>
      </w:r>
      <w:r>
        <w:rPr>
          <w:spacing w:val="-3"/>
        </w:rPr>
        <w:t> </w:t>
      </w:r>
      <w:r>
        <w:rPr/>
        <w:t>school</w:t>
      </w:r>
      <w:r>
        <w:rPr>
          <w:spacing w:val="-4"/>
        </w:rPr>
        <w:t> </w:t>
      </w:r>
      <w:r>
        <w:rPr/>
        <w:t>learners,</w:t>
      </w:r>
      <w:r>
        <w:rPr>
          <w:spacing w:val="-2"/>
        </w:rPr>
        <w:t> </w:t>
      </w:r>
      <w:r>
        <w:rPr/>
        <w:t>ensuring</w:t>
      </w:r>
      <w:r>
        <w:rPr>
          <w:spacing w:val="-5"/>
        </w:rPr>
        <w:t> </w:t>
      </w:r>
      <w:r>
        <w:rPr/>
        <w:t>that</w:t>
      </w:r>
      <w:r>
        <w:rPr>
          <w:spacing w:val="-2"/>
        </w:rPr>
        <w:t> </w:t>
      </w:r>
      <w:r>
        <w:rPr/>
        <w:t>their</w:t>
      </w:r>
      <w:r>
        <w:rPr>
          <w:spacing w:val="-4"/>
        </w:rPr>
        <w:t> </w:t>
      </w:r>
      <w:r>
        <w:rPr/>
        <w:t>perspectives</w:t>
      </w:r>
      <w:r>
        <w:rPr>
          <w:spacing w:val="-3"/>
        </w:rPr>
        <w:t> </w:t>
      </w:r>
      <w:r>
        <w:rPr/>
        <w:t>inform the development of a more effective, responsive, and student-centered educational environment.</w:t>
      </w:r>
    </w:p>
    <w:p>
      <w:pPr>
        <w:pStyle w:val="BodyText"/>
        <w:spacing w:after="0" w:line="259" w:lineRule="auto"/>
        <w:sectPr>
          <w:headerReference w:type="default" r:id="rId17"/>
          <w:footerReference w:type="default" r:id="rId18"/>
          <w:pgSz w:w="12240" w:h="15840"/>
          <w:pgMar w:header="98" w:footer="938" w:top="1340" w:bottom="1160" w:left="720" w:right="1080"/>
          <w:pgNumType w:start="2"/>
        </w:sectPr>
      </w:pPr>
    </w:p>
    <w:p>
      <w:pPr>
        <w:pStyle w:val="Heading2"/>
        <w:spacing w:before="110"/>
        <w:ind w:left="720" w:right="0"/>
        <w:jc w:val="left"/>
      </w:pPr>
      <w:r>
        <w:rPr/>
        <w:t>Related</w:t>
      </w:r>
      <w:r>
        <w:rPr>
          <w:spacing w:val="-1"/>
        </w:rPr>
        <w:t> </w:t>
      </w:r>
      <w:r>
        <w:rPr>
          <w:spacing w:val="-2"/>
        </w:rPr>
        <w:t>Studies</w:t>
      </w:r>
    </w:p>
    <w:p>
      <w:pPr>
        <w:pStyle w:val="BodyText"/>
        <w:spacing w:line="259" w:lineRule="auto" w:before="176"/>
        <w:ind w:right="363" w:firstLine="720"/>
      </w:pPr>
      <w:r>
        <w:rPr/>
        <w:t>Mohamad (2023) explored the relationship between the learning environment and academic engagement in science among junior high school students. The study identified that elements such as teacher</w:t>
      </w:r>
      <w:r>
        <w:rPr>
          <w:spacing w:val="-1"/>
        </w:rPr>
        <w:t> </w:t>
      </w:r>
      <w:r>
        <w:rPr/>
        <w:t>support,</w:t>
      </w:r>
      <w:r>
        <w:rPr>
          <w:spacing w:val="-3"/>
        </w:rPr>
        <w:t> </w:t>
      </w:r>
      <w:r>
        <w:rPr/>
        <w:t>student</w:t>
      </w:r>
      <w:r>
        <w:rPr>
          <w:spacing w:val="-1"/>
        </w:rPr>
        <w:t> </w:t>
      </w:r>
      <w:r>
        <w:rPr/>
        <w:t>cohesiveness,</w:t>
      </w:r>
      <w:r>
        <w:rPr>
          <w:spacing w:val="-2"/>
        </w:rPr>
        <w:t> </w:t>
      </w:r>
      <w:r>
        <w:rPr/>
        <w:t>and</w:t>
      </w:r>
      <w:r>
        <w:rPr>
          <w:spacing w:val="-5"/>
        </w:rPr>
        <w:t> </w:t>
      </w:r>
      <w:r>
        <w:rPr/>
        <w:t>the</w:t>
      </w:r>
      <w:r>
        <w:rPr>
          <w:spacing w:val="-1"/>
        </w:rPr>
        <w:t> </w:t>
      </w:r>
      <w:r>
        <w:rPr/>
        <w:t>material</w:t>
      </w:r>
      <w:r>
        <w:rPr>
          <w:spacing w:val="-3"/>
        </w:rPr>
        <w:t> </w:t>
      </w:r>
      <w:r>
        <w:rPr/>
        <w:t>environment</w:t>
      </w:r>
      <w:r>
        <w:rPr>
          <w:spacing w:val="-1"/>
        </w:rPr>
        <w:t> </w:t>
      </w:r>
      <w:r>
        <w:rPr/>
        <w:t>significantly</w:t>
      </w:r>
      <w:r>
        <w:rPr>
          <w:spacing w:val="-9"/>
        </w:rPr>
        <w:t> </w:t>
      </w:r>
      <w:r>
        <w:rPr/>
        <w:t>correlated</w:t>
      </w:r>
      <w:r>
        <w:rPr>
          <w:spacing w:val="-3"/>
        </w:rPr>
        <w:t> </w:t>
      </w:r>
      <w:r>
        <w:rPr/>
        <w:t>with</w:t>
      </w:r>
      <w:r>
        <w:rPr>
          <w:spacing w:val="-4"/>
        </w:rPr>
        <w:t> </w:t>
      </w:r>
      <w:r>
        <w:rPr/>
        <w:t>students' academic engagement in science subjects. These findings underscore the crucial role of a supportive and resource-rich learning environment in promoting student engagement.</w:t>
      </w:r>
    </w:p>
    <w:p>
      <w:pPr>
        <w:pStyle w:val="BodyText"/>
        <w:spacing w:line="259" w:lineRule="auto" w:before="157"/>
        <w:ind w:right="360" w:firstLine="720"/>
      </w:pPr>
      <w:r>
        <w:rPr/>
        <w:t>Averion and Caleja (2020) investigated the work commitment and job satisfaction of junior high school teachers in</w:t>
      </w:r>
      <w:r>
        <w:rPr>
          <w:spacing w:val="-3"/>
        </w:rPr>
        <w:t> </w:t>
      </w:r>
      <w:r>
        <w:rPr/>
        <w:t>the Philippines. Their research indicated that teachers' job</w:t>
      </w:r>
      <w:r>
        <w:rPr>
          <w:spacing w:val="-1"/>
        </w:rPr>
        <w:t> </w:t>
      </w:r>
      <w:r>
        <w:rPr/>
        <w:t>satisfaction and commitment levels positively</w:t>
      </w:r>
      <w:r>
        <w:rPr>
          <w:spacing w:val="-1"/>
        </w:rPr>
        <w:t> </w:t>
      </w:r>
      <w:r>
        <w:rPr/>
        <w:t>influenced their teaching performance, which, in turn, affected student satisfaction. This study highlights the interconnection between teacher well being and student satisfaction.</w:t>
      </w:r>
    </w:p>
    <w:p>
      <w:pPr>
        <w:pStyle w:val="BodyText"/>
        <w:spacing w:line="259" w:lineRule="auto" w:before="160"/>
        <w:ind w:right="353" w:firstLine="720"/>
      </w:pPr>
      <w:r>
        <w:rPr/>
        <w:t>Cinches</w:t>
      </w:r>
      <w:r>
        <w:rPr>
          <w:spacing w:val="-14"/>
        </w:rPr>
        <w:t> </w:t>
      </w:r>
      <w:r>
        <w:rPr/>
        <w:t>et</w:t>
      </w:r>
      <w:r>
        <w:rPr>
          <w:spacing w:val="-14"/>
        </w:rPr>
        <w:t> </w:t>
      </w:r>
      <w:r>
        <w:rPr/>
        <w:t>al.</w:t>
      </w:r>
      <w:r>
        <w:rPr>
          <w:spacing w:val="-14"/>
        </w:rPr>
        <w:t> </w:t>
      </w:r>
      <w:r>
        <w:rPr/>
        <w:t>(2016)</w:t>
      </w:r>
      <w:r>
        <w:rPr>
          <w:spacing w:val="-13"/>
        </w:rPr>
        <w:t> </w:t>
      </w:r>
      <w:r>
        <w:rPr/>
        <w:t>examined</w:t>
      </w:r>
      <w:r>
        <w:rPr>
          <w:spacing w:val="-14"/>
        </w:rPr>
        <w:t> </w:t>
      </w:r>
      <w:r>
        <w:rPr/>
        <w:t>the</w:t>
      </w:r>
      <w:r>
        <w:rPr>
          <w:spacing w:val="-14"/>
        </w:rPr>
        <w:t> </w:t>
      </w:r>
      <w:r>
        <w:rPr/>
        <w:t>relationship</w:t>
      </w:r>
      <w:r>
        <w:rPr>
          <w:spacing w:val="-14"/>
        </w:rPr>
        <w:t> </w:t>
      </w:r>
      <w:r>
        <w:rPr/>
        <w:t>between</w:t>
      </w:r>
      <w:r>
        <w:rPr>
          <w:spacing w:val="-13"/>
        </w:rPr>
        <w:t> </w:t>
      </w:r>
      <w:r>
        <w:rPr/>
        <w:t>student</w:t>
      </w:r>
      <w:r>
        <w:rPr>
          <w:spacing w:val="-14"/>
        </w:rPr>
        <w:t> </w:t>
      </w:r>
      <w:r>
        <w:rPr/>
        <w:t>engagement,</w:t>
      </w:r>
      <w:r>
        <w:rPr>
          <w:spacing w:val="-14"/>
        </w:rPr>
        <w:t> </w:t>
      </w:r>
      <w:r>
        <w:rPr/>
        <w:t>teacher</w:t>
      </w:r>
      <w:r>
        <w:rPr>
          <w:spacing w:val="-14"/>
        </w:rPr>
        <w:t> </w:t>
      </w:r>
      <w:r>
        <w:rPr/>
        <w:t>effectiveness, and</w:t>
      </w:r>
      <w:r>
        <w:rPr>
          <w:spacing w:val="-3"/>
        </w:rPr>
        <w:t> </w:t>
      </w:r>
      <w:r>
        <w:rPr/>
        <w:t>teacher</w:t>
      </w:r>
      <w:r>
        <w:rPr>
          <w:spacing w:val="-3"/>
        </w:rPr>
        <w:t> </w:t>
      </w:r>
      <w:r>
        <w:rPr/>
        <w:t>engagement</w:t>
      </w:r>
      <w:r>
        <w:rPr>
          <w:spacing w:val="-3"/>
        </w:rPr>
        <w:t> </w:t>
      </w:r>
      <w:r>
        <w:rPr/>
        <w:t>in</w:t>
      </w:r>
      <w:r>
        <w:rPr>
          <w:spacing w:val="-4"/>
        </w:rPr>
        <w:t> </w:t>
      </w:r>
      <w:r>
        <w:rPr/>
        <w:t>a</w:t>
      </w:r>
      <w:r>
        <w:rPr>
          <w:spacing w:val="-3"/>
        </w:rPr>
        <w:t> </w:t>
      </w:r>
      <w:r>
        <w:rPr/>
        <w:t>Philippine</w:t>
      </w:r>
      <w:r>
        <w:rPr>
          <w:spacing w:val="-3"/>
        </w:rPr>
        <w:t> </w:t>
      </w:r>
      <w:r>
        <w:rPr/>
        <w:t>university</w:t>
      </w:r>
      <w:r>
        <w:rPr>
          <w:spacing w:val="-10"/>
        </w:rPr>
        <w:t> </w:t>
      </w:r>
      <w:r>
        <w:rPr/>
        <w:t>setting.</w:t>
      </w:r>
      <w:r>
        <w:rPr>
          <w:spacing w:val="-3"/>
        </w:rPr>
        <w:t> </w:t>
      </w:r>
      <w:r>
        <w:rPr/>
        <w:t>Their</w:t>
      </w:r>
      <w:r>
        <w:rPr>
          <w:spacing w:val="-3"/>
        </w:rPr>
        <w:t> </w:t>
      </w:r>
      <w:r>
        <w:rPr/>
        <w:t>study</w:t>
      </w:r>
      <w:r>
        <w:rPr>
          <w:spacing w:val="-10"/>
        </w:rPr>
        <w:t> </w:t>
      </w:r>
      <w:r>
        <w:rPr/>
        <w:t>found</w:t>
      </w:r>
      <w:r>
        <w:rPr>
          <w:spacing w:val="-4"/>
        </w:rPr>
        <w:t> </w:t>
      </w:r>
      <w:r>
        <w:rPr/>
        <w:t>that</w:t>
      </w:r>
      <w:r>
        <w:rPr>
          <w:spacing w:val="-3"/>
        </w:rPr>
        <w:t> </w:t>
      </w:r>
      <w:r>
        <w:rPr/>
        <w:t>teacher</w:t>
      </w:r>
      <w:r>
        <w:rPr>
          <w:spacing w:val="-5"/>
        </w:rPr>
        <w:t> </w:t>
      </w:r>
      <w:r>
        <w:rPr/>
        <w:t>effectiveness</w:t>
      </w:r>
      <w:r>
        <w:rPr>
          <w:spacing w:val="-3"/>
        </w:rPr>
        <w:t> </w:t>
      </w:r>
      <w:r>
        <w:rPr/>
        <w:t>and student</w:t>
      </w:r>
      <w:r>
        <w:rPr>
          <w:spacing w:val="-4"/>
        </w:rPr>
        <w:t> </w:t>
      </w:r>
      <w:r>
        <w:rPr/>
        <w:t>engagement</w:t>
      </w:r>
      <w:r>
        <w:rPr>
          <w:spacing w:val="-3"/>
        </w:rPr>
        <w:t> </w:t>
      </w:r>
      <w:r>
        <w:rPr/>
        <w:t>are</w:t>
      </w:r>
      <w:r>
        <w:rPr>
          <w:spacing w:val="-3"/>
        </w:rPr>
        <w:t> </w:t>
      </w:r>
      <w:r>
        <w:rPr/>
        <w:t>significantly</w:t>
      </w:r>
      <w:r>
        <w:rPr>
          <w:spacing w:val="-12"/>
        </w:rPr>
        <w:t> </w:t>
      </w:r>
      <w:r>
        <w:rPr/>
        <w:t>correlated,</w:t>
      </w:r>
      <w:r>
        <w:rPr>
          <w:spacing w:val="-4"/>
        </w:rPr>
        <w:t> </w:t>
      </w:r>
      <w:r>
        <w:rPr/>
        <w:t>suggesting</w:t>
      </w:r>
      <w:r>
        <w:rPr>
          <w:spacing w:val="-6"/>
        </w:rPr>
        <w:t> </w:t>
      </w:r>
      <w:r>
        <w:rPr/>
        <w:t>that</w:t>
      </w:r>
      <w:r>
        <w:rPr>
          <w:spacing w:val="-5"/>
        </w:rPr>
        <w:t> </w:t>
      </w:r>
      <w:r>
        <w:rPr/>
        <w:t>improvements</w:t>
      </w:r>
      <w:r>
        <w:rPr>
          <w:spacing w:val="-2"/>
        </w:rPr>
        <w:t> </w:t>
      </w:r>
      <w:r>
        <w:rPr/>
        <w:t>in</w:t>
      </w:r>
      <w:r>
        <w:rPr>
          <w:spacing w:val="-5"/>
        </w:rPr>
        <w:t> </w:t>
      </w:r>
      <w:r>
        <w:rPr/>
        <w:t>teaching</w:t>
      </w:r>
      <w:r>
        <w:rPr>
          <w:spacing w:val="-8"/>
        </w:rPr>
        <w:t> </w:t>
      </w:r>
      <w:r>
        <w:rPr/>
        <w:t>quality</w:t>
      </w:r>
      <w:r>
        <w:rPr>
          <w:spacing w:val="-12"/>
        </w:rPr>
        <w:t> </w:t>
      </w:r>
      <w:r>
        <w:rPr/>
        <w:t>can</w:t>
      </w:r>
      <w:r>
        <w:rPr>
          <w:spacing w:val="-2"/>
        </w:rPr>
        <w:t> </w:t>
      </w:r>
      <w:r>
        <w:rPr/>
        <w:t>lead to enhanced student satisfaction.</w:t>
      </w:r>
    </w:p>
    <w:p>
      <w:pPr>
        <w:pStyle w:val="BodyText"/>
        <w:spacing w:line="259" w:lineRule="auto" w:before="159"/>
        <w:ind w:right="360" w:firstLine="720"/>
      </w:pPr>
      <w:r>
        <w:rPr/>
        <w:t>Galvez (2022) evaluated the effectiveness of student affairs and services at a university in the Philippines.</w:t>
      </w:r>
      <w:r>
        <w:rPr>
          <w:spacing w:val="-16"/>
        </w:rPr>
        <w:t> </w:t>
      </w:r>
      <w:r>
        <w:rPr/>
        <w:t>The</w:t>
      </w:r>
      <w:r>
        <w:rPr>
          <w:spacing w:val="-14"/>
        </w:rPr>
        <w:t> </w:t>
      </w:r>
      <w:r>
        <w:rPr/>
        <w:t>study</w:t>
      </w:r>
      <w:r>
        <w:rPr>
          <w:spacing w:val="-14"/>
        </w:rPr>
        <w:t> </w:t>
      </w:r>
      <w:r>
        <w:rPr/>
        <w:t>found</w:t>
      </w:r>
      <w:r>
        <w:rPr>
          <w:spacing w:val="-13"/>
        </w:rPr>
        <w:t> </w:t>
      </w:r>
      <w:r>
        <w:rPr/>
        <w:t>that</w:t>
      </w:r>
      <w:r>
        <w:rPr>
          <w:spacing w:val="-14"/>
        </w:rPr>
        <w:t> </w:t>
      </w:r>
      <w:r>
        <w:rPr/>
        <w:t>the</w:t>
      </w:r>
      <w:r>
        <w:rPr>
          <w:spacing w:val="-14"/>
        </w:rPr>
        <w:t> </w:t>
      </w:r>
      <w:r>
        <w:rPr/>
        <w:t>quality</w:t>
      </w:r>
      <w:r>
        <w:rPr>
          <w:spacing w:val="-14"/>
        </w:rPr>
        <w:t> </w:t>
      </w:r>
      <w:r>
        <w:rPr/>
        <w:t>of</w:t>
      </w:r>
      <w:r>
        <w:rPr>
          <w:spacing w:val="-13"/>
        </w:rPr>
        <w:t> </w:t>
      </w:r>
      <w:r>
        <w:rPr/>
        <w:t>student</w:t>
      </w:r>
      <w:r>
        <w:rPr>
          <w:spacing w:val="-14"/>
        </w:rPr>
        <w:t> </w:t>
      </w:r>
      <w:r>
        <w:rPr/>
        <w:t>support</w:t>
      </w:r>
      <w:r>
        <w:rPr>
          <w:spacing w:val="-14"/>
        </w:rPr>
        <w:t> </w:t>
      </w:r>
      <w:r>
        <w:rPr/>
        <w:t>services</w:t>
      </w:r>
      <w:r>
        <w:rPr>
          <w:spacing w:val="-14"/>
        </w:rPr>
        <w:t> </w:t>
      </w:r>
      <w:r>
        <w:rPr/>
        <w:t>has</w:t>
      </w:r>
      <w:r>
        <w:rPr>
          <w:spacing w:val="-13"/>
        </w:rPr>
        <w:t> </w:t>
      </w:r>
      <w:r>
        <w:rPr/>
        <w:t>a</w:t>
      </w:r>
      <w:r>
        <w:rPr>
          <w:spacing w:val="-14"/>
        </w:rPr>
        <w:t> </w:t>
      </w:r>
      <w:r>
        <w:rPr/>
        <w:t>significant</w:t>
      </w:r>
      <w:r>
        <w:rPr>
          <w:spacing w:val="-14"/>
        </w:rPr>
        <w:t> </w:t>
      </w:r>
      <w:r>
        <w:rPr/>
        <w:t>impact</w:t>
      </w:r>
      <w:r>
        <w:rPr>
          <w:spacing w:val="-14"/>
        </w:rPr>
        <w:t> </w:t>
      </w:r>
      <w:r>
        <w:rPr/>
        <w:t>on</w:t>
      </w:r>
      <w:r>
        <w:rPr>
          <w:spacing w:val="-13"/>
        </w:rPr>
        <w:t> </w:t>
      </w:r>
      <w:r>
        <w:rPr/>
        <w:t>students' satisfaction levels, underscoring the importance of comprehensive support systems in educational </w:t>
      </w:r>
      <w:r>
        <w:rPr>
          <w:spacing w:val="-2"/>
        </w:rPr>
        <w:t>institutions.</w:t>
      </w:r>
    </w:p>
    <w:p>
      <w:pPr>
        <w:pStyle w:val="BodyText"/>
        <w:spacing w:line="259" w:lineRule="auto" w:before="159"/>
        <w:ind w:right="356" w:firstLine="720"/>
      </w:pPr>
      <w:r>
        <w:rPr/>
        <w:t>Marasigan (2020) assessed the</w:t>
      </w:r>
      <w:r>
        <w:rPr>
          <w:spacing w:val="-1"/>
        </w:rPr>
        <w:t> </w:t>
      </w:r>
      <w:r>
        <w:rPr/>
        <w:t>status of</w:t>
      </w:r>
      <w:r>
        <w:rPr>
          <w:spacing w:val="-1"/>
        </w:rPr>
        <w:t> </w:t>
      </w:r>
      <w:r>
        <w:rPr/>
        <w:t>science laboratory</w:t>
      </w:r>
      <w:r>
        <w:rPr>
          <w:spacing w:val="-8"/>
        </w:rPr>
        <w:t> </w:t>
      </w:r>
      <w:r>
        <w:rPr/>
        <w:t>facilities</w:t>
      </w:r>
      <w:r>
        <w:rPr>
          <w:spacing w:val="-1"/>
        </w:rPr>
        <w:t> </w:t>
      </w:r>
      <w:r>
        <w:rPr/>
        <w:t>in a public</w:t>
      </w:r>
      <w:r>
        <w:rPr>
          <w:spacing w:val="-1"/>
        </w:rPr>
        <w:t> </w:t>
      </w:r>
      <w:r>
        <w:rPr/>
        <w:t>junior</w:t>
      </w:r>
      <w:r>
        <w:rPr>
          <w:spacing w:val="-1"/>
        </w:rPr>
        <w:t> </w:t>
      </w:r>
      <w:r>
        <w:rPr/>
        <w:t>high</w:t>
      </w:r>
      <w:r>
        <w:rPr>
          <w:spacing w:val="-2"/>
        </w:rPr>
        <w:t> </w:t>
      </w:r>
      <w:r>
        <w:rPr/>
        <w:t>school in</w:t>
      </w:r>
      <w:r>
        <w:rPr>
          <w:spacing w:val="-13"/>
        </w:rPr>
        <w:t> </w:t>
      </w:r>
      <w:r>
        <w:rPr/>
        <w:t>Lanao</w:t>
      </w:r>
      <w:r>
        <w:rPr>
          <w:spacing w:val="-11"/>
        </w:rPr>
        <w:t> </w:t>
      </w:r>
      <w:r>
        <w:rPr/>
        <w:t>del</w:t>
      </w:r>
      <w:r>
        <w:rPr>
          <w:spacing w:val="-11"/>
        </w:rPr>
        <w:t> </w:t>
      </w:r>
      <w:r>
        <w:rPr/>
        <w:t>Sur,</w:t>
      </w:r>
      <w:r>
        <w:rPr>
          <w:spacing w:val="-10"/>
        </w:rPr>
        <w:t> </w:t>
      </w:r>
      <w:r>
        <w:rPr/>
        <w:t>Philippines.</w:t>
      </w:r>
      <w:r>
        <w:rPr>
          <w:spacing w:val="-11"/>
        </w:rPr>
        <w:t> </w:t>
      </w:r>
      <w:r>
        <w:rPr/>
        <w:t>The</w:t>
      </w:r>
      <w:r>
        <w:rPr>
          <w:spacing w:val="-12"/>
        </w:rPr>
        <w:t> </w:t>
      </w:r>
      <w:r>
        <w:rPr/>
        <w:t>study</w:t>
      </w:r>
      <w:r>
        <w:rPr>
          <w:spacing w:val="-14"/>
        </w:rPr>
        <w:t> </w:t>
      </w:r>
      <w:r>
        <w:rPr/>
        <w:t>highlighted</w:t>
      </w:r>
      <w:r>
        <w:rPr>
          <w:spacing w:val="-11"/>
        </w:rPr>
        <w:t> </w:t>
      </w:r>
      <w:r>
        <w:rPr/>
        <w:t>that</w:t>
      </w:r>
      <w:r>
        <w:rPr>
          <w:spacing w:val="-11"/>
        </w:rPr>
        <w:t> </w:t>
      </w:r>
      <w:r>
        <w:rPr/>
        <w:t>the</w:t>
      </w:r>
      <w:r>
        <w:rPr>
          <w:spacing w:val="-11"/>
        </w:rPr>
        <w:t> </w:t>
      </w:r>
      <w:r>
        <w:rPr/>
        <w:t>adequacy</w:t>
      </w:r>
      <w:r>
        <w:rPr>
          <w:spacing w:val="-13"/>
        </w:rPr>
        <w:t> </w:t>
      </w:r>
      <w:r>
        <w:rPr/>
        <w:t>and</w:t>
      </w:r>
      <w:r>
        <w:rPr>
          <w:spacing w:val="-9"/>
        </w:rPr>
        <w:t> </w:t>
      </w:r>
      <w:r>
        <w:rPr/>
        <w:t>condition</w:t>
      </w:r>
      <w:r>
        <w:rPr>
          <w:spacing w:val="-12"/>
        </w:rPr>
        <w:t> </w:t>
      </w:r>
      <w:r>
        <w:rPr/>
        <w:t>of</w:t>
      </w:r>
      <w:r>
        <w:rPr>
          <w:spacing w:val="-11"/>
        </w:rPr>
        <w:t> </w:t>
      </w:r>
      <w:r>
        <w:rPr/>
        <w:t>science</w:t>
      </w:r>
      <w:r>
        <w:rPr>
          <w:spacing w:val="-11"/>
        </w:rPr>
        <w:t> </w:t>
      </w:r>
      <w:r>
        <w:rPr/>
        <w:t>laboratories directly</w:t>
      </w:r>
      <w:r>
        <w:rPr>
          <w:spacing w:val="-14"/>
        </w:rPr>
        <w:t> </w:t>
      </w:r>
      <w:r>
        <w:rPr/>
        <w:t>impact</w:t>
      </w:r>
      <w:r>
        <w:rPr>
          <w:spacing w:val="-11"/>
        </w:rPr>
        <w:t> </w:t>
      </w:r>
      <w:r>
        <w:rPr/>
        <w:t>students'</w:t>
      </w:r>
      <w:r>
        <w:rPr>
          <w:spacing w:val="-12"/>
        </w:rPr>
        <w:t> </w:t>
      </w:r>
      <w:r>
        <w:rPr/>
        <w:t>learning</w:t>
      </w:r>
      <w:r>
        <w:rPr>
          <w:spacing w:val="-12"/>
        </w:rPr>
        <w:t> </w:t>
      </w:r>
      <w:r>
        <w:rPr/>
        <w:t>experiences</w:t>
      </w:r>
      <w:r>
        <w:rPr>
          <w:spacing w:val="-13"/>
        </w:rPr>
        <w:t> </w:t>
      </w:r>
      <w:r>
        <w:rPr/>
        <w:t>and</w:t>
      </w:r>
      <w:r>
        <w:rPr>
          <w:spacing w:val="-10"/>
        </w:rPr>
        <w:t> </w:t>
      </w:r>
      <w:r>
        <w:rPr/>
        <w:t>satisfaction,</w:t>
      </w:r>
      <w:r>
        <w:rPr>
          <w:spacing w:val="-12"/>
        </w:rPr>
        <w:t> </w:t>
      </w:r>
      <w:r>
        <w:rPr/>
        <w:t>emphasizing</w:t>
      </w:r>
      <w:r>
        <w:rPr>
          <w:spacing w:val="-13"/>
        </w:rPr>
        <w:t> </w:t>
      </w:r>
      <w:r>
        <w:rPr/>
        <w:t>the</w:t>
      </w:r>
      <w:r>
        <w:rPr>
          <w:spacing w:val="-12"/>
        </w:rPr>
        <w:t> </w:t>
      </w:r>
      <w:r>
        <w:rPr/>
        <w:t>need</w:t>
      </w:r>
      <w:r>
        <w:rPr>
          <w:spacing w:val="-12"/>
        </w:rPr>
        <w:t> </w:t>
      </w:r>
      <w:r>
        <w:rPr/>
        <w:t>for</w:t>
      </w:r>
      <w:r>
        <w:rPr>
          <w:spacing w:val="-12"/>
        </w:rPr>
        <w:t> </w:t>
      </w:r>
      <w:r>
        <w:rPr/>
        <w:t>investment</w:t>
      </w:r>
      <w:r>
        <w:rPr>
          <w:spacing w:val="-10"/>
        </w:rPr>
        <w:t> </w:t>
      </w:r>
      <w:r>
        <w:rPr/>
        <w:t>in</w:t>
      </w:r>
      <w:r>
        <w:rPr>
          <w:spacing w:val="-12"/>
        </w:rPr>
        <w:t> </w:t>
      </w:r>
      <w:r>
        <w:rPr/>
        <w:t>such </w:t>
      </w:r>
      <w:r>
        <w:rPr>
          <w:spacing w:val="-2"/>
        </w:rPr>
        <w:t>facilities.</w:t>
      </w:r>
    </w:p>
    <w:p>
      <w:pPr>
        <w:pStyle w:val="Heading2"/>
        <w:spacing w:before="165"/>
        <w:ind w:left="720" w:right="0"/>
        <w:jc w:val="left"/>
      </w:pPr>
      <w:r>
        <w:rPr>
          <w:spacing w:val="-2"/>
        </w:rPr>
        <w:t>Synthesis</w:t>
      </w:r>
    </w:p>
    <w:p>
      <w:pPr>
        <w:pStyle w:val="BodyText"/>
        <w:spacing w:line="259" w:lineRule="auto" w:before="176"/>
        <w:ind w:right="357" w:firstLine="720"/>
      </w:pPr>
      <w:r>
        <w:rPr/>
        <w:t>The reviewed Philippine studies collectively illustrate that student satisfaction in junior high schools is a multidimensional construct, influenced by</w:t>
      </w:r>
      <w:r>
        <w:rPr>
          <w:spacing w:val="-1"/>
        </w:rPr>
        <w:t> </w:t>
      </w:r>
      <w:r>
        <w:rPr/>
        <w:t>both academic and non-academic factors. Teacher quality and instructional effectiveness emerge consistently as crucial determinants, as highlighted by Cinches, Polancos, and Salumintao (2016). This study emphasizes that competent, engaging, and supportive teaching practices significantly enhance students’ perception of their learning experience.</w:t>
      </w:r>
    </w:p>
    <w:p>
      <w:pPr>
        <w:pStyle w:val="BodyText"/>
        <w:spacing w:line="259" w:lineRule="auto" w:before="158"/>
        <w:ind w:right="359" w:firstLine="720"/>
      </w:pPr>
      <w:r>
        <w:rPr/>
        <w:t>Similarly, the learning environment, including peer interactions and classroom resources, plays a crucial</w:t>
      </w:r>
      <w:r>
        <w:rPr>
          <w:spacing w:val="-10"/>
        </w:rPr>
        <w:t> </w:t>
      </w:r>
      <w:r>
        <w:rPr/>
        <w:t>role</w:t>
      </w:r>
      <w:r>
        <w:rPr>
          <w:spacing w:val="-12"/>
        </w:rPr>
        <w:t> </w:t>
      </w:r>
      <w:r>
        <w:rPr/>
        <w:t>in</w:t>
      </w:r>
      <w:r>
        <w:rPr>
          <w:spacing w:val="-11"/>
        </w:rPr>
        <w:t> </w:t>
      </w:r>
      <w:r>
        <w:rPr/>
        <w:t>shaping</w:t>
      </w:r>
      <w:r>
        <w:rPr>
          <w:spacing w:val="-13"/>
        </w:rPr>
        <w:t> </w:t>
      </w:r>
      <w:r>
        <w:rPr/>
        <w:t>student</w:t>
      </w:r>
      <w:r>
        <w:rPr>
          <w:spacing w:val="-12"/>
        </w:rPr>
        <w:t> </w:t>
      </w:r>
      <w:r>
        <w:rPr/>
        <w:t>satisfaction.</w:t>
      </w:r>
      <w:r>
        <w:rPr>
          <w:spacing w:val="-10"/>
        </w:rPr>
        <w:t> </w:t>
      </w:r>
      <w:r>
        <w:rPr/>
        <w:t>Marasigan</w:t>
      </w:r>
      <w:r>
        <w:rPr>
          <w:spacing w:val="-10"/>
        </w:rPr>
        <w:t> </w:t>
      </w:r>
      <w:r>
        <w:rPr/>
        <w:t>(2020)</w:t>
      </w:r>
      <w:r>
        <w:rPr>
          <w:spacing w:val="-10"/>
        </w:rPr>
        <w:t> </w:t>
      </w:r>
      <w:r>
        <w:rPr/>
        <w:t>demonstrates</w:t>
      </w:r>
      <w:r>
        <w:rPr>
          <w:spacing w:val="-12"/>
        </w:rPr>
        <w:t> </w:t>
      </w:r>
      <w:r>
        <w:rPr/>
        <w:t>that</w:t>
      </w:r>
      <w:r>
        <w:rPr>
          <w:spacing w:val="-11"/>
        </w:rPr>
        <w:t> </w:t>
      </w:r>
      <w:r>
        <w:rPr/>
        <w:t>the</w:t>
      </w:r>
      <w:r>
        <w:rPr>
          <w:spacing w:val="-12"/>
        </w:rPr>
        <w:t> </w:t>
      </w:r>
      <w:r>
        <w:rPr/>
        <w:t>adequacy</w:t>
      </w:r>
      <w:r>
        <w:rPr>
          <w:spacing w:val="-13"/>
        </w:rPr>
        <w:t> </w:t>
      </w:r>
      <w:r>
        <w:rPr/>
        <w:t>and</w:t>
      </w:r>
      <w:r>
        <w:rPr>
          <w:spacing w:val="-10"/>
        </w:rPr>
        <w:t> </w:t>
      </w:r>
      <w:r>
        <w:rPr/>
        <w:t>condition of laboratory facilities directly affect students' engagement and satisfaction in science learning.</w:t>
      </w:r>
    </w:p>
    <w:p>
      <w:pPr>
        <w:pStyle w:val="BodyText"/>
        <w:spacing w:line="259" w:lineRule="auto" w:before="160"/>
        <w:ind w:right="359" w:firstLine="720"/>
      </w:pPr>
      <w:r>
        <w:rPr/>
        <w:t>Moreover,</w:t>
      </w:r>
      <w:r>
        <w:rPr>
          <w:spacing w:val="-2"/>
        </w:rPr>
        <w:t> </w:t>
      </w:r>
      <w:r>
        <w:rPr/>
        <w:t>the</w:t>
      </w:r>
      <w:r>
        <w:rPr>
          <w:spacing w:val="-2"/>
        </w:rPr>
        <w:t> </w:t>
      </w:r>
      <w:r>
        <w:rPr/>
        <w:t>availability</w:t>
      </w:r>
      <w:r>
        <w:rPr>
          <w:spacing w:val="-8"/>
        </w:rPr>
        <w:t> </w:t>
      </w:r>
      <w:r>
        <w:rPr/>
        <w:t>and</w:t>
      </w:r>
      <w:r>
        <w:rPr>
          <w:spacing w:val="-2"/>
        </w:rPr>
        <w:t> </w:t>
      </w:r>
      <w:r>
        <w:rPr/>
        <w:t>quality</w:t>
      </w:r>
      <w:r>
        <w:rPr>
          <w:spacing w:val="-8"/>
        </w:rPr>
        <w:t> </w:t>
      </w:r>
      <w:r>
        <w:rPr/>
        <w:t>of</w:t>
      </w:r>
      <w:r>
        <w:rPr>
          <w:spacing w:val="-2"/>
        </w:rPr>
        <w:t> </w:t>
      </w:r>
      <w:r>
        <w:rPr/>
        <w:t>student</w:t>
      </w:r>
      <w:r>
        <w:rPr>
          <w:spacing w:val="-2"/>
        </w:rPr>
        <w:t> </w:t>
      </w:r>
      <w:r>
        <w:rPr/>
        <w:t>support</w:t>
      </w:r>
      <w:r>
        <w:rPr>
          <w:spacing w:val="-2"/>
        </w:rPr>
        <w:t> </w:t>
      </w:r>
      <w:r>
        <w:rPr/>
        <w:t>services</w:t>
      </w:r>
      <w:r>
        <w:rPr>
          <w:spacing w:val="-2"/>
        </w:rPr>
        <w:t> </w:t>
      </w:r>
      <w:r>
        <w:rPr/>
        <w:t>and</w:t>
      </w:r>
      <w:r>
        <w:rPr>
          <w:spacing w:val="-3"/>
        </w:rPr>
        <w:t> </w:t>
      </w:r>
      <w:r>
        <w:rPr/>
        <w:t>extracurricular</w:t>
      </w:r>
      <w:r>
        <w:rPr>
          <w:spacing w:val="-2"/>
        </w:rPr>
        <w:t> </w:t>
      </w:r>
      <w:r>
        <w:rPr/>
        <w:t>activities</w:t>
      </w:r>
      <w:r>
        <w:rPr>
          <w:spacing w:val="-4"/>
        </w:rPr>
        <w:t> </w:t>
      </w:r>
      <w:r>
        <w:rPr/>
        <w:t>are vital components of holistic satisfaction. Galvez (2022) highlights that well-structured student services contribute to higher levels of student satisfaction.</w:t>
      </w:r>
    </w:p>
    <w:p>
      <w:pPr>
        <w:pStyle w:val="BodyText"/>
        <w:spacing w:line="259" w:lineRule="auto" w:before="159"/>
        <w:ind w:right="355" w:firstLine="720"/>
      </w:pPr>
      <w:r>
        <w:rPr/>
        <w:t>Despite</w:t>
      </w:r>
      <w:r>
        <w:rPr>
          <w:spacing w:val="-4"/>
        </w:rPr>
        <w:t> </w:t>
      </w:r>
      <w:r>
        <w:rPr/>
        <w:t>these</w:t>
      </w:r>
      <w:r>
        <w:rPr>
          <w:spacing w:val="-4"/>
        </w:rPr>
        <w:t> </w:t>
      </w:r>
      <w:r>
        <w:rPr/>
        <w:t>findings,</w:t>
      </w:r>
      <w:r>
        <w:rPr>
          <w:spacing w:val="-3"/>
        </w:rPr>
        <w:t> </w:t>
      </w:r>
      <w:r>
        <w:rPr/>
        <w:t>a</w:t>
      </w:r>
      <w:r>
        <w:rPr>
          <w:spacing w:val="-2"/>
        </w:rPr>
        <w:t> </w:t>
      </w:r>
      <w:r>
        <w:rPr/>
        <w:t>notable</w:t>
      </w:r>
      <w:r>
        <w:rPr>
          <w:spacing w:val="-2"/>
        </w:rPr>
        <w:t> </w:t>
      </w:r>
      <w:r>
        <w:rPr/>
        <w:t>gap</w:t>
      </w:r>
      <w:r>
        <w:rPr>
          <w:spacing w:val="-4"/>
        </w:rPr>
        <w:t> </w:t>
      </w:r>
      <w:r>
        <w:rPr/>
        <w:t>remains</w:t>
      </w:r>
      <w:r>
        <w:rPr>
          <w:spacing w:val="-2"/>
        </w:rPr>
        <w:t> </w:t>
      </w:r>
      <w:r>
        <w:rPr/>
        <w:t>in</w:t>
      </w:r>
      <w:r>
        <w:rPr>
          <w:spacing w:val="-3"/>
        </w:rPr>
        <w:t> </w:t>
      </w:r>
      <w:r>
        <w:rPr/>
        <w:t>research</w:t>
      </w:r>
      <w:r>
        <w:rPr>
          <w:spacing w:val="-4"/>
        </w:rPr>
        <w:t> </w:t>
      </w:r>
      <w:r>
        <w:rPr/>
        <w:t>that</w:t>
      </w:r>
      <w:r>
        <w:rPr>
          <w:spacing w:val="-2"/>
        </w:rPr>
        <w:t> </w:t>
      </w:r>
      <w:r>
        <w:rPr/>
        <w:t>examines</w:t>
      </w:r>
      <w:r>
        <w:rPr>
          <w:spacing w:val="-2"/>
        </w:rPr>
        <w:t> </w:t>
      </w:r>
      <w:r>
        <w:rPr/>
        <w:t>the</w:t>
      </w:r>
      <w:r>
        <w:rPr>
          <w:spacing w:val="-4"/>
        </w:rPr>
        <w:t> </w:t>
      </w:r>
      <w:r>
        <w:rPr/>
        <w:t>combined</w:t>
      </w:r>
      <w:r>
        <w:rPr>
          <w:spacing w:val="-2"/>
        </w:rPr>
        <w:t> </w:t>
      </w:r>
      <w:r>
        <w:rPr/>
        <w:t>influence</w:t>
      </w:r>
      <w:r>
        <w:rPr>
          <w:spacing w:val="-2"/>
        </w:rPr>
        <w:t> </w:t>
      </w:r>
      <w:r>
        <w:rPr/>
        <w:t>of teacher quality, curriculum, learning environment, school facilities, and student support services, specifically</w:t>
      </w:r>
      <w:r>
        <w:rPr>
          <w:spacing w:val="-14"/>
        </w:rPr>
        <w:t> </w:t>
      </w:r>
      <w:r>
        <w:rPr/>
        <w:t>among</w:t>
      </w:r>
      <w:r>
        <w:rPr>
          <w:spacing w:val="-14"/>
        </w:rPr>
        <w:t> </w:t>
      </w:r>
      <w:r>
        <w:rPr/>
        <w:t>junior</w:t>
      </w:r>
      <w:r>
        <w:rPr>
          <w:spacing w:val="-14"/>
        </w:rPr>
        <w:t> </w:t>
      </w:r>
      <w:r>
        <w:rPr/>
        <w:t>high</w:t>
      </w:r>
      <w:r>
        <w:rPr>
          <w:spacing w:val="-13"/>
        </w:rPr>
        <w:t> </w:t>
      </w:r>
      <w:r>
        <w:rPr/>
        <w:t>school</w:t>
      </w:r>
      <w:r>
        <w:rPr>
          <w:spacing w:val="-14"/>
        </w:rPr>
        <w:t> </w:t>
      </w:r>
      <w:r>
        <w:rPr/>
        <w:t>students</w:t>
      </w:r>
      <w:r>
        <w:rPr>
          <w:spacing w:val="-14"/>
        </w:rPr>
        <w:t> </w:t>
      </w:r>
      <w:r>
        <w:rPr/>
        <w:t>in</w:t>
      </w:r>
      <w:r>
        <w:rPr>
          <w:spacing w:val="-14"/>
        </w:rPr>
        <w:t> </w:t>
      </w:r>
      <w:r>
        <w:rPr/>
        <w:t>private</w:t>
      </w:r>
      <w:r>
        <w:rPr>
          <w:spacing w:val="-13"/>
        </w:rPr>
        <w:t> </w:t>
      </w:r>
      <w:r>
        <w:rPr/>
        <w:t>Philippine</w:t>
      </w:r>
      <w:r>
        <w:rPr>
          <w:spacing w:val="-14"/>
        </w:rPr>
        <w:t> </w:t>
      </w:r>
      <w:r>
        <w:rPr/>
        <w:t>institutions.</w:t>
      </w:r>
      <w:r>
        <w:rPr>
          <w:spacing w:val="-14"/>
        </w:rPr>
        <w:t> </w:t>
      </w:r>
      <w:r>
        <w:rPr/>
        <w:t>Most</w:t>
      </w:r>
      <w:r>
        <w:rPr>
          <w:spacing w:val="-14"/>
        </w:rPr>
        <w:t> </w:t>
      </w:r>
      <w:r>
        <w:rPr/>
        <w:t>existing</w:t>
      </w:r>
      <w:r>
        <w:rPr>
          <w:spacing w:val="-13"/>
        </w:rPr>
        <w:t> </w:t>
      </w:r>
      <w:r>
        <w:rPr/>
        <w:t>studies</w:t>
      </w:r>
      <w:r>
        <w:rPr>
          <w:spacing w:val="-14"/>
        </w:rPr>
        <w:t> </w:t>
      </w:r>
      <w:r>
        <w:rPr/>
        <w:t>either focus on a single variable or include broader student populations, making it challenging to draw targeted insights for junior high school learners.</w:t>
      </w:r>
    </w:p>
    <w:p>
      <w:pPr>
        <w:pStyle w:val="BodyText"/>
        <w:spacing w:line="259" w:lineRule="auto" w:before="160"/>
        <w:ind w:right="363" w:firstLine="720"/>
      </w:pPr>
      <w:r>
        <w:rPr/>
        <w:t>The</w:t>
      </w:r>
      <w:r>
        <w:rPr>
          <w:spacing w:val="-3"/>
        </w:rPr>
        <w:t> </w:t>
      </w:r>
      <w:r>
        <w:rPr/>
        <w:t>present</w:t>
      </w:r>
      <w:r>
        <w:rPr>
          <w:spacing w:val="-3"/>
        </w:rPr>
        <w:t> </w:t>
      </w:r>
      <w:r>
        <w:rPr/>
        <w:t>study</w:t>
      </w:r>
      <w:r>
        <w:rPr>
          <w:spacing w:val="-10"/>
        </w:rPr>
        <w:t> </w:t>
      </w:r>
      <w:r>
        <w:rPr/>
        <w:t>addresses</w:t>
      </w:r>
      <w:r>
        <w:rPr>
          <w:spacing w:val="-4"/>
        </w:rPr>
        <w:t> </w:t>
      </w:r>
      <w:r>
        <w:rPr/>
        <w:t>this</w:t>
      </w:r>
      <w:r>
        <w:rPr>
          <w:spacing w:val="-2"/>
        </w:rPr>
        <w:t> </w:t>
      </w:r>
      <w:r>
        <w:rPr/>
        <w:t>gap</w:t>
      </w:r>
      <w:r>
        <w:rPr>
          <w:spacing w:val="-2"/>
        </w:rPr>
        <w:t> </w:t>
      </w:r>
      <w:r>
        <w:rPr/>
        <w:t>by</w:t>
      </w:r>
      <w:r>
        <w:rPr>
          <w:spacing w:val="-10"/>
        </w:rPr>
        <w:t> </w:t>
      </w:r>
      <w:r>
        <w:rPr/>
        <w:t>evaluating</w:t>
      </w:r>
      <w:r>
        <w:rPr>
          <w:spacing w:val="-5"/>
        </w:rPr>
        <w:t> </w:t>
      </w:r>
      <w:r>
        <w:rPr/>
        <w:t>student</w:t>
      </w:r>
      <w:r>
        <w:rPr>
          <w:spacing w:val="-3"/>
        </w:rPr>
        <w:t> </w:t>
      </w:r>
      <w:r>
        <w:rPr/>
        <w:t>satisfaction</w:t>
      </w:r>
      <w:r>
        <w:rPr>
          <w:spacing w:val="-3"/>
        </w:rPr>
        <w:t> </w:t>
      </w:r>
      <w:r>
        <w:rPr/>
        <w:t>across</w:t>
      </w:r>
      <w:r>
        <w:rPr>
          <w:spacing w:val="-4"/>
        </w:rPr>
        <w:t> </w:t>
      </w:r>
      <w:r>
        <w:rPr/>
        <w:t>all</w:t>
      </w:r>
      <w:r>
        <w:rPr>
          <w:spacing w:val="-4"/>
        </w:rPr>
        <w:t> </w:t>
      </w:r>
      <w:r>
        <w:rPr/>
        <w:t>these</w:t>
      </w:r>
      <w:r>
        <w:rPr>
          <w:spacing w:val="-4"/>
        </w:rPr>
        <w:t> </w:t>
      </w:r>
      <w:r>
        <w:rPr/>
        <w:t>dimensions at</w:t>
      </w:r>
      <w:r>
        <w:rPr>
          <w:spacing w:val="11"/>
        </w:rPr>
        <w:t> </w:t>
      </w:r>
      <w:r>
        <w:rPr/>
        <w:t>the</w:t>
      </w:r>
      <w:r>
        <w:rPr>
          <w:spacing w:val="13"/>
        </w:rPr>
        <w:t> </w:t>
      </w:r>
      <w:r>
        <w:rPr/>
        <w:t>University</w:t>
      </w:r>
      <w:r>
        <w:rPr>
          <w:spacing w:val="10"/>
        </w:rPr>
        <w:t> </w:t>
      </w:r>
      <w:r>
        <w:rPr/>
        <w:t>of</w:t>
      </w:r>
      <w:r>
        <w:rPr>
          <w:spacing w:val="13"/>
        </w:rPr>
        <w:t> </w:t>
      </w:r>
      <w:r>
        <w:rPr/>
        <w:t>Cebu</w:t>
      </w:r>
      <w:r>
        <w:rPr>
          <w:spacing w:val="13"/>
        </w:rPr>
        <w:t> </w:t>
      </w:r>
      <w:r>
        <w:rPr/>
        <w:t>Lapulapu</w:t>
      </w:r>
      <w:r>
        <w:rPr>
          <w:spacing w:val="11"/>
        </w:rPr>
        <w:t> </w:t>
      </w:r>
      <w:r>
        <w:rPr/>
        <w:t>and</w:t>
      </w:r>
      <w:r>
        <w:rPr>
          <w:spacing w:val="13"/>
        </w:rPr>
        <w:t> </w:t>
      </w:r>
      <w:r>
        <w:rPr/>
        <w:t>Mandaue</w:t>
      </w:r>
      <w:r>
        <w:rPr>
          <w:spacing w:val="14"/>
        </w:rPr>
        <w:t> </w:t>
      </w:r>
      <w:r>
        <w:rPr/>
        <w:t>Campus,</w:t>
      </w:r>
      <w:r>
        <w:rPr>
          <w:spacing w:val="13"/>
        </w:rPr>
        <w:t> </w:t>
      </w:r>
      <w:r>
        <w:rPr/>
        <w:t>providing</w:t>
      </w:r>
      <w:r>
        <w:rPr>
          <w:spacing w:val="12"/>
        </w:rPr>
        <w:t> </w:t>
      </w:r>
      <w:r>
        <w:rPr/>
        <w:t>a</w:t>
      </w:r>
      <w:r>
        <w:rPr>
          <w:spacing w:val="11"/>
        </w:rPr>
        <w:t> </w:t>
      </w:r>
      <w:r>
        <w:rPr/>
        <w:t>comprehensive</w:t>
      </w:r>
      <w:r>
        <w:rPr>
          <w:spacing w:val="13"/>
        </w:rPr>
        <w:t> </w:t>
      </w:r>
      <w:r>
        <w:rPr/>
        <w:t>understanding</w:t>
      </w:r>
      <w:r>
        <w:rPr>
          <w:spacing w:val="13"/>
        </w:rPr>
        <w:t> </w:t>
      </w:r>
      <w:r>
        <w:rPr>
          <w:spacing w:val="-5"/>
        </w:rPr>
        <w:t>of</w:t>
      </w:r>
    </w:p>
    <w:p>
      <w:pPr>
        <w:pStyle w:val="BodyText"/>
        <w:spacing w:after="0" w:line="259" w:lineRule="auto"/>
        <w:sectPr>
          <w:pgSz w:w="12240" w:h="15840"/>
          <w:pgMar w:header="98" w:footer="938" w:top="1340" w:bottom="1160" w:left="720" w:right="1080"/>
        </w:sectPr>
      </w:pPr>
    </w:p>
    <w:p>
      <w:pPr>
        <w:pStyle w:val="BodyText"/>
        <w:spacing w:line="259" w:lineRule="auto" w:before="104"/>
        <w:ind w:right="363"/>
      </w:pPr>
      <w:r>
        <w:rPr/>
        <w:t>how these factors collectively contribute to the overall satisfaction of junior high school students. This synthesis</w:t>
      </w:r>
      <w:r>
        <w:rPr>
          <w:spacing w:val="-14"/>
        </w:rPr>
        <w:t> </w:t>
      </w:r>
      <w:r>
        <w:rPr/>
        <w:t>highlights</w:t>
      </w:r>
      <w:r>
        <w:rPr>
          <w:spacing w:val="-13"/>
        </w:rPr>
        <w:t> </w:t>
      </w:r>
      <w:r>
        <w:rPr/>
        <w:t>the</w:t>
      </w:r>
      <w:r>
        <w:rPr>
          <w:spacing w:val="-13"/>
        </w:rPr>
        <w:t> </w:t>
      </w:r>
      <w:r>
        <w:rPr/>
        <w:t>importance</w:t>
      </w:r>
      <w:r>
        <w:rPr>
          <w:spacing w:val="-11"/>
        </w:rPr>
        <w:t> </w:t>
      </w:r>
      <w:r>
        <w:rPr/>
        <w:t>of</w:t>
      </w:r>
      <w:r>
        <w:rPr>
          <w:spacing w:val="-13"/>
        </w:rPr>
        <w:t> </w:t>
      </w:r>
      <w:r>
        <w:rPr/>
        <w:t>comprehensive</w:t>
      </w:r>
      <w:r>
        <w:rPr>
          <w:spacing w:val="-14"/>
        </w:rPr>
        <w:t> </w:t>
      </w:r>
      <w:r>
        <w:rPr/>
        <w:t>institutional</w:t>
      </w:r>
      <w:r>
        <w:rPr>
          <w:spacing w:val="-13"/>
        </w:rPr>
        <w:t> </w:t>
      </w:r>
      <w:r>
        <w:rPr/>
        <w:t>strategies</w:t>
      </w:r>
      <w:r>
        <w:rPr>
          <w:spacing w:val="-14"/>
        </w:rPr>
        <w:t> </w:t>
      </w:r>
      <w:r>
        <w:rPr/>
        <w:t>that</w:t>
      </w:r>
      <w:r>
        <w:rPr>
          <w:spacing w:val="-14"/>
        </w:rPr>
        <w:t> </w:t>
      </w:r>
      <w:r>
        <w:rPr/>
        <w:t>integrate</w:t>
      </w:r>
      <w:r>
        <w:rPr>
          <w:spacing w:val="-12"/>
        </w:rPr>
        <w:t> </w:t>
      </w:r>
      <w:r>
        <w:rPr/>
        <w:t>teaching</w:t>
      </w:r>
      <w:r>
        <w:rPr>
          <w:spacing w:val="-14"/>
        </w:rPr>
        <w:t> </w:t>
      </w:r>
      <w:r>
        <w:rPr/>
        <w:t>quality, infrastructure, curriculum design, and student support to enhance the overall educational experience.</w:t>
      </w:r>
    </w:p>
    <w:p>
      <w:pPr>
        <w:pStyle w:val="BodyText"/>
        <w:ind w:left="0"/>
        <w:jc w:val="left"/>
      </w:pPr>
    </w:p>
    <w:p>
      <w:pPr>
        <w:pStyle w:val="BodyText"/>
        <w:spacing w:before="93"/>
        <w:ind w:left="0"/>
        <w:jc w:val="left"/>
      </w:pPr>
    </w:p>
    <w:p>
      <w:pPr>
        <w:pStyle w:val="Heading1"/>
      </w:pPr>
      <w:r>
        <w:rPr>
          <w:spacing w:val="-2"/>
        </w:rPr>
        <w:t>METHODOLOGY</w:t>
      </w:r>
    </w:p>
    <w:p>
      <w:pPr>
        <w:pStyle w:val="BodyText"/>
        <w:spacing w:line="259" w:lineRule="auto" w:before="175"/>
        <w:ind w:right="353" w:firstLine="720"/>
      </w:pPr>
      <w:r>
        <w:rPr/>
        <w:t>This study employed a quantitative descriptive-correlational research design to evaluate the satisfaction of junior high school students at the University of Cebu Lapulapu and Mandaue Campus (UCLM). The design was deemed appropriate as it allows for the systematic measurement of students’ perceptions</w:t>
      </w:r>
      <w:r>
        <w:rPr>
          <w:spacing w:val="-14"/>
        </w:rPr>
        <w:t> </w:t>
      </w:r>
      <w:r>
        <w:rPr/>
        <w:t>and</w:t>
      </w:r>
      <w:r>
        <w:rPr>
          <w:spacing w:val="-14"/>
        </w:rPr>
        <w:t> </w:t>
      </w:r>
      <w:r>
        <w:rPr/>
        <w:t>the</w:t>
      </w:r>
      <w:r>
        <w:rPr>
          <w:spacing w:val="-14"/>
        </w:rPr>
        <w:t> </w:t>
      </w:r>
      <w:r>
        <w:rPr/>
        <w:t>examination</w:t>
      </w:r>
      <w:r>
        <w:rPr>
          <w:spacing w:val="-13"/>
        </w:rPr>
        <w:t> </w:t>
      </w:r>
      <w:r>
        <w:rPr/>
        <w:t>of</w:t>
      </w:r>
      <w:r>
        <w:rPr>
          <w:spacing w:val="-14"/>
        </w:rPr>
        <w:t> </w:t>
      </w:r>
      <w:r>
        <w:rPr/>
        <w:t>relationships</w:t>
      </w:r>
      <w:r>
        <w:rPr>
          <w:spacing w:val="-14"/>
        </w:rPr>
        <w:t> </w:t>
      </w:r>
      <w:r>
        <w:rPr/>
        <w:t>between</w:t>
      </w:r>
      <w:r>
        <w:rPr>
          <w:spacing w:val="-14"/>
        </w:rPr>
        <w:t> </w:t>
      </w:r>
      <w:r>
        <w:rPr/>
        <w:t>multiple</w:t>
      </w:r>
      <w:r>
        <w:rPr>
          <w:spacing w:val="-13"/>
        </w:rPr>
        <w:t> </w:t>
      </w:r>
      <w:r>
        <w:rPr/>
        <w:t>independent</w:t>
      </w:r>
      <w:r>
        <w:rPr>
          <w:spacing w:val="-14"/>
        </w:rPr>
        <w:t> </w:t>
      </w:r>
      <w:r>
        <w:rPr/>
        <w:t>variables—Teacher</w:t>
      </w:r>
      <w:r>
        <w:rPr>
          <w:spacing w:val="-14"/>
        </w:rPr>
        <w:t> </w:t>
      </w:r>
      <w:r>
        <w:rPr/>
        <w:t>Quality and Instruction Delivery, Curriculum and Academic Workload, Learning Environment and Peer Interaction,</w:t>
      </w:r>
      <w:r>
        <w:rPr>
          <w:spacing w:val="-12"/>
        </w:rPr>
        <w:t> </w:t>
      </w:r>
      <w:r>
        <w:rPr/>
        <w:t>School</w:t>
      </w:r>
      <w:r>
        <w:rPr>
          <w:spacing w:val="-13"/>
        </w:rPr>
        <w:t> </w:t>
      </w:r>
      <w:r>
        <w:rPr/>
        <w:t>Facilities</w:t>
      </w:r>
      <w:r>
        <w:rPr>
          <w:spacing w:val="-13"/>
        </w:rPr>
        <w:t> </w:t>
      </w:r>
      <w:r>
        <w:rPr/>
        <w:t>and</w:t>
      </w:r>
      <w:r>
        <w:rPr>
          <w:spacing w:val="-13"/>
        </w:rPr>
        <w:t> </w:t>
      </w:r>
      <w:r>
        <w:rPr/>
        <w:t>Resources,</w:t>
      </w:r>
      <w:r>
        <w:rPr>
          <w:spacing w:val="-13"/>
        </w:rPr>
        <w:t> </w:t>
      </w:r>
      <w:r>
        <w:rPr/>
        <w:t>and</w:t>
      </w:r>
      <w:r>
        <w:rPr>
          <w:spacing w:val="-14"/>
        </w:rPr>
        <w:t> </w:t>
      </w:r>
      <w:r>
        <w:rPr/>
        <w:t>Student</w:t>
      </w:r>
      <w:r>
        <w:rPr>
          <w:spacing w:val="-13"/>
        </w:rPr>
        <w:t> </w:t>
      </w:r>
      <w:r>
        <w:rPr/>
        <w:t>Support</w:t>
      </w:r>
      <w:r>
        <w:rPr>
          <w:spacing w:val="-13"/>
        </w:rPr>
        <w:t> </w:t>
      </w:r>
      <w:r>
        <w:rPr/>
        <w:t>Services</w:t>
      </w:r>
      <w:r>
        <w:rPr>
          <w:spacing w:val="-13"/>
        </w:rPr>
        <w:t> </w:t>
      </w:r>
      <w:r>
        <w:rPr/>
        <w:t>and</w:t>
      </w:r>
      <w:r>
        <w:rPr>
          <w:spacing w:val="-14"/>
        </w:rPr>
        <w:t> </w:t>
      </w:r>
      <w:r>
        <w:rPr/>
        <w:t>Extracurricular</w:t>
      </w:r>
      <w:r>
        <w:rPr>
          <w:spacing w:val="-13"/>
        </w:rPr>
        <w:t> </w:t>
      </w:r>
      <w:r>
        <w:rPr/>
        <w:t>Activities—and the dependent variable, Overall Student Satisfaction.</w:t>
      </w:r>
    </w:p>
    <w:p>
      <w:pPr>
        <w:pStyle w:val="BodyText"/>
        <w:spacing w:line="259" w:lineRule="auto" w:before="157"/>
        <w:ind w:right="360" w:firstLine="720"/>
      </w:pPr>
      <w:r>
        <w:rPr/>
        <w:t>The study was conducted within the Junior High School Department of UCLM, a private educational institution in Mandaue City that serves a diverse student population. The respondents were junior high school students from Grades 7 to</w:t>
      </w:r>
      <w:r>
        <w:rPr>
          <w:spacing w:val="-2"/>
        </w:rPr>
        <w:t> </w:t>
      </w:r>
      <w:r>
        <w:rPr/>
        <w:t>10, enrolled in the study</w:t>
      </w:r>
      <w:r>
        <w:rPr>
          <w:spacing w:val="-2"/>
        </w:rPr>
        <w:t> </w:t>
      </w:r>
      <w:r>
        <w:rPr/>
        <w:t>using stratified random</w:t>
      </w:r>
      <w:r>
        <w:rPr>
          <w:spacing w:val="-1"/>
        </w:rPr>
        <w:t> </w:t>
      </w:r>
      <w:r>
        <w:rPr/>
        <w:t>sampling to ensure representation</w:t>
      </w:r>
      <w:r>
        <w:rPr>
          <w:spacing w:val="-1"/>
        </w:rPr>
        <w:t> </w:t>
      </w:r>
      <w:r>
        <w:rPr/>
        <w:t>across grade levels and sections. The sample size was determined based on</w:t>
      </w:r>
      <w:r>
        <w:rPr>
          <w:spacing w:val="-1"/>
        </w:rPr>
        <w:t> </w:t>
      </w:r>
      <w:r>
        <w:rPr/>
        <w:t>the total junior high school population, applying Slovin's formula with a 5% margin of error to achieve reliable results while maintaining feasibility.</w:t>
      </w:r>
    </w:p>
    <w:p>
      <w:pPr>
        <w:pStyle w:val="BodyText"/>
        <w:spacing w:line="259" w:lineRule="auto" w:before="160"/>
        <w:ind w:right="354" w:firstLine="720"/>
      </w:pPr>
      <w:r>
        <w:rPr/>
        <w:t>Data were gathered through a structured survey questionnaire developed by the researcher and validated</w:t>
      </w:r>
      <w:r>
        <w:rPr>
          <w:spacing w:val="-7"/>
        </w:rPr>
        <w:t> </w:t>
      </w:r>
      <w:r>
        <w:rPr/>
        <w:t>by</w:t>
      </w:r>
      <w:r>
        <w:rPr>
          <w:spacing w:val="-13"/>
        </w:rPr>
        <w:t> </w:t>
      </w:r>
      <w:r>
        <w:rPr/>
        <w:t>experts</w:t>
      </w:r>
      <w:r>
        <w:rPr>
          <w:spacing w:val="-9"/>
        </w:rPr>
        <w:t> </w:t>
      </w:r>
      <w:r>
        <w:rPr/>
        <w:t>in</w:t>
      </w:r>
      <w:r>
        <w:rPr>
          <w:spacing w:val="-10"/>
        </w:rPr>
        <w:t> </w:t>
      </w:r>
      <w:r>
        <w:rPr/>
        <w:t>educational</w:t>
      </w:r>
      <w:r>
        <w:rPr>
          <w:spacing w:val="-9"/>
        </w:rPr>
        <w:t> </w:t>
      </w:r>
      <w:r>
        <w:rPr/>
        <w:t>research.</w:t>
      </w:r>
      <w:r>
        <w:rPr>
          <w:spacing w:val="-8"/>
        </w:rPr>
        <w:t> </w:t>
      </w:r>
      <w:r>
        <w:rPr/>
        <w:t>The</w:t>
      </w:r>
      <w:r>
        <w:rPr>
          <w:spacing w:val="-7"/>
        </w:rPr>
        <w:t> </w:t>
      </w:r>
      <w:r>
        <w:rPr/>
        <w:t>instrument</w:t>
      </w:r>
      <w:r>
        <w:rPr>
          <w:spacing w:val="-7"/>
        </w:rPr>
        <w:t> </w:t>
      </w:r>
      <w:r>
        <w:rPr/>
        <w:t>was</w:t>
      </w:r>
      <w:r>
        <w:rPr>
          <w:spacing w:val="-7"/>
        </w:rPr>
        <w:t> </w:t>
      </w:r>
      <w:r>
        <w:rPr/>
        <w:t>divided</w:t>
      </w:r>
      <w:r>
        <w:rPr>
          <w:spacing w:val="-7"/>
        </w:rPr>
        <w:t> </w:t>
      </w:r>
      <w:r>
        <w:rPr/>
        <w:t>into</w:t>
      </w:r>
      <w:r>
        <w:rPr>
          <w:spacing w:val="-10"/>
        </w:rPr>
        <w:t> </w:t>
      </w:r>
      <w:r>
        <w:rPr/>
        <w:t>sections</w:t>
      </w:r>
      <w:r>
        <w:rPr>
          <w:spacing w:val="-9"/>
        </w:rPr>
        <w:t> </w:t>
      </w:r>
      <w:r>
        <w:rPr/>
        <w:t>corresponding</w:t>
      </w:r>
      <w:r>
        <w:rPr>
          <w:spacing w:val="-8"/>
        </w:rPr>
        <w:t> </w:t>
      </w:r>
      <w:r>
        <w:rPr/>
        <w:t>to</w:t>
      </w:r>
      <w:r>
        <w:rPr>
          <w:spacing w:val="-10"/>
        </w:rPr>
        <w:t> </w:t>
      </w:r>
      <w:r>
        <w:rPr/>
        <w:t>the study</w:t>
      </w:r>
      <w:r>
        <w:rPr>
          <w:spacing w:val="-14"/>
        </w:rPr>
        <w:t> </w:t>
      </w:r>
      <w:r>
        <w:rPr/>
        <w:t>variables:</w:t>
      </w:r>
      <w:r>
        <w:rPr>
          <w:spacing w:val="-7"/>
        </w:rPr>
        <w:t> </w:t>
      </w:r>
      <w:r>
        <w:rPr/>
        <w:t>(1)</w:t>
      </w:r>
      <w:r>
        <w:rPr>
          <w:spacing w:val="-7"/>
        </w:rPr>
        <w:t> </w:t>
      </w:r>
      <w:r>
        <w:rPr/>
        <w:t>Teacher</w:t>
      </w:r>
      <w:r>
        <w:rPr>
          <w:spacing w:val="-7"/>
        </w:rPr>
        <w:t> </w:t>
      </w:r>
      <w:r>
        <w:rPr/>
        <w:t>Quality</w:t>
      </w:r>
      <w:r>
        <w:rPr>
          <w:spacing w:val="-14"/>
        </w:rPr>
        <w:t> </w:t>
      </w:r>
      <w:r>
        <w:rPr/>
        <w:t>and</w:t>
      </w:r>
      <w:r>
        <w:rPr>
          <w:spacing w:val="-7"/>
        </w:rPr>
        <w:t> </w:t>
      </w:r>
      <w:r>
        <w:rPr/>
        <w:t>Instruction</w:t>
      </w:r>
      <w:r>
        <w:rPr>
          <w:spacing w:val="-10"/>
        </w:rPr>
        <w:t> </w:t>
      </w:r>
      <w:r>
        <w:rPr/>
        <w:t>Delivery,</w:t>
      </w:r>
      <w:r>
        <w:rPr>
          <w:spacing w:val="-7"/>
        </w:rPr>
        <w:t> </w:t>
      </w:r>
      <w:r>
        <w:rPr/>
        <w:t>(2)</w:t>
      </w:r>
      <w:r>
        <w:rPr>
          <w:spacing w:val="-7"/>
        </w:rPr>
        <w:t> </w:t>
      </w:r>
      <w:r>
        <w:rPr/>
        <w:t>Curriculum</w:t>
      </w:r>
      <w:r>
        <w:rPr>
          <w:spacing w:val="-13"/>
        </w:rPr>
        <w:t> </w:t>
      </w:r>
      <w:r>
        <w:rPr/>
        <w:t>and</w:t>
      </w:r>
      <w:r>
        <w:rPr>
          <w:spacing w:val="-7"/>
        </w:rPr>
        <w:t> </w:t>
      </w:r>
      <w:r>
        <w:rPr/>
        <w:t>Academic</w:t>
      </w:r>
      <w:r>
        <w:rPr>
          <w:spacing w:val="-7"/>
        </w:rPr>
        <w:t> </w:t>
      </w:r>
      <w:r>
        <w:rPr/>
        <w:t>Workload,</w:t>
      </w:r>
      <w:r>
        <w:rPr>
          <w:spacing w:val="-8"/>
        </w:rPr>
        <w:t> </w:t>
      </w:r>
      <w:r>
        <w:rPr/>
        <w:t>(3) Learning Environment and Peer Interaction, (4) School Facilities and Resources, (5) Student Support Services and Extracurricular Activities, and (6) Overall Student Satisfaction. Each item employed a five-point Likert scale, ranging from 1 (“Not Satisfied”) to 5 (“Very Satisfied”), allowing the respondents to express the degree of their satisfaction with each dimension. The questionnaire underwent a pilot test to ensure clarity and reliability, with Cronbach’s alpha computed to confirm internal consistency.</w:t>
      </w:r>
    </w:p>
    <w:p>
      <w:pPr>
        <w:pStyle w:val="BodyText"/>
        <w:spacing w:line="259" w:lineRule="auto" w:before="158"/>
        <w:ind w:right="354" w:firstLine="720"/>
      </w:pPr>
      <w:r>
        <w:rPr/>
        <w:t>For the treatment of data, descriptive statistics, including frequency, percentage, mean, and standard deviation, were used to summarize respondents' demographic characteristics and satisfaction levels. Inferential statistics, including Pearson's correlation, were employed to examine the relationships between</w:t>
      </w:r>
      <w:r>
        <w:rPr>
          <w:spacing w:val="-14"/>
        </w:rPr>
        <w:t> </w:t>
      </w:r>
      <w:r>
        <w:rPr/>
        <w:t>each</w:t>
      </w:r>
      <w:r>
        <w:rPr>
          <w:spacing w:val="-14"/>
        </w:rPr>
        <w:t> </w:t>
      </w:r>
      <w:r>
        <w:rPr/>
        <w:t>independent</w:t>
      </w:r>
      <w:r>
        <w:rPr>
          <w:spacing w:val="-14"/>
        </w:rPr>
        <w:t> </w:t>
      </w:r>
      <w:r>
        <w:rPr/>
        <w:t>variable</w:t>
      </w:r>
      <w:r>
        <w:rPr>
          <w:spacing w:val="-13"/>
        </w:rPr>
        <w:t> </w:t>
      </w:r>
      <w:r>
        <w:rPr/>
        <w:t>and</w:t>
      </w:r>
      <w:r>
        <w:rPr>
          <w:spacing w:val="-14"/>
        </w:rPr>
        <w:t> </w:t>
      </w:r>
      <w:r>
        <w:rPr/>
        <w:t>overall</w:t>
      </w:r>
      <w:r>
        <w:rPr>
          <w:spacing w:val="-14"/>
        </w:rPr>
        <w:t> </w:t>
      </w:r>
      <w:r>
        <w:rPr/>
        <w:t>student</w:t>
      </w:r>
      <w:r>
        <w:rPr>
          <w:spacing w:val="-14"/>
        </w:rPr>
        <w:t> </w:t>
      </w:r>
      <w:r>
        <w:rPr/>
        <w:t>satisfaction.</w:t>
      </w:r>
      <w:r>
        <w:rPr>
          <w:spacing w:val="-13"/>
        </w:rPr>
        <w:t> </w:t>
      </w:r>
      <w:r>
        <w:rPr/>
        <w:t>All</w:t>
      </w:r>
      <w:r>
        <w:rPr>
          <w:spacing w:val="-14"/>
        </w:rPr>
        <w:t> </w:t>
      </w:r>
      <w:r>
        <w:rPr/>
        <w:t>data</w:t>
      </w:r>
      <w:r>
        <w:rPr>
          <w:spacing w:val="-14"/>
        </w:rPr>
        <w:t> </w:t>
      </w:r>
      <w:r>
        <w:rPr/>
        <w:t>were</w:t>
      </w:r>
      <w:r>
        <w:rPr>
          <w:spacing w:val="-14"/>
        </w:rPr>
        <w:t> </w:t>
      </w:r>
      <w:r>
        <w:rPr/>
        <w:t>processed</w:t>
      </w:r>
      <w:r>
        <w:rPr>
          <w:spacing w:val="-13"/>
        </w:rPr>
        <w:t> </w:t>
      </w:r>
      <w:r>
        <w:rPr/>
        <w:t>using</w:t>
      </w:r>
      <w:r>
        <w:rPr>
          <w:spacing w:val="-14"/>
        </w:rPr>
        <w:t> </w:t>
      </w:r>
      <w:r>
        <w:rPr/>
        <w:t>statistical software, and significance was interpreted at the 0.05 level.</w:t>
      </w:r>
    </w:p>
    <w:p>
      <w:pPr>
        <w:pStyle w:val="BodyText"/>
        <w:spacing w:line="259" w:lineRule="auto" w:before="160"/>
        <w:ind w:right="355" w:firstLine="720"/>
      </w:pPr>
      <w:r>
        <w:rPr/>
        <w:t>Ethical considerations were strictly observed throughout the study. Approval to conduct the research was</w:t>
      </w:r>
      <w:r>
        <w:rPr>
          <w:spacing w:val="-1"/>
        </w:rPr>
        <w:t> </w:t>
      </w:r>
      <w:r>
        <w:rPr/>
        <w:t>obtained</w:t>
      </w:r>
      <w:r>
        <w:rPr>
          <w:spacing w:val="-3"/>
        </w:rPr>
        <w:t> </w:t>
      </w:r>
      <w:r>
        <w:rPr/>
        <w:t>from</w:t>
      </w:r>
      <w:r>
        <w:rPr>
          <w:spacing w:val="-5"/>
        </w:rPr>
        <w:t> </w:t>
      </w:r>
      <w:r>
        <w:rPr/>
        <w:t>the</w:t>
      </w:r>
      <w:r>
        <w:rPr>
          <w:spacing w:val="-1"/>
        </w:rPr>
        <w:t> </w:t>
      </w:r>
      <w:r>
        <w:rPr/>
        <w:t>school</w:t>
      </w:r>
      <w:r>
        <w:rPr>
          <w:spacing w:val="-1"/>
        </w:rPr>
        <w:t> </w:t>
      </w:r>
      <w:r>
        <w:rPr/>
        <w:t>administration,</w:t>
      </w:r>
      <w:r>
        <w:rPr>
          <w:spacing w:val="-1"/>
        </w:rPr>
        <w:t> </w:t>
      </w:r>
      <w:r>
        <w:rPr/>
        <w:t>and</w:t>
      </w:r>
      <w:r>
        <w:rPr>
          <w:spacing w:val="-1"/>
        </w:rPr>
        <w:t> </w:t>
      </w:r>
      <w:r>
        <w:rPr/>
        <w:t>informed consent</w:t>
      </w:r>
      <w:r>
        <w:rPr>
          <w:spacing w:val="-1"/>
        </w:rPr>
        <w:t> </w:t>
      </w:r>
      <w:r>
        <w:rPr/>
        <w:t>was</w:t>
      </w:r>
      <w:r>
        <w:rPr>
          <w:spacing w:val="-1"/>
        </w:rPr>
        <w:t> </w:t>
      </w:r>
      <w:r>
        <w:rPr/>
        <w:t>secured</w:t>
      </w:r>
      <w:r>
        <w:rPr>
          <w:spacing w:val="-3"/>
        </w:rPr>
        <w:t> </w:t>
      </w:r>
      <w:r>
        <w:rPr/>
        <w:t>from</w:t>
      </w:r>
      <w:r>
        <w:rPr>
          <w:spacing w:val="-5"/>
        </w:rPr>
        <w:t> </w:t>
      </w:r>
      <w:r>
        <w:rPr/>
        <w:t>the parents or guardians of all participants. Students also provided their voluntary consent to participate in the study. Respondents'</w:t>
      </w:r>
      <w:r>
        <w:rPr>
          <w:spacing w:val="-5"/>
        </w:rPr>
        <w:t> </w:t>
      </w:r>
      <w:r>
        <w:rPr/>
        <w:t>anonymity</w:t>
      </w:r>
      <w:r>
        <w:rPr>
          <w:spacing w:val="-12"/>
        </w:rPr>
        <w:t> </w:t>
      </w:r>
      <w:r>
        <w:rPr/>
        <w:t>and</w:t>
      </w:r>
      <w:r>
        <w:rPr>
          <w:spacing w:val="-3"/>
        </w:rPr>
        <w:t> </w:t>
      </w:r>
      <w:r>
        <w:rPr/>
        <w:t>confidentiality</w:t>
      </w:r>
      <w:r>
        <w:rPr>
          <w:spacing w:val="-10"/>
        </w:rPr>
        <w:t> </w:t>
      </w:r>
      <w:r>
        <w:rPr/>
        <w:t>were</w:t>
      </w:r>
      <w:r>
        <w:rPr>
          <w:spacing w:val="-3"/>
        </w:rPr>
        <w:t> </w:t>
      </w:r>
      <w:r>
        <w:rPr/>
        <w:t>maintained,</w:t>
      </w:r>
      <w:r>
        <w:rPr>
          <w:spacing w:val="-4"/>
        </w:rPr>
        <w:t> </w:t>
      </w:r>
      <w:r>
        <w:rPr/>
        <w:t>and</w:t>
      </w:r>
      <w:r>
        <w:rPr>
          <w:spacing w:val="-5"/>
        </w:rPr>
        <w:t> </w:t>
      </w:r>
      <w:r>
        <w:rPr/>
        <w:t>they</w:t>
      </w:r>
      <w:r>
        <w:rPr>
          <w:spacing w:val="-12"/>
        </w:rPr>
        <w:t> </w:t>
      </w:r>
      <w:r>
        <w:rPr/>
        <w:t>were</w:t>
      </w:r>
      <w:r>
        <w:rPr>
          <w:spacing w:val="-3"/>
        </w:rPr>
        <w:t> </w:t>
      </w:r>
      <w:r>
        <w:rPr/>
        <w:t>assured</w:t>
      </w:r>
      <w:r>
        <w:rPr>
          <w:spacing w:val="-7"/>
        </w:rPr>
        <w:t> </w:t>
      </w:r>
      <w:r>
        <w:rPr/>
        <w:t>that</w:t>
      </w:r>
      <w:r>
        <w:rPr>
          <w:spacing w:val="-6"/>
        </w:rPr>
        <w:t> </w:t>
      </w:r>
      <w:r>
        <w:rPr/>
        <w:t>participation</w:t>
      </w:r>
      <w:r>
        <w:rPr>
          <w:spacing w:val="-6"/>
        </w:rPr>
        <w:t> </w:t>
      </w:r>
      <w:r>
        <w:rPr/>
        <w:t>was entirely</w:t>
      </w:r>
      <w:r>
        <w:rPr>
          <w:spacing w:val="-2"/>
        </w:rPr>
        <w:t> </w:t>
      </w:r>
      <w:r>
        <w:rPr/>
        <w:t>voluntary, with the option to withdraw at any</w:t>
      </w:r>
      <w:r>
        <w:rPr>
          <w:spacing w:val="-2"/>
        </w:rPr>
        <w:t> </w:t>
      </w:r>
      <w:r>
        <w:rPr/>
        <w:t>time without consequence or penalty. Furthermore, this study underwent rigorous evaluation by the University of Cebu Research Ethics Committee. It was granted</w:t>
      </w:r>
      <w:r>
        <w:rPr>
          <w:spacing w:val="-9"/>
        </w:rPr>
        <w:t> </w:t>
      </w:r>
      <w:r>
        <w:rPr/>
        <w:t>certification</w:t>
      </w:r>
      <w:r>
        <w:rPr>
          <w:spacing w:val="-8"/>
        </w:rPr>
        <w:t> </w:t>
      </w:r>
      <w:r>
        <w:rPr/>
        <w:t>by</w:t>
      </w:r>
      <w:r>
        <w:rPr>
          <w:spacing w:val="-12"/>
        </w:rPr>
        <w:t> </w:t>
      </w:r>
      <w:r>
        <w:rPr/>
        <w:t>the</w:t>
      </w:r>
      <w:r>
        <w:rPr>
          <w:spacing w:val="-7"/>
        </w:rPr>
        <w:t> </w:t>
      </w:r>
      <w:r>
        <w:rPr/>
        <w:t>Ethics</w:t>
      </w:r>
      <w:r>
        <w:rPr>
          <w:spacing w:val="-9"/>
        </w:rPr>
        <w:t> </w:t>
      </w:r>
      <w:r>
        <w:rPr/>
        <w:t>Review</w:t>
      </w:r>
      <w:r>
        <w:rPr>
          <w:spacing w:val="-8"/>
        </w:rPr>
        <w:t> </w:t>
      </w:r>
      <w:r>
        <w:rPr/>
        <w:t>Board,</w:t>
      </w:r>
      <w:r>
        <w:rPr>
          <w:spacing w:val="-7"/>
        </w:rPr>
        <w:t> </w:t>
      </w:r>
      <w:r>
        <w:rPr/>
        <w:t>confirming</w:t>
      </w:r>
      <w:r>
        <w:rPr>
          <w:spacing w:val="-8"/>
        </w:rPr>
        <w:t> </w:t>
      </w:r>
      <w:r>
        <w:rPr/>
        <w:t>that</w:t>
      </w:r>
      <w:r>
        <w:rPr>
          <w:spacing w:val="-9"/>
        </w:rPr>
        <w:t> </w:t>
      </w:r>
      <w:r>
        <w:rPr/>
        <w:t>the</w:t>
      </w:r>
      <w:r>
        <w:rPr>
          <w:spacing w:val="-3"/>
        </w:rPr>
        <w:t> </w:t>
      </w:r>
      <w:r>
        <w:rPr/>
        <w:t>study</w:t>
      </w:r>
      <w:r>
        <w:rPr>
          <w:spacing w:val="-13"/>
        </w:rPr>
        <w:t> </w:t>
      </w:r>
      <w:r>
        <w:rPr/>
        <w:t>adhered</w:t>
      </w:r>
      <w:r>
        <w:rPr>
          <w:spacing w:val="-7"/>
        </w:rPr>
        <w:t> </w:t>
      </w:r>
      <w:r>
        <w:rPr/>
        <w:t>to</w:t>
      </w:r>
      <w:r>
        <w:rPr>
          <w:spacing w:val="-8"/>
        </w:rPr>
        <w:t> </w:t>
      </w:r>
      <w:r>
        <w:rPr/>
        <w:t>ethical</w:t>
      </w:r>
      <w:r>
        <w:rPr>
          <w:spacing w:val="-7"/>
        </w:rPr>
        <w:t> </w:t>
      </w:r>
      <w:r>
        <w:rPr/>
        <w:t>standards</w:t>
      </w:r>
      <w:r>
        <w:rPr>
          <w:spacing w:val="-9"/>
        </w:rPr>
        <w:t> </w:t>
      </w:r>
      <w:r>
        <w:rPr/>
        <w:t>for research involving human participants, particularly minors.</w:t>
      </w:r>
    </w:p>
    <w:p>
      <w:pPr>
        <w:pStyle w:val="BodyText"/>
        <w:spacing w:after="0" w:line="259" w:lineRule="auto"/>
        <w:sectPr>
          <w:pgSz w:w="12240" w:h="15840"/>
          <w:pgMar w:header="98" w:footer="938" w:top="1340" w:bottom="1160" w:left="720" w:right="1080"/>
        </w:sectPr>
      </w:pPr>
    </w:p>
    <w:p>
      <w:pPr>
        <w:pStyle w:val="Heading1"/>
        <w:spacing w:before="110"/>
      </w:pPr>
      <w:r>
        <w:rPr/>
        <w:t>RESULTS</w:t>
      </w:r>
      <w:r>
        <w:rPr>
          <w:spacing w:val="-3"/>
        </w:rPr>
        <w:t> </w:t>
      </w:r>
      <w:r>
        <w:rPr/>
        <w:t>AND</w:t>
      </w:r>
      <w:r>
        <w:rPr>
          <w:spacing w:val="-2"/>
        </w:rPr>
        <w:t> DISCUSSION</w:t>
      </w:r>
    </w:p>
    <w:p>
      <w:pPr>
        <w:pStyle w:val="BodyText"/>
        <w:spacing w:before="176"/>
        <w:ind w:right="355" w:firstLine="720"/>
      </w:pPr>
      <w:r>
        <w:rPr/>
        <w:t>This</w:t>
      </w:r>
      <w:r>
        <w:rPr>
          <w:spacing w:val="-14"/>
        </w:rPr>
        <w:t> </w:t>
      </w:r>
      <w:r>
        <w:rPr/>
        <w:t>section</w:t>
      </w:r>
      <w:r>
        <w:rPr>
          <w:spacing w:val="-14"/>
        </w:rPr>
        <w:t> </w:t>
      </w:r>
      <w:r>
        <w:rPr/>
        <w:t>presents</w:t>
      </w:r>
      <w:r>
        <w:rPr>
          <w:spacing w:val="-14"/>
        </w:rPr>
        <w:t> </w:t>
      </w:r>
      <w:r>
        <w:rPr/>
        <w:t>the</w:t>
      </w:r>
      <w:r>
        <w:rPr>
          <w:spacing w:val="-13"/>
        </w:rPr>
        <w:t> </w:t>
      </w:r>
      <w:r>
        <w:rPr/>
        <w:t>analysis</w:t>
      </w:r>
      <w:r>
        <w:rPr>
          <w:spacing w:val="-14"/>
        </w:rPr>
        <w:t> </w:t>
      </w:r>
      <w:r>
        <w:rPr/>
        <w:t>of</w:t>
      </w:r>
      <w:r>
        <w:rPr>
          <w:spacing w:val="-14"/>
        </w:rPr>
        <w:t> </w:t>
      </w:r>
      <w:r>
        <w:rPr/>
        <w:t>data</w:t>
      </w:r>
      <w:r>
        <w:rPr>
          <w:spacing w:val="-14"/>
        </w:rPr>
        <w:t> </w:t>
      </w:r>
      <w:r>
        <w:rPr/>
        <w:t>gathered</w:t>
      </w:r>
      <w:r>
        <w:rPr>
          <w:spacing w:val="-13"/>
        </w:rPr>
        <w:t> </w:t>
      </w:r>
      <w:r>
        <w:rPr/>
        <w:t>from</w:t>
      </w:r>
      <w:r>
        <w:rPr>
          <w:spacing w:val="-14"/>
        </w:rPr>
        <w:t> </w:t>
      </w:r>
      <w:r>
        <w:rPr/>
        <w:t>junior</w:t>
      </w:r>
      <w:r>
        <w:rPr>
          <w:spacing w:val="-14"/>
        </w:rPr>
        <w:t> </w:t>
      </w:r>
      <w:r>
        <w:rPr/>
        <w:t>high</w:t>
      </w:r>
      <w:r>
        <w:rPr>
          <w:spacing w:val="-14"/>
        </w:rPr>
        <w:t> </w:t>
      </w:r>
      <w:r>
        <w:rPr/>
        <w:t>school</w:t>
      </w:r>
      <w:r>
        <w:rPr>
          <w:spacing w:val="-13"/>
        </w:rPr>
        <w:t> </w:t>
      </w:r>
      <w:r>
        <w:rPr/>
        <w:t>students</w:t>
      </w:r>
      <w:r>
        <w:rPr>
          <w:spacing w:val="-14"/>
        </w:rPr>
        <w:t> </w:t>
      </w:r>
      <w:r>
        <w:rPr/>
        <w:t>at</w:t>
      </w:r>
      <w:r>
        <w:rPr>
          <w:spacing w:val="-14"/>
        </w:rPr>
        <w:t> </w:t>
      </w:r>
      <w:r>
        <w:rPr/>
        <w:t>the</w:t>
      </w:r>
      <w:r>
        <w:rPr>
          <w:spacing w:val="-14"/>
        </w:rPr>
        <w:t> </w:t>
      </w:r>
      <w:r>
        <w:rPr/>
        <w:t>University of Cebu in Lapu-Lapu and Mandaue. The results highlight the demographic profile of the respondents in terms of age, gender, and grade level, followed by an evaluation of their satisfaction across identified dimensions. Furthermore, a section is included for the relationships among these factors. The discussion integrates both statistical findings and relevant literature to provide a comprehensive interpretation of the </w:t>
      </w:r>
      <w:r>
        <w:rPr>
          <w:spacing w:val="-2"/>
        </w:rPr>
        <w:t>results.</w:t>
      </w:r>
    </w:p>
    <w:p>
      <w:pPr>
        <w:pStyle w:val="BodyText"/>
        <w:spacing w:before="5"/>
        <w:ind w:left="0"/>
        <w:jc w:val="left"/>
      </w:pPr>
    </w:p>
    <w:p>
      <w:pPr>
        <w:pStyle w:val="Heading2"/>
      </w:pPr>
      <w:r>
        <w:rPr/>
        <w:t>Table </w:t>
      </w:r>
      <w:r>
        <w:rPr>
          <w:spacing w:val="-10"/>
        </w:rPr>
        <w:t>1</w:t>
      </w:r>
    </w:p>
    <w:p>
      <w:pPr>
        <w:spacing w:before="19" w:after="22"/>
        <w:ind w:left="508" w:right="149" w:firstLine="0"/>
        <w:jc w:val="center"/>
        <w:rPr>
          <w:b/>
          <w:sz w:val="22"/>
        </w:rPr>
      </w:pPr>
      <w:r>
        <w:rPr>
          <w:b/>
          <w:sz w:val="22"/>
        </w:rPr>
        <w:t>Profile</w:t>
      </w:r>
      <w:r>
        <w:rPr>
          <w:b/>
          <w:spacing w:val="-1"/>
          <w:sz w:val="22"/>
        </w:rPr>
        <w:t> </w:t>
      </w:r>
      <w:r>
        <w:rPr>
          <w:b/>
          <w:sz w:val="22"/>
        </w:rPr>
        <w:t>of</w:t>
      </w:r>
      <w:r>
        <w:rPr>
          <w:b/>
          <w:spacing w:val="-1"/>
          <w:sz w:val="22"/>
        </w:rPr>
        <w:t> </w:t>
      </w:r>
      <w:r>
        <w:rPr>
          <w:b/>
          <w:sz w:val="22"/>
        </w:rPr>
        <w:t>the</w:t>
      </w:r>
      <w:r>
        <w:rPr>
          <w:b/>
          <w:spacing w:val="-1"/>
          <w:sz w:val="22"/>
        </w:rPr>
        <w:t> </w:t>
      </w:r>
      <w:r>
        <w:rPr>
          <w:b/>
          <w:spacing w:val="-2"/>
          <w:sz w:val="22"/>
        </w:rPr>
        <w:t>Respondents</w:t>
      </w:r>
    </w:p>
    <w:tbl>
      <w:tblPr>
        <w:tblW w:w="0" w:type="auto"/>
        <w:jc w:val="left"/>
        <w:tblInd w:w="1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5"/>
        <w:gridCol w:w="2651"/>
        <w:gridCol w:w="2663"/>
        <w:gridCol w:w="1867"/>
      </w:tblGrid>
      <w:tr>
        <w:trPr>
          <w:trHeight w:val="290" w:hRule="atLeast"/>
        </w:trPr>
        <w:tc>
          <w:tcPr>
            <w:tcW w:w="1295" w:type="dxa"/>
            <w:tcBorders>
              <w:top w:val="single" w:sz="4" w:space="0" w:color="7E7E7E"/>
              <w:bottom w:val="single" w:sz="4" w:space="0" w:color="7E7E7E"/>
            </w:tcBorders>
          </w:tcPr>
          <w:p>
            <w:pPr>
              <w:pStyle w:val="TableParagraph"/>
              <w:spacing w:line="252" w:lineRule="exact"/>
              <w:ind w:left="121"/>
              <w:rPr>
                <w:b/>
                <w:sz w:val="22"/>
              </w:rPr>
            </w:pPr>
            <w:r>
              <w:rPr>
                <w:b/>
                <w:spacing w:val="-2"/>
                <w:sz w:val="22"/>
              </w:rPr>
              <w:t>Variable</w:t>
            </w:r>
          </w:p>
        </w:tc>
        <w:tc>
          <w:tcPr>
            <w:tcW w:w="2651" w:type="dxa"/>
            <w:tcBorders>
              <w:top w:val="single" w:sz="4" w:space="0" w:color="7E7E7E"/>
              <w:bottom w:val="single" w:sz="4" w:space="0" w:color="7E7E7E"/>
            </w:tcBorders>
          </w:tcPr>
          <w:p>
            <w:pPr>
              <w:pStyle w:val="TableParagraph"/>
              <w:spacing w:line="252" w:lineRule="exact"/>
              <w:ind w:left="355"/>
              <w:rPr>
                <w:b/>
                <w:sz w:val="22"/>
              </w:rPr>
            </w:pPr>
            <w:r>
              <w:rPr>
                <w:b/>
                <w:spacing w:val="-2"/>
                <w:sz w:val="22"/>
              </w:rPr>
              <w:t>Category</w:t>
            </w:r>
          </w:p>
        </w:tc>
        <w:tc>
          <w:tcPr>
            <w:tcW w:w="2663" w:type="dxa"/>
            <w:tcBorders>
              <w:top w:val="single" w:sz="4" w:space="0" w:color="7E7E7E"/>
              <w:bottom w:val="single" w:sz="4" w:space="0" w:color="7E7E7E"/>
            </w:tcBorders>
          </w:tcPr>
          <w:p>
            <w:pPr>
              <w:pStyle w:val="TableParagraph"/>
              <w:spacing w:line="252" w:lineRule="exact"/>
              <w:ind w:left="105"/>
              <w:jc w:val="center"/>
              <w:rPr>
                <w:b/>
                <w:sz w:val="22"/>
              </w:rPr>
            </w:pPr>
            <w:r>
              <w:rPr>
                <w:b/>
                <w:sz w:val="22"/>
              </w:rPr>
              <w:t>Frequency </w:t>
            </w:r>
            <w:r>
              <w:rPr>
                <w:b/>
                <w:spacing w:val="-5"/>
                <w:sz w:val="22"/>
              </w:rPr>
              <w:t>(n)</w:t>
            </w:r>
          </w:p>
        </w:tc>
        <w:tc>
          <w:tcPr>
            <w:tcW w:w="1867" w:type="dxa"/>
            <w:tcBorders>
              <w:top w:val="single" w:sz="4" w:space="0" w:color="7E7E7E"/>
              <w:bottom w:val="single" w:sz="4" w:space="0" w:color="7E7E7E"/>
            </w:tcBorders>
          </w:tcPr>
          <w:p>
            <w:pPr>
              <w:pStyle w:val="TableParagraph"/>
              <w:spacing w:line="252" w:lineRule="exact"/>
              <w:ind w:right="110"/>
              <w:jc w:val="right"/>
              <w:rPr>
                <w:b/>
                <w:sz w:val="22"/>
              </w:rPr>
            </w:pPr>
            <w:r>
              <w:rPr>
                <w:b/>
                <w:sz w:val="22"/>
              </w:rPr>
              <w:t>Percent </w:t>
            </w:r>
            <w:r>
              <w:rPr>
                <w:b/>
                <w:spacing w:val="-5"/>
                <w:sz w:val="22"/>
              </w:rPr>
              <w:t>(%)</w:t>
            </w:r>
          </w:p>
        </w:tc>
      </w:tr>
      <w:tr>
        <w:trPr>
          <w:trHeight w:val="264" w:hRule="atLeast"/>
        </w:trPr>
        <w:tc>
          <w:tcPr>
            <w:tcW w:w="1295" w:type="dxa"/>
            <w:tcBorders>
              <w:top w:val="single" w:sz="4" w:space="0" w:color="7E7E7E"/>
            </w:tcBorders>
          </w:tcPr>
          <w:p>
            <w:pPr>
              <w:pStyle w:val="TableParagraph"/>
              <w:spacing w:line="245" w:lineRule="exact"/>
              <w:ind w:left="121"/>
              <w:rPr>
                <w:b/>
                <w:sz w:val="22"/>
              </w:rPr>
            </w:pPr>
            <w:r>
              <w:rPr>
                <w:b/>
                <w:spacing w:val="-5"/>
                <w:sz w:val="22"/>
              </w:rPr>
              <w:t>Age</w:t>
            </w:r>
          </w:p>
        </w:tc>
        <w:tc>
          <w:tcPr>
            <w:tcW w:w="2651" w:type="dxa"/>
            <w:tcBorders>
              <w:top w:val="single" w:sz="4" w:space="0" w:color="7E7E7E"/>
            </w:tcBorders>
          </w:tcPr>
          <w:p>
            <w:pPr>
              <w:pStyle w:val="TableParagraph"/>
              <w:spacing w:line="245" w:lineRule="exact"/>
              <w:ind w:left="355"/>
              <w:rPr>
                <w:sz w:val="22"/>
              </w:rPr>
            </w:pPr>
            <w:r>
              <w:rPr>
                <w:sz w:val="22"/>
              </w:rPr>
              <w:t>5</w:t>
            </w:r>
            <w:r>
              <w:rPr>
                <w:spacing w:val="-2"/>
                <w:sz w:val="22"/>
              </w:rPr>
              <w:t> </w:t>
            </w:r>
            <w:r>
              <w:rPr>
                <w:sz w:val="22"/>
              </w:rPr>
              <w:t>to</w:t>
            </w:r>
            <w:r>
              <w:rPr>
                <w:spacing w:val="-1"/>
                <w:sz w:val="22"/>
              </w:rPr>
              <w:t> </w:t>
            </w:r>
            <w:r>
              <w:rPr>
                <w:sz w:val="22"/>
              </w:rPr>
              <w:t>7</w:t>
            </w:r>
            <w:r>
              <w:rPr>
                <w:spacing w:val="-1"/>
                <w:sz w:val="22"/>
              </w:rPr>
              <w:t> </w:t>
            </w:r>
            <w:r>
              <w:rPr>
                <w:sz w:val="22"/>
              </w:rPr>
              <w:t>years </w:t>
            </w:r>
            <w:r>
              <w:rPr>
                <w:spacing w:val="-5"/>
                <w:sz w:val="22"/>
              </w:rPr>
              <w:t>old</w:t>
            </w:r>
          </w:p>
        </w:tc>
        <w:tc>
          <w:tcPr>
            <w:tcW w:w="2663" w:type="dxa"/>
            <w:tcBorders>
              <w:top w:val="single" w:sz="4" w:space="0" w:color="7E7E7E"/>
            </w:tcBorders>
          </w:tcPr>
          <w:p>
            <w:pPr>
              <w:pStyle w:val="TableParagraph"/>
              <w:spacing w:line="245" w:lineRule="exact"/>
              <w:ind w:left="105" w:right="1"/>
              <w:jc w:val="center"/>
              <w:rPr>
                <w:sz w:val="22"/>
              </w:rPr>
            </w:pPr>
            <w:r>
              <w:rPr>
                <w:spacing w:val="-5"/>
                <w:sz w:val="22"/>
              </w:rPr>
              <w:t>350</w:t>
            </w:r>
          </w:p>
        </w:tc>
        <w:tc>
          <w:tcPr>
            <w:tcW w:w="1867" w:type="dxa"/>
            <w:tcBorders>
              <w:top w:val="single" w:sz="4" w:space="0" w:color="7E7E7E"/>
            </w:tcBorders>
          </w:tcPr>
          <w:p>
            <w:pPr>
              <w:pStyle w:val="TableParagraph"/>
              <w:spacing w:line="245" w:lineRule="exact"/>
              <w:ind w:right="107"/>
              <w:jc w:val="right"/>
              <w:rPr>
                <w:sz w:val="22"/>
              </w:rPr>
            </w:pPr>
            <w:r>
              <w:rPr>
                <w:spacing w:val="-4"/>
                <w:sz w:val="22"/>
              </w:rPr>
              <w:t>70.1</w:t>
            </w:r>
          </w:p>
        </w:tc>
      </w:tr>
      <w:tr>
        <w:trPr>
          <w:trHeight w:val="281" w:hRule="atLeast"/>
        </w:trPr>
        <w:tc>
          <w:tcPr>
            <w:tcW w:w="1295" w:type="dxa"/>
          </w:tcPr>
          <w:p>
            <w:pPr>
              <w:pStyle w:val="TableParagraph"/>
              <w:rPr>
                <w:sz w:val="20"/>
              </w:rPr>
            </w:pPr>
          </w:p>
        </w:tc>
        <w:tc>
          <w:tcPr>
            <w:tcW w:w="2651" w:type="dxa"/>
          </w:tcPr>
          <w:p>
            <w:pPr>
              <w:pStyle w:val="TableParagraph"/>
              <w:spacing w:before="4"/>
              <w:ind w:left="355"/>
              <w:rPr>
                <w:sz w:val="22"/>
              </w:rPr>
            </w:pPr>
            <w:r>
              <w:rPr>
                <w:sz w:val="22"/>
              </w:rPr>
              <w:t>8</w:t>
            </w:r>
            <w:r>
              <w:rPr>
                <w:spacing w:val="-2"/>
                <w:sz w:val="22"/>
              </w:rPr>
              <w:t> </w:t>
            </w:r>
            <w:r>
              <w:rPr>
                <w:sz w:val="22"/>
              </w:rPr>
              <w:t>to</w:t>
            </w:r>
            <w:r>
              <w:rPr>
                <w:spacing w:val="-1"/>
                <w:sz w:val="22"/>
              </w:rPr>
              <w:t> </w:t>
            </w:r>
            <w:r>
              <w:rPr>
                <w:sz w:val="22"/>
              </w:rPr>
              <w:t>10</w:t>
            </w:r>
            <w:r>
              <w:rPr>
                <w:spacing w:val="-1"/>
                <w:sz w:val="22"/>
              </w:rPr>
              <w:t> </w:t>
            </w:r>
            <w:r>
              <w:rPr>
                <w:sz w:val="22"/>
              </w:rPr>
              <w:t>years </w:t>
            </w:r>
            <w:r>
              <w:rPr>
                <w:spacing w:val="-5"/>
                <w:sz w:val="22"/>
              </w:rPr>
              <w:t>old</w:t>
            </w:r>
          </w:p>
        </w:tc>
        <w:tc>
          <w:tcPr>
            <w:tcW w:w="2663" w:type="dxa"/>
          </w:tcPr>
          <w:p>
            <w:pPr>
              <w:pStyle w:val="TableParagraph"/>
              <w:spacing w:before="4"/>
              <w:ind w:left="105" w:right="1"/>
              <w:jc w:val="center"/>
              <w:rPr>
                <w:sz w:val="22"/>
              </w:rPr>
            </w:pPr>
            <w:r>
              <w:rPr>
                <w:spacing w:val="-5"/>
                <w:sz w:val="22"/>
              </w:rPr>
              <w:t>148</w:t>
            </w:r>
          </w:p>
        </w:tc>
        <w:tc>
          <w:tcPr>
            <w:tcW w:w="1867" w:type="dxa"/>
          </w:tcPr>
          <w:p>
            <w:pPr>
              <w:pStyle w:val="TableParagraph"/>
              <w:spacing w:before="4"/>
              <w:ind w:right="107"/>
              <w:jc w:val="right"/>
              <w:rPr>
                <w:sz w:val="22"/>
              </w:rPr>
            </w:pPr>
            <w:r>
              <w:rPr>
                <w:spacing w:val="-4"/>
                <w:sz w:val="22"/>
              </w:rPr>
              <w:t>29.7</w:t>
            </w:r>
          </w:p>
        </w:tc>
      </w:tr>
      <w:tr>
        <w:trPr>
          <w:trHeight w:val="294" w:hRule="atLeast"/>
        </w:trPr>
        <w:tc>
          <w:tcPr>
            <w:tcW w:w="1295" w:type="dxa"/>
          </w:tcPr>
          <w:p>
            <w:pPr>
              <w:pStyle w:val="TableParagraph"/>
              <w:rPr>
                <w:sz w:val="20"/>
              </w:rPr>
            </w:pPr>
          </w:p>
        </w:tc>
        <w:tc>
          <w:tcPr>
            <w:tcW w:w="2651" w:type="dxa"/>
          </w:tcPr>
          <w:p>
            <w:pPr>
              <w:pStyle w:val="TableParagraph"/>
              <w:spacing w:before="15"/>
              <w:ind w:left="355"/>
              <w:rPr>
                <w:sz w:val="22"/>
              </w:rPr>
            </w:pPr>
            <w:r>
              <w:rPr>
                <w:sz w:val="22"/>
              </w:rPr>
              <w:t>11</w:t>
            </w:r>
            <w:r>
              <w:rPr>
                <w:spacing w:val="-2"/>
                <w:sz w:val="22"/>
              </w:rPr>
              <w:t> </w:t>
            </w:r>
            <w:r>
              <w:rPr>
                <w:sz w:val="22"/>
              </w:rPr>
              <w:t>to</w:t>
            </w:r>
            <w:r>
              <w:rPr>
                <w:spacing w:val="-1"/>
                <w:sz w:val="22"/>
              </w:rPr>
              <w:t> </w:t>
            </w:r>
            <w:r>
              <w:rPr>
                <w:sz w:val="22"/>
              </w:rPr>
              <w:t>13</w:t>
            </w:r>
            <w:r>
              <w:rPr>
                <w:spacing w:val="-1"/>
                <w:sz w:val="22"/>
              </w:rPr>
              <w:t> </w:t>
            </w:r>
            <w:r>
              <w:rPr>
                <w:sz w:val="22"/>
              </w:rPr>
              <w:t>years </w:t>
            </w:r>
            <w:r>
              <w:rPr>
                <w:spacing w:val="-5"/>
                <w:sz w:val="22"/>
              </w:rPr>
              <w:t>old</w:t>
            </w:r>
          </w:p>
        </w:tc>
        <w:tc>
          <w:tcPr>
            <w:tcW w:w="2663" w:type="dxa"/>
          </w:tcPr>
          <w:p>
            <w:pPr>
              <w:pStyle w:val="TableParagraph"/>
              <w:spacing w:before="15"/>
              <w:ind w:left="105" w:right="1"/>
              <w:jc w:val="center"/>
              <w:rPr>
                <w:sz w:val="22"/>
              </w:rPr>
            </w:pPr>
            <w:r>
              <w:rPr>
                <w:spacing w:val="-10"/>
                <w:sz w:val="22"/>
              </w:rPr>
              <w:t>1</w:t>
            </w:r>
          </w:p>
        </w:tc>
        <w:tc>
          <w:tcPr>
            <w:tcW w:w="1867" w:type="dxa"/>
          </w:tcPr>
          <w:p>
            <w:pPr>
              <w:pStyle w:val="TableParagraph"/>
              <w:spacing w:before="15"/>
              <w:ind w:right="107"/>
              <w:jc w:val="right"/>
              <w:rPr>
                <w:sz w:val="22"/>
              </w:rPr>
            </w:pPr>
            <w:r>
              <w:rPr>
                <w:spacing w:val="-5"/>
                <w:sz w:val="22"/>
              </w:rPr>
              <w:t>0.2</w:t>
            </w:r>
          </w:p>
        </w:tc>
      </w:tr>
      <w:tr>
        <w:trPr>
          <w:trHeight w:val="291" w:hRule="atLeast"/>
        </w:trPr>
        <w:tc>
          <w:tcPr>
            <w:tcW w:w="1295" w:type="dxa"/>
          </w:tcPr>
          <w:p>
            <w:pPr>
              <w:pStyle w:val="TableParagraph"/>
              <w:rPr>
                <w:sz w:val="20"/>
              </w:rPr>
            </w:pPr>
          </w:p>
        </w:tc>
        <w:tc>
          <w:tcPr>
            <w:tcW w:w="2651" w:type="dxa"/>
          </w:tcPr>
          <w:p>
            <w:pPr>
              <w:pStyle w:val="TableParagraph"/>
              <w:spacing w:before="17"/>
              <w:ind w:left="355"/>
              <w:rPr>
                <w:b/>
                <w:sz w:val="22"/>
              </w:rPr>
            </w:pPr>
            <w:r>
              <w:rPr>
                <w:b/>
                <w:spacing w:val="-2"/>
                <w:sz w:val="22"/>
              </w:rPr>
              <w:t>Total</w:t>
            </w:r>
          </w:p>
        </w:tc>
        <w:tc>
          <w:tcPr>
            <w:tcW w:w="2663" w:type="dxa"/>
          </w:tcPr>
          <w:p>
            <w:pPr>
              <w:pStyle w:val="TableParagraph"/>
              <w:spacing w:before="17"/>
              <w:ind w:left="105" w:right="1"/>
              <w:jc w:val="center"/>
              <w:rPr>
                <w:b/>
                <w:sz w:val="22"/>
              </w:rPr>
            </w:pPr>
            <w:r>
              <w:rPr>
                <w:b/>
                <w:spacing w:val="-5"/>
                <w:sz w:val="22"/>
              </w:rPr>
              <w:t>499</w:t>
            </w:r>
          </w:p>
        </w:tc>
        <w:tc>
          <w:tcPr>
            <w:tcW w:w="1867" w:type="dxa"/>
          </w:tcPr>
          <w:p>
            <w:pPr>
              <w:pStyle w:val="TableParagraph"/>
              <w:spacing w:before="17"/>
              <w:ind w:right="107"/>
              <w:jc w:val="right"/>
              <w:rPr>
                <w:b/>
                <w:sz w:val="22"/>
              </w:rPr>
            </w:pPr>
            <w:r>
              <w:rPr>
                <w:b/>
                <w:spacing w:val="-2"/>
                <w:sz w:val="22"/>
              </w:rPr>
              <w:t>100.0</w:t>
            </w:r>
          </w:p>
        </w:tc>
      </w:tr>
      <w:tr>
        <w:trPr>
          <w:trHeight w:val="291" w:hRule="atLeast"/>
        </w:trPr>
        <w:tc>
          <w:tcPr>
            <w:tcW w:w="1295" w:type="dxa"/>
          </w:tcPr>
          <w:p>
            <w:pPr>
              <w:pStyle w:val="TableParagraph"/>
              <w:spacing w:before="18"/>
              <w:ind w:left="121"/>
              <w:rPr>
                <w:b/>
                <w:sz w:val="22"/>
              </w:rPr>
            </w:pPr>
            <w:r>
              <w:rPr>
                <w:b/>
                <w:spacing w:val="-2"/>
                <w:sz w:val="22"/>
              </w:rPr>
              <w:t>Gender</w:t>
            </w:r>
          </w:p>
        </w:tc>
        <w:tc>
          <w:tcPr>
            <w:tcW w:w="2651" w:type="dxa"/>
          </w:tcPr>
          <w:p>
            <w:pPr>
              <w:pStyle w:val="TableParagraph"/>
              <w:spacing w:before="12"/>
              <w:ind w:left="355"/>
              <w:rPr>
                <w:sz w:val="22"/>
              </w:rPr>
            </w:pPr>
            <w:r>
              <w:rPr>
                <w:spacing w:val="-4"/>
                <w:sz w:val="22"/>
              </w:rPr>
              <w:t>Male</w:t>
            </w:r>
          </w:p>
        </w:tc>
        <w:tc>
          <w:tcPr>
            <w:tcW w:w="2663" w:type="dxa"/>
          </w:tcPr>
          <w:p>
            <w:pPr>
              <w:pStyle w:val="TableParagraph"/>
              <w:spacing w:before="12"/>
              <w:ind w:left="105" w:right="1"/>
              <w:jc w:val="center"/>
              <w:rPr>
                <w:sz w:val="22"/>
              </w:rPr>
            </w:pPr>
            <w:r>
              <w:rPr>
                <w:spacing w:val="-5"/>
                <w:sz w:val="22"/>
              </w:rPr>
              <w:t>230</w:t>
            </w:r>
          </w:p>
        </w:tc>
        <w:tc>
          <w:tcPr>
            <w:tcW w:w="1867" w:type="dxa"/>
          </w:tcPr>
          <w:p>
            <w:pPr>
              <w:pStyle w:val="TableParagraph"/>
              <w:spacing w:before="12"/>
              <w:ind w:right="107"/>
              <w:jc w:val="right"/>
              <w:rPr>
                <w:sz w:val="22"/>
              </w:rPr>
            </w:pPr>
            <w:r>
              <w:rPr>
                <w:spacing w:val="-4"/>
                <w:sz w:val="22"/>
              </w:rPr>
              <w:t>46.1</w:t>
            </w:r>
          </w:p>
        </w:tc>
      </w:tr>
      <w:tr>
        <w:trPr>
          <w:trHeight w:val="287" w:hRule="atLeast"/>
        </w:trPr>
        <w:tc>
          <w:tcPr>
            <w:tcW w:w="1295" w:type="dxa"/>
          </w:tcPr>
          <w:p>
            <w:pPr>
              <w:pStyle w:val="TableParagraph"/>
              <w:rPr>
                <w:sz w:val="20"/>
              </w:rPr>
            </w:pPr>
          </w:p>
        </w:tc>
        <w:tc>
          <w:tcPr>
            <w:tcW w:w="2651" w:type="dxa"/>
          </w:tcPr>
          <w:p>
            <w:pPr>
              <w:pStyle w:val="TableParagraph"/>
              <w:spacing w:before="11"/>
              <w:ind w:left="355"/>
              <w:rPr>
                <w:sz w:val="22"/>
              </w:rPr>
            </w:pPr>
            <w:r>
              <w:rPr>
                <w:spacing w:val="-2"/>
                <w:sz w:val="22"/>
              </w:rPr>
              <w:t>Female</w:t>
            </w:r>
          </w:p>
        </w:tc>
        <w:tc>
          <w:tcPr>
            <w:tcW w:w="2663" w:type="dxa"/>
          </w:tcPr>
          <w:p>
            <w:pPr>
              <w:pStyle w:val="TableParagraph"/>
              <w:spacing w:before="11"/>
              <w:ind w:left="105" w:right="1"/>
              <w:jc w:val="center"/>
              <w:rPr>
                <w:sz w:val="22"/>
              </w:rPr>
            </w:pPr>
            <w:r>
              <w:rPr>
                <w:spacing w:val="-5"/>
                <w:sz w:val="22"/>
              </w:rPr>
              <w:t>260</w:t>
            </w:r>
          </w:p>
        </w:tc>
        <w:tc>
          <w:tcPr>
            <w:tcW w:w="1867" w:type="dxa"/>
          </w:tcPr>
          <w:p>
            <w:pPr>
              <w:pStyle w:val="TableParagraph"/>
              <w:spacing w:before="11"/>
              <w:ind w:right="107"/>
              <w:jc w:val="right"/>
              <w:rPr>
                <w:sz w:val="22"/>
              </w:rPr>
            </w:pPr>
            <w:r>
              <w:rPr>
                <w:spacing w:val="-4"/>
                <w:sz w:val="22"/>
              </w:rPr>
              <w:t>52.1</w:t>
            </w:r>
          </w:p>
        </w:tc>
      </w:tr>
      <w:tr>
        <w:trPr>
          <w:trHeight w:val="294" w:hRule="atLeast"/>
        </w:trPr>
        <w:tc>
          <w:tcPr>
            <w:tcW w:w="1295" w:type="dxa"/>
          </w:tcPr>
          <w:p>
            <w:pPr>
              <w:pStyle w:val="TableParagraph"/>
              <w:rPr>
                <w:sz w:val="20"/>
              </w:rPr>
            </w:pPr>
          </w:p>
        </w:tc>
        <w:tc>
          <w:tcPr>
            <w:tcW w:w="2651" w:type="dxa"/>
          </w:tcPr>
          <w:p>
            <w:pPr>
              <w:pStyle w:val="TableParagraph"/>
              <w:spacing w:before="15"/>
              <w:ind w:left="355"/>
              <w:rPr>
                <w:sz w:val="22"/>
              </w:rPr>
            </w:pPr>
            <w:r>
              <w:rPr>
                <w:sz w:val="22"/>
              </w:rPr>
              <w:t>Prefer not</w:t>
            </w:r>
            <w:r>
              <w:rPr>
                <w:spacing w:val="-1"/>
                <w:sz w:val="22"/>
              </w:rPr>
              <w:t> </w:t>
            </w:r>
            <w:r>
              <w:rPr>
                <w:sz w:val="22"/>
              </w:rPr>
              <w:t>to</w:t>
            </w:r>
            <w:r>
              <w:rPr>
                <w:spacing w:val="-2"/>
                <w:sz w:val="22"/>
              </w:rPr>
              <w:t> </w:t>
            </w:r>
            <w:r>
              <w:rPr>
                <w:spacing w:val="-5"/>
                <w:sz w:val="22"/>
              </w:rPr>
              <w:t>say</w:t>
            </w:r>
          </w:p>
        </w:tc>
        <w:tc>
          <w:tcPr>
            <w:tcW w:w="2663" w:type="dxa"/>
          </w:tcPr>
          <w:p>
            <w:pPr>
              <w:pStyle w:val="TableParagraph"/>
              <w:spacing w:before="15"/>
              <w:ind w:left="105" w:right="1"/>
              <w:jc w:val="center"/>
              <w:rPr>
                <w:sz w:val="22"/>
              </w:rPr>
            </w:pPr>
            <w:r>
              <w:rPr>
                <w:spacing w:val="-10"/>
                <w:sz w:val="22"/>
              </w:rPr>
              <w:t>9</w:t>
            </w:r>
          </w:p>
        </w:tc>
        <w:tc>
          <w:tcPr>
            <w:tcW w:w="1867" w:type="dxa"/>
          </w:tcPr>
          <w:p>
            <w:pPr>
              <w:pStyle w:val="TableParagraph"/>
              <w:spacing w:before="15"/>
              <w:ind w:right="107"/>
              <w:jc w:val="right"/>
              <w:rPr>
                <w:sz w:val="22"/>
              </w:rPr>
            </w:pPr>
            <w:r>
              <w:rPr>
                <w:spacing w:val="-5"/>
                <w:sz w:val="22"/>
              </w:rPr>
              <w:t>1.8</w:t>
            </w:r>
          </w:p>
        </w:tc>
      </w:tr>
      <w:tr>
        <w:trPr>
          <w:trHeight w:val="290" w:hRule="atLeast"/>
        </w:trPr>
        <w:tc>
          <w:tcPr>
            <w:tcW w:w="1295" w:type="dxa"/>
          </w:tcPr>
          <w:p>
            <w:pPr>
              <w:pStyle w:val="TableParagraph"/>
              <w:rPr>
                <w:sz w:val="20"/>
              </w:rPr>
            </w:pPr>
          </w:p>
        </w:tc>
        <w:tc>
          <w:tcPr>
            <w:tcW w:w="2651" w:type="dxa"/>
          </w:tcPr>
          <w:p>
            <w:pPr>
              <w:pStyle w:val="TableParagraph"/>
              <w:spacing w:before="17"/>
              <w:ind w:left="355"/>
              <w:rPr>
                <w:b/>
                <w:sz w:val="22"/>
              </w:rPr>
            </w:pPr>
            <w:r>
              <w:rPr>
                <w:b/>
                <w:spacing w:val="-2"/>
                <w:sz w:val="22"/>
              </w:rPr>
              <w:t>Total</w:t>
            </w:r>
          </w:p>
        </w:tc>
        <w:tc>
          <w:tcPr>
            <w:tcW w:w="2663" w:type="dxa"/>
          </w:tcPr>
          <w:p>
            <w:pPr>
              <w:pStyle w:val="TableParagraph"/>
              <w:spacing w:before="17"/>
              <w:ind w:left="105" w:right="1"/>
              <w:jc w:val="center"/>
              <w:rPr>
                <w:b/>
                <w:sz w:val="22"/>
              </w:rPr>
            </w:pPr>
            <w:r>
              <w:rPr>
                <w:b/>
                <w:spacing w:val="-5"/>
                <w:sz w:val="22"/>
              </w:rPr>
              <w:t>499</w:t>
            </w:r>
          </w:p>
        </w:tc>
        <w:tc>
          <w:tcPr>
            <w:tcW w:w="1867" w:type="dxa"/>
          </w:tcPr>
          <w:p>
            <w:pPr>
              <w:pStyle w:val="TableParagraph"/>
              <w:spacing w:before="17"/>
              <w:ind w:right="107"/>
              <w:jc w:val="right"/>
              <w:rPr>
                <w:b/>
                <w:sz w:val="22"/>
              </w:rPr>
            </w:pPr>
            <w:r>
              <w:rPr>
                <w:b/>
                <w:spacing w:val="-2"/>
                <w:sz w:val="22"/>
              </w:rPr>
              <w:t>100.0</w:t>
            </w:r>
          </w:p>
        </w:tc>
      </w:tr>
      <w:tr>
        <w:trPr>
          <w:trHeight w:val="291" w:hRule="atLeast"/>
        </w:trPr>
        <w:tc>
          <w:tcPr>
            <w:tcW w:w="1295" w:type="dxa"/>
          </w:tcPr>
          <w:p>
            <w:pPr>
              <w:pStyle w:val="TableParagraph"/>
              <w:spacing w:before="18"/>
              <w:ind w:left="121"/>
              <w:rPr>
                <w:b/>
                <w:sz w:val="22"/>
              </w:rPr>
            </w:pPr>
            <w:r>
              <w:rPr>
                <w:b/>
                <w:spacing w:val="-2"/>
                <w:sz w:val="22"/>
              </w:rPr>
              <w:t>Grade</w:t>
            </w:r>
          </w:p>
        </w:tc>
        <w:tc>
          <w:tcPr>
            <w:tcW w:w="2651" w:type="dxa"/>
          </w:tcPr>
          <w:p>
            <w:pPr>
              <w:pStyle w:val="TableParagraph"/>
              <w:spacing w:before="12"/>
              <w:ind w:left="355"/>
              <w:rPr>
                <w:sz w:val="22"/>
              </w:rPr>
            </w:pPr>
            <w:r>
              <w:rPr>
                <w:sz w:val="22"/>
              </w:rPr>
              <w:t>Grade </w:t>
            </w:r>
            <w:r>
              <w:rPr>
                <w:spacing w:val="-10"/>
                <w:sz w:val="22"/>
              </w:rPr>
              <w:t>1</w:t>
            </w:r>
          </w:p>
        </w:tc>
        <w:tc>
          <w:tcPr>
            <w:tcW w:w="2663" w:type="dxa"/>
          </w:tcPr>
          <w:p>
            <w:pPr>
              <w:pStyle w:val="TableParagraph"/>
              <w:spacing w:before="12"/>
              <w:ind w:left="105" w:right="3"/>
              <w:jc w:val="center"/>
              <w:rPr>
                <w:sz w:val="22"/>
              </w:rPr>
            </w:pPr>
            <w:r>
              <w:rPr>
                <w:spacing w:val="-5"/>
                <w:sz w:val="22"/>
              </w:rPr>
              <w:t>73</w:t>
            </w:r>
          </w:p>
        </w:tc>
        <w:tc>
          <w:tcPr>
            <w:tcW w:w="1867" w:type="dxa"/>
          </w:tcPr>
          <w:p>
            <w:pPr>
              <w:pStyle w:val="TableParagraph"/>
              <w:spacing w:before="12"/>
              <w:ind w:right="107"/>
              <w:jc w:val="right"/>
              <w:rPr>
                <w:sz w:val="22"/>
              </w:rPr>
            </w:pPr>
            <w:r>
              <w:rPr>
                <w:spacing w:val="-4"/>
                <w:sz w:val="22"/>
              </w:rPr>
              <w:t>14.6</w:t>
            </w:r>
          </w:p>
        </w:tc>
      </w:tr>
      <w:tr>
        <w:trPr>
          <w:trHeight w:val="287" w:hRule="atLeast"/>
        </w:trPr>
        <w:tc>
          <w:tcPr>
            <w:tcW w:w="1295" w:type="dxa"/>
          </w:tcPr>
          <w:p>
            <w:pPr>
              <w:pStyle w:val="TableParagraph"/>
              <w:rPr>
                <w:sz w:val="20"/>
              </w:rPr>
            </w:pPr>
          </w:p>
        </w:tc>
        <w:tc>
          <w:tcPr>
            <w:tcW w:w="2651" w:type="dxa"/>
          </w:tcPr>
          <w:p>
            <w:pPr>
              <w:pStyle w:val="TableParagraph"/>
              <w:spacing w:before="11"/>
              <w:ind w:left="355"/>
              <w:rPr>
                <w:sz w:val="22"/>
              </w:rPr>
            </w:pPr>
            <w:r>
              <w:rPr>
                <w:sz w:val="22"/>
              </w:rPr>
              <w:t>Grade </w:t>
            </w:r>
            <w:r>
              <w:rPr>
                <w:spacing w:val="-10"/>
                <w:sz w:val="22"/>
              </w:rPr>
              <w:t>2</w:t>
            </w:r>
          </w:p>
        </w:tc>
        <w:tc>
          <w:tcPr>
            <w:tcW w:w="2663" w:type="dxa"/>
          </w:tcPr>
          <w:p>
            <w:pPr>
              <w:pStyle w:val="TableParagraph"/>
              <w:spacing w:before="11"/>
              <w:ind w:left="105" w:right="1"/>
              <w:jc w:val="center"/>
              <w:rPr>
                <w:sz w:val="22"/>
              </w:rPr>
            </w:pPr>
            <w:r>
              <w:rPr>
                <w:spacing w:val="-5"/>
                <w:sz w:val="22"/>
              </w:rPr>
              <w:t>173</w:t>
            </w:r>
          </w:p>
        </w:tc>
        <w:tc>
          <w:tcPr>
            <w:tcW w:w="1867" w:type="dxa"/>
          </w:tcPr>
          <w:p>
            <w:pPr>
              <w:pStyle w:val="TableParagraph"/>
              <w:spacing w:before="11"/>
              <w:ind w:right="107"/>
              <w:jc w:val="right"/>
              <w:rPr>
                <w:sz w:val="22"/>
              </w:rPr>
            </w:pPr>
            <w:r>
              <w:rPr>
                <w:spacing w:val="-4"/>
                <w:sz w:val="22"/>
              </w:rPr>
              <w:t>34.7</w:t>
            </w:r>
          </w:p>
        </w:tc>
      </w:tr>
      <w:tr>
        <w:trPr>
          <w:trHeight w:val="290" w:hRule="atLeast"/>
        </w:trPr>
        <w:tc>
          <w:tcPr>
            <w:tcW w:w="1295" w:type="dxa"/>
          </w:tcPr>
          <w:p>
            <w:pPr>
              <w:pStyle w:val="TableParagraph"/>
              <w:rPr>
                <w:sz w:val="20"/>
              </w:rPr>
            </w:pPr>
          </w:p>
        </w:tc>
        <w:tc>
          <w:tcPr>
            <w:tcW w:w="2651" w:type="dxa"/>
          </w:tcPr>
          <w:p>
            <w:pPr>
              <w:pStyle w:val="TableParagraph"/>
              <w:spacing w:before="15"/>
              <w:ind w:left="355"/>
              <w:rPr>
                <w:sz w:val="22"/>
              </w:rPr>
            </w:pPr>
            <w:r>
              <w:rPr>
                <w:sz w:val="22"/>
              </w:rPr>
              <w:t>Grade </w:t>
            </w:r>
            <w:r>
              <w:rPr>
                <w:spacing w:val="-10"/>
                <w:sz w:val="22"/>
              </w:rPr>
              <w:t>3</w:t>
            </w:r>
          </w:p>
        </w:tc>
        <w:tc>
          <w:tcPr>
            <w:tcW w:w="2663" w:type="dxa"/>
          </w:tcPr>
          <w:p>
            <w:pPr>
              <w:pStyle w:val="TableParagraph"/>
              <w:spacing w:before="15"/>
              <w:ind w:left="105" w:right="1"/>
              <w:jc w:val="center"/>
              <w:rPr>
                <w:sz w:val="22"/>
              </w:rPr>
            </w:pPr>
            <w:r>
              <w:rPr>
                <w:spacing w:val="-5"/>
                <w:sz w:val="22"/>
              </w:rPr>
              <w:t>106</w:t>
            </w:r>
          </w:p>
        </w:tc>
        <w:tc>
          <w:tcPr>
            <w:tcW w:w="1867" w:type="dxa"/>
          </w:tcPr>
          <w:p>
            <w:pPr>
              <w:pStyle w:val="TableParagraph"/>
              <w:spacing w:before="15"/>
              <w:ind w:right="107"/>
              <w:jc w:val="right"/>
              <w:rPr>
                <w:sz w:val="22"/>
              </w:rPr>
            </w:pPr>
            <w:r>
              <w:rPr>
                <w:spacing w:val="-4"/>
                <w:sz w:val="22"/>
              </w:rPr>
              <w:t>21.2</w:t>
            </w:r>
          </w:p>
        </w:tc>
      </w:tr>
      <w:tr>
        <w:trPr>
          <w:trHeight w:val="294" w:hRule="atLeast"/>
        </w:trPr>
        <w:tc>
          <w:tcPr>
            <w:tcW w:w="1295" w:type="dxa"/>
          </w:tcPr>
          <w:p>
            <w:pPr>
              <w:pStyle w:val="TableParagraph"/>
              <w:rPr>
                <w:sz w:val="20"/>
              </w:rPr>
            </w:pPr>
          </w:p>
        </w:tc>
        <w:tc>
          <w:tcPr>
            <w:tcW w:w="2651" w:type="dxa"/>
          </w:tcPr>
          <w:p>
            <w:pPr>
              <w:pStyle w:val="TableParagraph"/>
              <w:spacing w:before="14"/>
              <w:ind w:left="355"/>
              <w:rPr>
                <w:sz w:val="22"/>
              </w:rPr>
            </w:pPr>
            <w:r>
              <w:rPr>
                <w:sz w:val="22"/>
              </w:rPr>
              <w:t>Grade </w:t>
            </w:r>
            <w:r>
              <w:rPr>
                <w:spacing w:val="-10"/>
                <w:sz w:val="22"/>
              </w:rPr>
              <w:t>4</w:t>
            </w:r>
          </w:p>
        </w:tc>
        <w:tc>
          <w:tcPr>
            <w:tcW w:w="2663" w:type="dxa"/>
          </w:tcPr>
          <w:p>
            <w:pPr>
              <w:pStyle w:val="TableParagraph"/>
              <w:spacing w:before="14"/>
              <w:ind w:left="105" w:right="1"/>
              <w:jc w:val="center"/>
              <w:rPr>
                <w:sz w:val="22"/>
              </w:rPr>
            </w:pPr>
            <w:r>
              <w:rPr>
                <w:spacing w:val="-5"/>
                <w:sz w:val="22"/>
              </w:rPr>
              <w:t>147</w:t>
            </w:r>
          </w:p>
        </w:tc>
        <w:tc>
          <w:tcPr>
            <w:tcW w:w="1867" w:type="dxa"/>
          </w:tcPr>
          <w:p>
            <w:pPr>
              <w:pStyle w:val="TableParagraph"/>
              <w:spacing w:before="14"/>
              <w:ind w:right="107"/>
              <w:jc w:val="right"/>
              <w:rPr>
                <w:sz w:val="22"/>
              </w:rPr>
            </w:pPr>
            <w:r>
              <w:rPr>
                <w:spacing w:val="-4"/>
                <w:sz w:val="22"/>
              </w:rPr>
              <w:t>29.5</w:t>
            </w:r>
          </w:p>
        </w:tc>
      </w:tr>
      <w:tr>
        <w:trPr>
          <w:trHeight w:val="309" w:hRule="atLeast"/>
        </w:trPr>
        <w:tc>
          <w:tcPr>
            <w:tcW w:w="1295" w:type="dxa"/>
            <w:tcBorders>
              <w:bottom w:val="single" w:sz="4" w:space="0" w:color="7E7E7E"/>
            </w:tcBorders>
          </w:tcPr>
          <w:p>
            <w:pPr>
              <w:pStyle w:val="TableParagraph"/>
              <w:rPr>
                <w:sz w:val="20"/>
              </w:rPr>
            </w:pPr>
          </w:p>
        </w:tc>
        <w:tc>
          <w:tcPr>
            <w:tcW w:w="2651" w:type="dxa"/>
            <w:tcBorders>
              <w:bottom w:val="single" w:sz="4" w:space="0" w:color="7E7E7E"/>
            </w:tcBorders>
          </w:tcPr>
          <w:p>
            <w:pPr>
              <w:pStyle w:val="TableParagraph"/>
              <w:spacing w:before="18"/>
              <w:ind w:left="355"/>
              <w:rPr>
                <w:b/>
                <w:sz w:val="22"/>
              </w:rPr>
            </w:pPr>
            <w:r>
              <w:rPr>
                <w:b/>
                <w:spacing w:val="-2"/>
                <w:sz w:val="22"/>
              </w:rPr>
              <w:t>Total</w:t>
            </w:r>
          </w:p>
        </w:tc>
        <w:tc>
          <w:tcPr>
            <w:tcW w:w="2663" w:type="dxa"/>
            <w:tcBorders>
              <w:bottom w:val="single" w:sz="4" w:space="0" w:color="7E7E7E"/>
            </w:tcBorders>
          </w:tcPr>
          <w:p>
            <w:pPr>
              <w:pStyle w:val="TableParagraph"/>
              <w:spacing w:before="18"/>
              <w:ind w:left="105" w:right="1"/>
              <w:jc w:val="center"/>
              <w:rPr>
                <w:b/>
                <w:sz w:val="22"/>
              </w:rPr>
            </w:pPr>
            <w:r>
              <w:rPr>
                <w:b/>
                <w:spacing w:val="-5"/>
                <w:sz w:val="22"/>
              </w:rPr>
              <w:t>499</w:t>
            </w:r>
          </w:p>
        </w:tc>
        <w:tc>
          <w:tcPr>
            <w:tcW w:w="1867" w:type="dxa"/>
            <w:tcBorders>
              <w:bottom w:val="single" w:sz="4" w:space="0" w:color="7E7E7E"/>
            </w:tcBorders>
          </w:tcPr>
          <w:p>
            <w:pPr>
              <w:pStyle w:val="TableParagraph"/>
              <w:spacing w:before="18"/>
              <w:ind w:right="107"/>
              <w:jc w:val="right"/>
              <w:rPr>
                <w:b/>
                <w:sz w:val="22"/>
              </w:rPr>
            </w:pPr>
            <w:r>
              <w:rPr>
                <w:b/>
                <w:spacing w:val="-2"/>
                <w:sz w:val="22"/>
              </w:rPr>
              <w:t>100.0</w:t>
            </w:r>
          </w:p>
        </w:tc>
      </w:tr>
    </w:tbl>
    <w:p>
      <w:pPr>
        <w:pStyle w:val="BodyText"/>
        <w:spacing w:before="252"/>
        <w:ind w:right="356" w:firstLine="720"/>
      </w:pPr>
      <w:r>
        <w:rPr/>
        <w:t>Table</w:t>
      </w:r>
      <w:r>
        <w:rPr>
          <w:spacing w:val="-7"/>
        </w:rPr>
        <w:t> </w:t>
      </w:r>
      <w:r>
        <w:rPr/>
        <w:t>1</w:t>
      </w:r>
      <w:r>
        <w:rPr>
          <w:spacing w:val="-10"/>
        </w:rPr>
        <w:t> </w:t>
      </w:r>
      <w:r>
        <w:rPr/>
        <w:t>shows</w:t>
      </w:r>
      <w:r>
        <w:rPr>
          <w:spacing w:val="-8"/>
        </w:rPr>
        <w:t> </w:t>
      </w:r>
      <w:r>
        <w:rPr/>
        <w:t>that</w:t>
      </w:r>
      <w:r>
        <w:rPr>
          <w:spacing w:val="-7"/>
        </w:rPr>
        <w:t> </w:t>
      </w:r>
      <w:r>
        <w:rPr/>
        <w:t>the</w:t>
      </w:r>
      <w:r>
        <w:rPr>
          <w:spacing w:val="-9"/>
        </w:rPr>
        <w:t> </w:t>
      </w:r>
      <w:r>
        <w:rPr/>
        <w:t>highest</w:t>
      </w:r>
      <w:r>
        <w:rPr>
          <w:spacing w:val="-9"/>
        </w:rPr>
        <w:t> </w:t>
      </w:r>
      <w:r>
        <w:rPr/>
        <w:t>proportion</w:t>
      </w:r>
      <w:r>
        <w:rPr>
          <w:spacing w:val="-10"/>
        </w:rPr>
        <w:t> </w:t>
      </w:r>
      <w:r>
        <w:rPr/>
        <w:t>of</w:t>
      </w:r>
      <w:r>
        <w:rPr>
          <w:spacing w:val="-9"/>
        </w:rPr>
        <w:t> </w:t>
      </w:r>
      <w:r>
        <w:rPr/>
        <w:t>respondents</w:t>
      </w:r>
      <w:r>
        <w:rPr>
          <w:spacing w:val="-9"/>
        </w:rPr>
        <w:t> </w:t>
      </w:r>
      <w:r>
        <w:rPr/>
        <w:t>was</w:t>
      </w:r>
      <w:r>
        <w:rPr>
          <w:spacing w:val="-2"/>
        </w:rPr>
        <w:t> </w:t>
      </w:r>
      <w:r>
        <w:rPr/>
        <w:t>5</w:t>
      </w:r>
      <w:r>
        <w:rPr>
          <w:spacing w:val="-10"/>
        </w:rPr>
        <w:t> </w:t>
      </w:r>
      <w:r>
        <w:rPr/>
        <w:t>to</w:t>
      </w:r>
      <w:r>
        <w:rPr>
          <w:spacing w:val="-8"/>
        </w:rPr>
        <w:t> </w:t>
      </w:r>
      <w:r>
        <w:rPr/>
        <w:t>7</w:t>
      </w:r>
      <w:r>
        <w:rPr>
          <w:spacing w:val="-10"/>
        </w:rPr>
        <w:t> </w:t>
      </w:r>
      <w:r>
        <w:rPr/>
        <w:t>years</w:t>
      </w:r>
      <w:r>
        <w:rPr>
          <w:spacing w:val="-7"/>
        </w:rPr>
        <w:t> </w:t>
      </w:r>
      <w:r>
        <w:rPr/>
        <w:t>old,</w:t>
      </w:r>
      <w:r>
        <w:rPr>
          <w:spacing w:val="-9"/>
        </w:rPr>
        <w:t> </w:t>
      </w:r>
      <w:r>
        <w:rPr/>
        <w:t>equivalent</w:t>
      </w:r>
      <w:r>
        <w:rPr>
          <w:spacing w:val="-8"/>
        </w:rPr>
        <w:t> </w:t>
      </w:r>
      <w:r>
        <w:rPr/>
        <w:t>to</w:t>
      </w:r>
      <w:r>
        <w:rPr>
          <w:spacing w:val="-10"/>
        </w:rPr>
        <w:t> </w:t>
      </w:r>
      <w:r>
        <w:rPr/>
        <w:t>70.1%, indicating that the survey largely reflects the perspectives of younger elementary students. In terms of gender, female students accounted for 52.1%, slightly outnumbering males, suggesting a more active participation of girls in the study. For the grade level, the majority of respondents were from Grade 2, equivalent</w:t>
      </w:r>
      <w:r>
        <w:rPr>
          <w:spacing w:val="-8"/>
        </w:rPr>
        <w:t> </w:t>
      </w:r>
      <w:r>
        <w:rPr/>
        <w:t>to</w:t>
      </w:r>
      <w:r>
        <w:rPr>
          <w:spacing w:val="-9"/>
        </w:rPr>
        <w:t> </w:t>
      </w:r>
      <w:r>
        <w:rPr/>
        <w:t>34.7%,</w:t>
      </w:r>
      <w:r>
        <w:rPr>
          <w:spacing w:val="-8"/>
        </w:rPr>
        <w:t> </w:t>
      </w:r>
      <w:r>
        <w:rPr/>
        <w:t>which</w:t>
      </w:r>
      <w:r>
        <w:rPr>
          <w:spacing w:val="-6"/>
        </w:rPr>
        <w:t> </w:t>
      </w:r>
      <w:r>
        <w:rPr/>
        <w:t>highlights</w:t>
      </w:r>
      <w:r>
        <w:rPr>
          <w:spacing w:val="-9"/>
        </w:rPr>
        <w:t> </w:t>
      </w:r>
      <w:r>
        <w:rPr/>
        <w:t>that</w:t>
      </w:r>
      <w:r>
        <w:rPr>
          <w:spacing w:val="-7"/>
        </w:rPr>
        <w:t> </w:t>
      </w:r>
      <w:r>
        <w:rPr/>
        <w:t>the</w:t>
      </w:r>
      <w:r>
        <w:rPr>
          <w:spacing w:val="-8"/>
        </w:rPr>
        <w:t> </w:t>
      </w:r>
      <w:r>
        <w:rPr/>
        <w:t>findings</w:t>
      </w:r>
      <w:r>
        <w:rPr>
          <w:spacing w:val="-6"/>
        </w:rPr>
        <w:t> </w:t>
      </w:r>
      <w:r>
        <w:rPr/>
        <w:t>may</w:t>
      </w:r>
      <w:r>
        <w:rPr>
          <w:spacing w:val="-12"/>
        </w:rPr>
        <w:t> </w:t>
      </w:r>
      <w:r>
        <w:rPr/>
        <w:t>be</w:t>
      </w:r>
      <w:r>
        <w:rPr>
          <w:spacing w:val="-4"/>
        </w:rPr>
        <w:t> </w:t>
      </w:r>
      <w:r>
        <w:rPr/>
        <w:t>more</w:t>
      </w:r>
      <w:r>
        <w:rPr>
          <w:spacing w:val="-6"/>
        </w:rPr>
        <w:t> </w:t>
      </w:r>
      <w:r>
        <w:rPr/>
        <w:t>representative</w:t>
      </w:r>
      <w:r>
        <w:rPr>
          <w:spacing w:val="-8"/>
        </w:rPr>
        <w:t> </w:t>
      </w:r>
      <w:r>
        <w:rPr/>
        <w:t>of</w:t>
      </w:r>
      <w:r>
        <w:rPr>
          <w:spacing w:val="-8"/>
        </w:rPr>
        <w:t> </w:t>
      </w:r>
      <w:r>
        <w:rPr/>
        <w:t>students</w:t>
      </w:r>
      <w:r>
        <w:rPr>
          <w:spacing w:val="-8"/>
        </w:rPr>
        <w:t> </w:t>
      </w:r>
      <w:r>
        <w:rPr/>
        <w:t>at</w:t>
      </w:r>
      <w:r>
        <w:rPr>
          <w:spacing w:val="-7"/>
        </w:rPr>
        <w:t> </w:t>
      </w:r>
      <w:r>
        <w:rPr/>
        <w:t>this</w:t>
      </w:r>
      <w:r>
        <w:rPr>
          <w:spacing w:val="-8"/>
        </w:rPr>
        <w:t> </w:t>
      </w:r>
      <w:r>
        <w:rPr/>
        <w:t>stage of elementary education.</w:t>
      </w:r>
    </w:p>
    <w:p>
      <w:pPr>
        <w:pStyle w:val="BodyText"/>
        <w:ind w:right="355" w:firstLine="720"/>
      </w:pPr>
      <w:r>
        <w:rPr/>
        <w:t>This distribution implies that educational planning must focus on age-appropriate teaching methods, gender-responsive strategies, and curriculum alignment for lower grade levels. Recent studies reinforce these insights: Pianta et al (2024) found that early classroom quality has long-term effects on students'</w:t>
      </w:r>
      <w:r>
        <w:rPr>
          <w:spacing w:val="-3"/>
        </w:rPr>
        <w:t> </w:t>
      </w:r>
      <w:r>
        <w:rPr/>
        <w:t>reading</w:t>
      </w:r>
      <w:r>
        <w:rPr>
          <w:spacing w:val="-6"/>
        </w:rPr>
        <w:t> </w:t>
      </w:r>
      <w:r>
        <w:rPr/>
        <w:t>achievement,</w:t>
      </w:r>
      <w:r>
        <w:rPr>
          <w:spacing w:val="-3"/>
        </w:rPr>
        <w:t> </w:t>
      </w:r>
      <w:r>
        <w:rPr/>
        <w:t>underscoring</w:t>
      </w:r>
      <w:r>
        <w:rPr>
          <w:spacing w:val="-4"/>
        </w:rPr>
        <w:t> </w:t>
      </w:r>
      <w:r>
        <w:rPr/>
        <w:t>the</w:t>
      </w:r>
      <w:r>
        <w:rPr>
          <w:spacing w:val="-3"/>
        </w:rPr>
        <w:t> </w:t>
      </w:r>
      <w:r>
        <w:rPr/>
        <w:t>importance</w:t>
      </w:r>
      <w:r>
        <w:rPr>
          <w:spacing w:val="-3"/>
        </w:rPr>
        <w:t> </w:t>
      </w:r>
      <w:r>
        <w:rPr/>
        <w:t>of</w:t>
      </w:r>
      <w:r>
        <w:rPr>
          <w:spacing w:val="-5"/>
        </w:rPr>
        <w:t> </w:t>
      </w:r>
      <w:r>
        <w:rPr/>
        <w:t>providing</w:t>
      </w:r>
      <w:r>
        <w:rPr>
          <w:spacing w:val="-4"/>
        </w:rPr>
        <w:t> </w:t>
      </w:r>
      <w:r>
        <w:rPr/>
        <w:t>intense</w:t>
      </w:r>
      <w:r>
        <w:rPr>
          <w:spacing w:val="-5"/>
        </w:rPr>
        <w:t> </w:t>
      </w:r>
      <w:r>
        <w:rPr/>
        <w:t>foundational</w:t>
      </w:r>
      <w:r>
        <w:rPr>
          <w:spacing w:val="-3"/>
        </w:rPr>
        <w:t> </w:t>
      </w:r>
      <w:r>
        <w:rPr/>
        <w:t>experiences in</w:t>
      </w:r>
      <w:r>
        <w:rPr>
          <w:spacing w:val="-3"/>
        </w:rPr>
        <w:t> </w:t>
      </w:r>
      <w:r>
        <w:rPr/>
        <w:t>the</w:t>
      </w:r>
      <w:r>
        <w:rPr>
          <w:spacing w:val="-4"/>
        </w:rPr>
        <w:t> </w:t>
      </w:r>
      <w:r>
        <w:rPr/>
        <w:t>early</w:t>
      </w:r>
      <w:r>
        <w:rPr>
          <w:spacing w:val="-8"/>
        </w:rPr>
        <w:t> </w:t>
      </w:r>
      <w:r>
        <w:rPr/>
        <w:t>grades.</w:t>
      </w:r>
      <w:r>
        <w:rPr>
          <w:spacing w:val="-2"/>
        </w:rPr>
        <w:t> </w:t>
      </w:r>
      <w:r>
        <w:rPr/>
        <w:t>Similarly, El-Hamamsy</w:t>
      </w:r>
      <w:r>
        <w:rPr>
          <w:spacing w:val="-5"/>
        </w:rPr>
        <w:t> </w:t>
      </w:r>
      <w:r>
        <w:rPr/>
        <w:t>et</w:t>
      </w:r>
      <w:r>
        <w:rPr>
          <w:spacing w:val="-2"/>
        </w:rPr>
        <w:t> </w:t>
      </w:r>
      <w:r>
        <w:rPr/>
        <w:t>al.</w:t>
      </w:r>
      <w:r>
        <w:rPr>
          <w:spacing w:val="-4"/>
        </w:rPr>
        <w:t> </w:t>
      </w:r>
      <w:r>
        <w:rPr/>
        <w:t>(2023) highlighted</w:t>
      </w:r>
      <w:r>
        <w:rPr>
          <w:spacing w:val="-3"/>
        </w:rPr>
        <w:t> </w:t>
      </w:r>
      <w:r>
        <w:rPr/>
        <w:t>how</w:t>
      </w:r>
      <w:r>
        <w:rPr>
          <w:spacing w:val="-2"/>
        </w:rPr>
        <w:t> </w:t>
      </w:r>
      <w:r>
        <w:rPr/>
        <w:t>inclusive</w:t>
      </w:r>
      <w:r>
        <w:rPr>
          <w:spacing w:val="-2"/>
        </w:rPr>
        <w:t> </w:t>
      </w:r>
      <w:r>
        <w:rPr/>
        <w:t>and</w:t>
      </w:r>
      <w:r>
        <w:rPr>
          <w:spacing w:val="-4"/>
        </w:rPr>
        <w:t> </w:t>
      </w:r>
      <w:r>
        <w:rPr/>
        <w:t>equitable</w:t>
      </w:r>
      <w:r>
        <w:rPr>
          <w:spacing w:val="-2"/>
        </w:rPr>
        <w:t> </w:t>
      </w:r>
      <w:r>
        <w:rPr/>
        <w:t>curricula benefit younger learners, helping bridge performance and gender gaps.</w:t>
      </w:r>
    </w:p>
    <w:p>
      <w:pPr>
        <w:pStyle w:val="BodyText"/>
        <w:spacing w:before="1"/>
        <w:ind w:right="356" w:firstLine="720"/>
      </w:pPr>
      <w:r>
        <w:rPr/>
        <w:t>The gender distribution also aligns with the findings of Cardenal et al. (2024), who observed that girls</w:t>
      </w:r>
      <w:r>
        <w:rPr>
          <w:spacing w:val="-1"/>
        </w:rPr>
        <w:t> </w:t>
      </w:r>
      <w:r>
        <w:rPr/>
        <w:t>tend</w:t>
      </w:r>
      <w:r>
        <w:rPr>
          <w:spacing w:val="-1"/>
        </w:rPr>
        <w:t> </w:t>
      </w:r>
      <w:r>
        <w:rPr/>
        <w:t>to perceive stronger</w:t>
      </w:r>
      <w:r>
        <w:rPr>
          <w:spacing w:val="-1"/>
        </w:rPr>
        <w:t> </w:t>
      </w:r>
      <w:r>
        <w:rPr/>
        <w:t>teacher-student</w:t>
      </w:r>
      <w:r>
        <w:rPr>
          <w:spacing w:val="-1"/>
        </w:rPr>
        <w:t> </w:t>
      </w:r>
      <w:r>
        <w:rPr/>
        <w:t>relationships, which,</w:t>
      </w:r>
      <w:r>
        <w:rPr>
          <w:spacing w:val="-1"/>
        </w:rPr>
        <w:t> </w:t>
      </w:r>
      <w:r>
        <w:rPr/>
        <w:t>in turn,</w:t>
      </w:r>
      <w:r>
        <w:rPr>
          <w:spacing w:val="-1"/>
        </w:rPr>
        <w:t> </w:t>
      </w:r>
      <w:r>
        <w:rPr/>
        <w:t>enhance</w:t>
      </w:r>
      <w:r>
        <w:rPr>
          <w:spacing w:val="-1"/>
        </w:rPr>
        <w:t> </w:t>
      </w:r>
      <w:r>
        <w:rPr/>
        <w:t>their engagement and satisfaction with learning.</w:t>
      </w:r>
    </w:p>
    <w:p>
      <w:pPr>
        <w:pStyle w:val="BodyText"/>
        <w:ind w:right="356" w:firstLine="720"/>
      </w:pPr>
      <w:r>
        <w:rPr/>
        <w:t>Furthermore, the literature on school climate emphasizes that supportive and well-resourced environments directly contribute to student well being and academic outcomes. Research on social-emotional learning (SEL) stresses the need to integrate empathy, safety, and relational skills early in education.</w:t>
      </w:r>
      <w:r>
        <w:rPr>
          <w:spacing w:val="-14"/>
        </w:rPr>
        <w:t> </w:t>
      </w:r>
      <w:r>
        <w:rPr/>
        <w:t>Together,</w:t>
      </w:r>
      <w:r>
        <w:rPr>
          <w:spacing w:val="-14"/>
        </w:rPr>
        <w:t> </w:t>
      </w:r>
      <w:r>
        <w:rPr/>
        <w:t>these</w:t>
      </w:r>
      <w:r>
        <w:rPr>
          <w:spacing w:val="-14"/>
        </w:rPr>
        <w:t> </w:t>
      </w:r>
      <w:r>
        <w:rPr/>
        <w:t>findings</w:t>
      </w:r>
      <w:r>
        <w:rPr>
          <w:spacing w:val="-13"/>
        </w:rPr>
        <w:t> </w:t>
      </w:r>
      <w:r>
        <w:rPr/>
        <w:t>suggest</w:t>
      </w:r>
      <w:r>
        <w:rPr>
          <w:spacing w:val="-14"/>
        </w:rPr>
        <w:t> </w:t>
      </w:r>
      <w:r>
        <w:rPr/>
        <w:t>that</w:t>
      </w:r>
      <w:r>
        <w:rPr>
          <w:spacing w:val="-14"/>
        </w:rPr>
        <w:t> </w:t>
      </w:r>
      <w:r>
        <w:rPr/>
        <w:t>addressing</w:t>
      </w:r>
      <w:r>
        <w:rPr>
          <w:spacing w:val="-14"/>
        </w:rPr>
        <w:t> </w:t>
      </w:r>
      <w:r>
        <w:rPr/>
        <w:t>the</w:t>
      </w:r>
      <w:r>
        <w:rPr>
          <w:spacing w:val="-13"/>
        </w:rPr>
        <w:t> </w:t>
      </w:r>
      <w:r>
        <w:rPr/>
        <w:t>unique</w:t>
      </w:r>
      <w:r>
        <w:rPr>
          <w:spacing w:val="-14"/>
        </w:rPr>
        <w:t> </w:t>
      </w:r>
      <w:r>
        <w:rPr/>
        <w:t>needs</w:t>
      </w:r>
      <w:r>
        <w:rPr>
          <w:spacing w:val="-14"/>
        </w:rPr>
        <w:t> </w:t>
      </w:r>
      <w:r>
        <w:rPr/>
        <w:t>of</w:t>
      </w:r>
      <w:r>
        <w:rPr>
          <w:spacing w:val="-14"/>
        </w:rPr>
        <w:t> </w:t>
      </w:r>
      <w:r>
        <w:rPr/>
        <w:t>younger</w:t>
      </w:r>
      <w:r>
        <w:rPr>
          <w:spacing w:val="-13"/>
        </w:rPr>
        <w:t> </w:t>
      </w:r>
      <w:r>
        <w:rPr/>
        <w:t>learners,</w:t>
      </w:r>
      <w:r>
        <w:rPr>
          <w:spacing w:val="-14"/>
        </w:rPr>
        <w:t> </w:t>
      </w:r>
      <w:r>
        <w:rPr/>
        <w:t>promoting gender equity, and fostering a nurturing school climate are essential strategies for enhancing student satisfaction and achievement in this context.</w:t>
      </w:r>
    </w:p>
    <w:p>
      <w:pPr>
        <w:pStyle w:val="BodyText"/>
        <w:spacing w:after="0"/>
        <w:sectPr>
          <w:pgSz w:w="12240" w:h="15840"/>
          <w:pgMar w:header="98" w:footer="938" w:top="1340" w:bottom="1160" w:left="720" w:right="1080"/>
        </w:sectPr>
      </w:pPr>
    </w:p>
    <w:p>
      <w:pPr>
        <w:pStyle w:val="Heading2"/>
        <w:spacing w:before="110"/>
      </w:pPr>
      <w:r>
        <w:rPr/>
        <w:t>Table </w:t>
      </w:r>
      <w:r>
        <w:rPr>
          <w:spacing w:val="-10"/>
        </w:rPr>
        <w:t>2</w:t>
      </w:r>
    </w:p>
    <w:p>
      <w:pPr>
        <w:spacing w:before="22" w:after="20"/>
        <w:ind w:left="509" w:right="149" w:firstLine="0"/>
        <w:jc w:val="center"/>
        <w:rPr>
          <w:b/>
          <w:sz w:val="22"/>
        </w:rPr>
      </w:pPr>
      <w:r>
        <w:rPr>
          <w:b/>
          <w:sz w:val="22"/>
        </w:rPr>
        <w:t>The</w:t>
      </w:r>
      <w:r>
        <w:rPr>
          <w:b/>
          <w:spacing w:val="-2"/>
          <w:sz w:val="22"/>
        </w:rPr>
        <w:t> </w:t>
      </w:r>
      <w:r>
        <w:rPr>
          <w:b/>
          <w:sz w:val="22"/>
        </w:rPr>
        <w:t>Level of</w:t>
      </w:r>
      <w:r>
        <w:rPr>
          <w:b/>
          <w:spacing w:val="-3"/>
          <w:sz w:val="22"/>
        </w:rPr>
        <w:t> </w:t>
      </w:r>
      <w:r>
        <w:rPr>
          <w:b/>
          <w:sz w:val="22"/>
        </w:rPr>
        <w:t>Satisfaction</w:t>
      </w:r>
      <w:r>
        <w:rPr>
          <w:b/>
          <w:spacing w:val="-2"/>
          <w:sz w:val="22"/>
        </w:rPr>
        <w:t> </w:t>
      </w:r>
      <w:r>
        <w:rPr>
          <w:b/>
          <w:sz w:val="22"/>
        </w:rPr>
        <w:t>as</w:t>
      </w:r>
      <w:r>
        <w:rPr>
          <w:b/>
          <w:spacing w:val="-1"/>
          <w:sz w:val="22"/>
        </w:rPr>
        <w:t> </w:t>
      </w:r>
      <w:r>
        <w:rPr>
          <w:b/>
          <w:sz w:val="22"/>
        </w:rPr>
        <w:t>Perceived</w:t>
      </w:r>
      <w:r>
        <w:rPr>
          <w:b/>
          <w:spacing w:val="-2"/>
          <w:sz w:val="22"/>
        </w:rPr>
        <w:t> </w:t>
      </w:r>
      <w:r>
        <w:rPr>
          <w:b/>
          <w:sz w:val="22"/>
        </w:rPr>
        <w:t>by</w:t>
      </w:r>
      <w:r>
        <w:rPr>
          <w:b/>
          <w:spacing w:val="-2"/>
          <w:sz w:val="22"/>
        </w:rPr>
        <w:t> </w:t>
      </w:r>
      <w:r>
        <w:rPr>
          <w:b/>
          <w:sz w:val="22"/>
        </w:rPr>
        <w:t>the</w:t>
      </w:r>
      <w:r>
        <w:rPr>
          <w:b/>
          <w:spacing w:val="-2"/>
          <w:sz w:val="22"/>
        </w:rPr>
        <w:t> </w:t>
      </w:r>
      <w:r>
        <w:rPr>
          <w:b/>
          <w:sz w:val="22"/>
        </w:rPr>
        <w:t>Students</w:t>
      </w:r>
      <w:r>
        <w:rPr>
          <w:b/>
          <w:spacing w:val="1"/>
          <w:sz w:val="22"/>
        </w:rPr>
        <w:t> </w:t>
      </w:r>
      <w:r>
        <w:rPr>
          <w:b/>
          <w:sz w:val="22"/>
        </w:rPr>
        <w:t>in</w:t>
      </w:r>
      <w:r>
        <w:rPr>
          <w:b/>
          <w:spacing w:val="-4"/>
          <w:sz w:val="22"/>
        </w:rPr>
        <w:t> </w:t>
      </w:r>
      <w:r>
        <w:rPr>
          <w:b/>
          <w:sz w:val="22"/>
        </w:rPr>
        <w:t>the</w:t>
      </w:r>
      <w:r>
        <w:rPr>
          <w:b/>
          <w:spacing w:val="-2"/>
          <w:sz w:val="22"/>
        </w:rPr>
        <w:t> </w:t>
      </w:r>
      <w:r>
        <w:rPr>
          <w:b/>
          <w:sz w:val="22"/>
        </w:rPr>
        <w:t>Elementary Department- </w:t>
      </w:r>
      <w:r>
        <w:rPr>
          <w:b/>
          <w:spacing w:val="-4"/>
          <w:sz w:val="22"/>
        </w:rPr>
        <w:t>UCLM</w:t>
      </w: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6"/>
        <w:gridCol w:w="827"/>
        <w:gridCol w:w="1643"/>
        <w:gridCol w:w="916"/>
      </w:tblGrid>
      <w:tr>
        <w:trPr>
          <w:trHeight w:val="253" w:hRule="atLeast"/>
        </w:trPr>
        <w:tc>
          <w:tcPr>
            <w:tcW w:w="6036" w:type="dxa"/>
            <w:tcBorders>
              <w:top w:val="single" w:sz="4" w:space="0" w:color="7E7E7E"/>
              <w:bottom w:val="single" w:sz="4" w:space="0" w:color="7E7E7E"/>
            </w:tcBorders>
          </w:tcPr>
          <w:p>
            <w:pPr>
              <w:pStyle w:val="TableParagraph"/>
              <w:spacing w:line="234" w:lineRule="exact"/>
              <w:ind w:left="138"/>
              <w:rPr>
                <w:b/>
                <w:sz w:val="22"/>
              </w:rPr>
            </w:pPr>
            <w:r>
              <w:rPr>
                <w:b/>
                <w:spacing w:val="-2"/>
                <w:sz w:val="22"/>
              </w:rPr>
              <w:t>Indicators</w:t>
            </w:r>
          </w:p>
        </w:tc>
        <w:tc>
          <w:tcPr>
            <w:tcW w:w="827" w:type="dxa"/>
            <w:tcBorders>
              <w:top w:val="single" w:sz="4" w:space="0" w:color="7E7E7E"/>
              <w:bottom w:val="single" w:sz="4" w:space="0" w:color="7E7E7E"/>
            </w:tcBorders>
          </w:tcPr>
          <w:p>
            <w:pPr>
              <w:pStyle w:val="TableParagraph"/>
              <w:spacing w:line="234" w:lineRule="exact"/>
              <w:ind w:right="105"/>
              <w:jc w:val="right"/>
              <w:rPr>
                <w:b/>
                <w:sz w:val="22"/>
              </w:rPr>
            </w:pPr>
            <w:r>
              <w:rPr>
                <w:b/>
                <w:spacing w:val="-4"/>
                <w:sz w:val="22"/>
              </w:rPr>
              <w:t>Mean</w:t>
            </w:r>
          </w:p>
        </w:tc>
        <w:tc>
          <w:tcPr>
            <w:tcW w:w="1643" w:type="dxa"/>
            <w:tcBorders>
              <w:top w:val="single" w:sz="4" w:space="0" w:color="7E7E7E"/>
              <w:bottom w:val="single" w:sz="4" w:space="0" w:color="7E7E7E"/>
            </w:tcBorders>
          </w:tcPr>
          <w:p>
            <w:pPr>
              <w:pStyle w:val="TableParagraph"/>
              <w:spacing w:line="234" w:lineRule="exact"/>
              <w:ind w:left="108"/>
              <w:rPr>
                <w:b/>
                <w:sz w:val="22"/>
              </w:rPr>
            </w:pPr>
            <w:r>
              <w:rPr>
                <w:b/>
                <w:spacing w:val="-2"/>
                <w:sz w:val="22"/>
              </w:rPr>
              <w:t>Interpretation</w:t>
            </w:r>
          </w:p>
        </w:tc>
        <w:tc>
          <w:tcPr>
            <w:tcW w:w="916" w:type="dxa"/>
            <w:tcBorders>
              <w:top w:val="single" w:sz="4" w:space="0" w:color="7E7E7E"/>
              <w:bottom w:val="single" w:sz="4" w:space="0" w:color="7E7E7E"/>
            </w:tcBorders>
          </w:tcPr>
          <w:p>
            <w:pPr>
              <w:pStyle w:val="TableParagraph"/>
              <w:spacing w:line="234" w:lineRule="exact"/>
              <w:ind w:right="209"/>
              <w:jc w:val="right"/>
              <w:rPr>
                <w:b/>
                <w:sz w:val="22"/>
              </w:rPr>
            </w:pPr>
            <w:r>
              <w:rPr>
                <w:b/>
                <w:spacing w:val="-4"/>
                <w:sz w:val="22"/>
              </w:rPr>
              <w:t>Rank</w:t>
            </w:r>
          </w:p>
        </w:tc>
      </w:tr>
      <w:tr>
        <w:trPr>
          <w:trHeight w:val="248" w:hRule="atLeast"/>
        </w:trPr>
        <w:tc>
          <w:tcPr>
            <w:tcW w:w="6036" w:type="dxa"/>
            <w:tcBorders>
              <w:top w:val="single" w:sz="4" w:space="0" w:color="7E7E7E"/>
            </w:tcBorders>
          </w:tcPr>
          <w:p>
            <w:pPr>
              <w:pStyle w:val="TableParagraph"/>
              <w:spacing w:line="228" w:lineRule="exact"/>
              <w:ind w:left="138"/>
              <w:rPr>
                <w:b/>
                <w:sz w:val="22"/>
              </w:rPr>
            </w:pPr>
            <w:r>
              <w:rPr>
                <w:b/>
                <w:sz w:val="22"/>
              </w:rPr>
              <w:t>A.</w:t>
            </w:r>
            <w:r>
              <w:rPr>
                <w:b/>
                <w:spacing w:val="-1"/>
                <w:sz w:val="22"/>
              </w:rPr>
              <w:t> </w:t>
            </w:r>
            <w:r>
              <w:rPr>
                <w:b/>
                <w:sz w:val="22"/>
              </w:rPr>
              <w:t>Teacher</w:t>
            </w:r>
            <w:r>
              <w:rPr>
                <w:b/>
                <w:spacing w:val="-2"/>
                <w:sz w:val="22"/>
              </w:rPr>
              <w:t> </w:t>
            </w:r>
            <w:r>
              <w:rPr>
                <w:b/>
                <w:sz w:val="22"/>
              </w:rPr>
              <w:t>Quality and</w:t>
            </w:r>
            <w:r>
              <w:rPr>
                <w:b/>
                <w:spacing w:val="-1"/>
                <w:sz w:val="22"/>
              </w:rPr>
              <w:t> </w:t>
            </w:r>
            <w:r>
              <w:rPr>
                <w:b/>
                <w:sz w:val="22"/>
              </w:rPr>
              <w:t>Instruction</w:t>
            </w:r>
            <w:r>
              <w:rPr>
                <w:b/>
                <w:spacing w:val="-1"/>
                <w:sz w:val="22"/>
              </w:rPr>
              <w:t> </w:t>
            </w:r>
            <w:r>
              <w:rPr>
                <w:b/>
                <w:spacing w:val="-2"/>
                <w:sz w:val="22"/>
              </w:rPr>
              <w:t>Delivery</w:t>
            </w:r>
          </w:p>
        </w:tc>
        <w:tc>
          <w:tcPr>
            <w:tcW w:w="827" w:type="dxa"/>
            <w:tcBorders>
              <w:top w:val="single" w:sz="4" w:space="0" w:color="7E7E7E"/>
            </w:tcBorders>
          </w:tcPr>
          <w:p>
            <w:pPr>
              <w:pStyle w:val="TableParagraph"/>
              <w:rPr>
                <w:sz w:val="18"/>
              </w:rPr>
            </w:pPr>
          </w:p>
        </w:tc>
        <w:tc>
          <w:tcPr>
            <w:tcW w:w="1643" w:type="dxa"/>
            <w:tcBorders>
              <w:top w:val="single" w:sz="4" w:space="0" w:color="7E7E7E"/>
            </w:tcBorders>
          </w:tcPr>
          <w:p>
            <w:pPr>
              <w:pStyle w:val="TableParagraph"/>
              <w:rPr>
                <w:sz w:val="18"/>
              </w:rPr>
            </w:pPr>
          </w:p>
        </w:tc>
        <w:tc>
          <w:tcPr>
            <w:tcW w:w="916" w:type="dxa"/>
            <w:tcBorders>
              <w:top w:val="single" w:sz="4" w:space="0" w:color="7E7E7E"/>
            </w:tcBorders>
          </w:tcPr>
          <w:p>
            <w:pPr>
              <w:pStyle w:val="TableParagraph"/>
              <w:rPr>
                <w:sz w:val="18"/>
              </w:rPr>
            </w:pPr>
          </w:p>
        </w:tc>
      </w:tr>
      <w:tr>
        <w:trPr>
          <w:trHeight w:val="264" w:hRule="atLeast"/>
        </w:trPr>
        <w:tc>
          <w:tcPr>
            <w:tcW w:w="6036" w:type="dxa"/>
          </w:tcPr>
          <w:p>
            <w:pPr>
              <w:pStyle w:val="TableParagraph"/>
              <w:numPr>
                <w:ilvl w:val="0"/>
                <w:numId w:val="1"/>
              </w:numPr>
              <w:tabs>
                <w:tab w:pos="858" w:val="left" w:leader="none"/>
              </w:tabs>
              <w:spacing w:line="245" w:lineRule="exact" w:before="0" w:after="0"/>
              <w:ind w:left="858" w:right="0" w:hanging="360"/>
              <w:jc w:val="left"/>
              <w:rPr>
                <w:sz w:val="22"/>
              </w:rPr>
            </w:pPr>
            <w:r>
              <w:rPr>
                <w:color w:val="1F2023"/>
                <w:sz w:val="22"/>
              </w:rPr>
              <w:t>My</w:t>
            </w:r>
            <w:r>
              <w:rPr>
                <w:color w:val="1F2023"/>
                <w:spacing w:val="-9"/>
                <w:sz w:val="22"/>
              </w:rPr>
              <w:t> </w:t>
            </w:r>
            <w:r>
              <w:rPr>
                <w:color w:val="1F2023"/>
                <w:sz w:val="22"/>
              </w:rPr>
              <w:t>teachers treat</w:t>
            </w:r>
            <w:r>
              <w:rPr>
                <w:color w:val="1F2023"/>
                <w:spacing w:val="-1"/>
                <w:sz w:val="22"/>
              </w:rPr>
              <w:t> </w:t>
            </w:r>
            <w:r>
              <w:rPr>
                <w:color w:val="1F2023"/>
                <w:sz w:val="22"/>
              </w:rPr>
              <w:t>students with</w:t>
            </w:r>
            <w:r>
              <w:rPr>
                <w:color w:val="1F2023"/>
                <w:spacing w:val="-1"/>
                <w:sz w:val="22"/>
              </w:rPr>
              <w:t> </w:t>
            </w:r>
            <w:r>
              <w:rPr>
                <w:color w:val="1F2023"/>
                <w:spacing w:val="-2"/>
                <w:sz w:val="22"/>
              </w:rPr>
              <w:t>respect.</w:t>
            </w:r>
          </w:p>
        </w:tc>
        <w:tc>
          <w:tcPr>
            <w:tcW w:w="827" w:type="dxa"/>
          </w:tcPr>
          <w:p>
            <w:pPr>
              <w:pStyle w:val="TableParagraph"/>
              <w:spacing w:line="245" w:lineRule="exact"/>
              <w:ind w:right="105"/>
              <w:jc w:val="right"/>
              <w:rPr>
                <w:sz w:val="22"/>
              </w:rPr>
            </w:pPr>
            <w:r>
              <w:rPr>
                <w:color w:val="000104"/>
                <w:spacing w:val="-4"/>
                <w:sz w:val="22"/>
              </w:rPr>
              <w:t>4.32</w:t>
            </w:r>
          </w:p>
        </w:tc>
        <w:tc>
          <w:tcPr>
            <w:tcW w:w="1643" w:type="dxa"/>
          </w:tcPr>
          <w:p>
            <w:pPr>
              <w:pStyle w:val="TableParagraph"/>
              <w:spacing w:line="245" w:lineRule="exact"/>
              <w:ind w:left="108"/>
              <w:rPr>
                <w:sz w:val="22"/>
              </w:rPr>
            </w:pPr>
            <w:r>
              <w:rPr>
                <w:sz w:val="22"/>
              </w:rPr>
              <w:t>Very</w:t>
            </w:r>
            <w:r>
              <w:rPr>
                <w:spacing w:val="-5"/>
                <w:sz w:val="22"/>
              </w:rPr>
              <w:t> </w:t>
            </w:r>
            <w:r>
              <w:rPr>
                <w:spacing w:val="-2"/>
                <w:sz w:val="22"/>
              </w:rPr>
              <w:t>Satisfied</w:t>
            </w:r>
          </w:p>
        </w:tc>
        <w:tc>
          <w:tcPr>
            <w:tcW w:w="916" w:type="dxa"/>
          </w:tcPr>
          <w:p>
            <w:pPr>
              <w:pStyle w:val="TableParagraph"/>
              <w:spacing w:line="245" w:lineRule="exact"/>
              <w:ind w:right="181"/>
              <w:jc w:val="right"/>
              <w:rPr>
                <w:sz w:val="22"/>
              </w:rPr>
            </w:pPr>
            <w:r>
              <w:rPr>
                <w:spacing w:val="-10"/>
                <w:sz w:val="22"/>
              </w:rPr>
              <w:t>1</w:t>
            </w:r>
          </w:p>
        </w:tc>
      </w:tr>
      <w:tr>
        <w:trPr>
          <w:trHeight w:val="269" w:hRule="atLeast"/>
        </w:trPr>
        <w:tc>
          <w:tcPr>
            <w:tcW w:w="6036" w:type="dxa"/>
          </w:tcPr>
          <w:p>
            <w:pPr>
              <w:pStyle w:val="TableParagraph"/>
              <w:numPr>
                <w:ilvl w:val="0"/>
                <w:numId w:val="2"/>
              </w:numPr>
              <w:tabs>
                <w:tab w:pos="858" w:val="left" w:leader="none"/>
              </w:tabs>
              <w:spacing w:line="249" w:lineRule="exact" w:before="0" w:after="0"/>
              <w:ind w:left="858" w:right="0" w:hanging="360"/>
              <w:jc w:val="left"/>
              <w:rPr>
                <w:sz w:val="22"/>
              </w:rPr>
            </w:pPr>
            <w:r>
              <w:rPr>
                <w:color w:val="1F2023"/>
                <w:sz w:val="22"/>
              </w:rPr>
              <w:t>My</w:t>
            </w:r>
            <w:r>
              <w:rPr>
                <w:color w:val="1F2023"/>
                <w:spacing w:val="-9"/>
                <w:sz w:val="22"/>
              </w:rPr>
              <w:t> </w:t>
            </w:r>
            <w:r>
              <w:rPr>
                <w:color w:val="1F2023"/>
                <w:sz w:val="22"/>
              </w:rPr>
              <w:t>teachers</w:t>
            </w:r>
            <w:r>
              <w:rPr>
                <w:color w:val="1F2023"/>
                <w:spacing w:val="1"/>
                <w:sz w:val="22"/>
              </w:rPr>
              <w:t> </w:t>
            </w:r>
            <w:r>
              <w:rPr>
                <w:color w:val="1F2023"/>
                <w:sz w:val="22"/>
              </w:rPr>
              <w:t>respond to</w:t>
            </w:r>
            <w:r>
              <w:rPr>
                <w:color w:val="1F2023"/>
                <w:spacing w:val="-1"/>
                <w:sz w:val="22"/>
              </w:rPr>
              <w:t> </w:t>
            </w:r>
            <w:r>
              <w:rPr>
                <w:color w:val="1F2023"/>
                <w:sz w:val="22"/>
              </w:rPr>
              <w:t>student</w:t>
            </w:r>
            <w:r>
              <w:rPr>
                <w:color w:val="1F2023"/>
                <w:spacing w:val="1"/>
                <w:sz w:val="22"/>
              </w:rPr>
              <w:t> </w:t>
            </w:r>
            <w:r>
              <w:rPr>
                <w:color w:val="1F2023"/>
                <w:sz w:val="22"/>
              </w:rPr>
              <w:t>concerns</w:t>
            </w:r>
            <w:r>
              <w:rPr>
                <w:color w:val="1F2023"/>
                <w:spacing w:val="-1"/>
                <w:sz w:val="22"/>
              </w:rPr>
              <w:t> </w:t>
            </w:r>
            <w:r>
              <w:rPr>
                <w:color w:val="1F2023"/>
                <w:sz w:val="22"/>
              </w:rPr>
              <w:t>and</w:t>
            </w:r>
            <w:r>
              <w:rPr>
                <w:color w:val="1F2023"/>
                <w:spacing w:val="-1"/>
                <w:sz w:val="22"/>
              </w:rPr>
              <w:t> </w:t>
            </w:r>
            <w:r>
              <w:rPr>
                <w:color w:val="1F2023"/>
                <w:spacing w:val="-2"/>
                <w:sz w:val="22"/>
              </w:rPr>
              <w:t>questions.</w:t>
            </w:r>
          </w:p>
        </w:tc>
        <w:tc>
          <w:tcPr>
            <w:tcW w:w="827" w:type="dxa"/>
          </w:tcPr>
          <w:p>
            <w:pPr>
              <w:pStyle w:val="TableParagraph"/>
              <w:spacing w:line="249" w:lineRule="exact"/>
              <w:ind w:right="105"/>
              <w:jc w:val="right"/>
              <w:rPr>
                <w:sz w:val="22"/>
              </w:rPr>
            </w:pPr>
            <w:r>
              <w:rPr>
                <w:color w:val="000104"/>
                <w:spacing w:val="-4"/>
                <w:sz w:val="22"/>
              </w:rPr>
              <w:t>4.32</w:t>
            </w:r>
          </w:p>
        </w:tc>
        <w:tc>
          <w:tcPr>
            <w:tcW w:w="1643" w:type="dxa"/>
          </w:tcPr>
          <w:p>
            <w:pPr>
              <w:pStyle w:val="TableParagraph"/>
              <w:spacing w:line="249" w:lineRule="exact"/>
              <w:ind w:left="108"/>
              <w:rPr>
                <w:sz w:val="22"/>
              </w:rPr>
            </w:pPr>
            <w:r>
              <w:rPr>
                <w:sz w:val="22"/>
              </w:rPr>
              <w:t>Very</w:t>
            </w:r>
            <w:r>
              <w:rPr>
                <w:spacing w:val="-5"/>
                <w:sz w:val="22"/>
              </w:rPr>
              <w:t> </w:t>
            </w:r>
            <w:r>
              <w:rPr>
                <w:spacing w:val="-2"/>
                <w:sz w:val="22"/>
              </w:rPr>
              <w:t>Satisfied</w:t>
            </w:r>
          </w:p>
        </w:tc>
        <w:tc>
          <w:tcPr>
            <w:tcW w:w="916" w:type="dxa"/>
          </w:tcPr>
          <w:p>
            <w:pPr>
              <w:pStyle w:val="TableParagraph"/>
              <w:spacing w:line="249" w:lineRule="exact"/>
              <w:ind w:right="181"/>
              <w:jc w:val="right"/>
              <w:rPr>
                <w:sz w:val="22"/>
              </w:rPr>
            </w:pPr>
            <w:r>
              <w:rPr>
                <w:spacing w:val="-10"/>
                <w:sz w:val="22"/>
              </w:rPr>
              <w:t>1</w:t>
            </w:r>
          </w:p>
        </w:tc>
      </w:tr>
      <w:tr>
        <w:trPr>
          <w:trHeight w:val="268" w:hRule="atLeast"/>
        </w:trPr>
        <w:tc>
          <w:tcPr>
            <w:tcW w:w="6036" w:type="dxa"/>
          </w:tcPr>
          <w:p>
            <w:pPr>
              <w:pStyle w:val="TableParagraph"/>
              <w:numPr>
                <w:ilvl w:val="0"/>
                <w:numId w:val="3"/>
              </w:numPr>
              <w:tabs>
                <w:tab w:pos="858" w:val="left" w:leader="none"/>
              </w:tabs>
              <w:spacing w:line="249" w:lineRule="exact" w:before="0" w:after="0"/>
              <w:ind w:left="858" w:right="0" w:hanging="360"/>
              <w:jc w:val="left"/>
              <w:rPr>
                <w:sz w:val="22"/>
              </w:rPr>
            </w:pPr>
            <w:r>
              <w:rPr>
                <w:color w:val="1F2023"/>
                <w:sz w:val="22"/>
              </w:rPr>
              <w:t>My</w:t>
            </w:r>
            <w:r>
              <w:rPr>
                <w:color w:val="1F2023"/>
                <w:spacing w:val="-8"/>
                <w:sz w:val="22"/>
              </w:rPr>
              <w:t> </w:t>
            </w:r>
            <w:r>
              <w:rPr>
                <w:color w:val="1F2023"/>
                <w:sz w:val="22"/>
              </w:rPr>
              <w:t>teachers</w:t>
            </w:r>
            <w:r>
              <w:rPr>
                <w:color w:val="1F2023"/>
                <w:spacing w:val="1"/>
                <w:sz w:val="22"/>
              </w:rPr>
              <w:t> </w:t>
            </w:r>
            <w:r>
              <w:rPr>
                <w:color w:val="1F2023"/>
                <w:sz w:val="22"/>
              </w:rPr>
              <w:t>explain</w:t>
            </w:r>
            <w:r>
              <w:rPr>
                <w:color w:val="1F2023"/>
                <w:spacing w:val="-2"/>
                <w:sz w:val="22"/>
              </w:rPr>
              <w:t> </w:t>
            </w:r>
            <w:r>
              <w:rPr>
                <w:color w:val="1F2023"/>
                <w:sz w:val="22"/>
              </w:rPr>
              <w:t>lessons</w:t>
            </w:r>
            <w:r>
              <w:rPr>
                <w:color w:val="1F2023"/>
                <w:spacing w:val="1"/>
                <w:sz w:val="22"/>
              </w:rPr>
              <w:t> </w:t>
            </w:r>
            <w:r>
              <w:rPr>
                <w:color w:val="1F2023"/>
                <w:spacing w:val="-2"/>
                <w:sz w:val="22"/>
              </w:rPr>
              <w:t>clearly.</w:t>
            </w:r>
          </w:p>
        </w:tc>
        <w:tc>
          <w:tcPr>
            <w:tcW w:w="827" w:type="dxa"/>
          </w:tcPr>
          <w:p>
            <w:pPr>
              <w:pStyle w:val="TableParagraph"/>
              <w:spacing w:line="249" w:lineRule="exact"/>
              <w:ind w:right="105"/>
              <w:jc w:val="right"/>
              <w:rPr>
                <w:sz w:val="22"/>
              </w:rPr>
            </w:pPr>
            <w:r>
              <w:rPr>
                <w:color w:val="000104"/>
                <w:spacing w:val="-4"/>
                <w:sz w:val="22"/>
              </w:rPr>
              <w:t>4.17</w:t>
            </w:r>
          </w:p>
        </w:tc>
        <w:tc>
          <w:tcPr>
            <w:tcW w:w="1643" w:type="dxa"/>
          </w:tcPr>
          <w:p>
            <w:pPr>
              <w:pStyle w:val="TableParagraph"/>
              <w:spacing w:line="249" w:lineRule="exact"/>
              <w:ind w:left="108"/>
              <w:rPr>
                <w:sz w:val="22"/>
              </w:rPr>
            </w:pPr>
            <w:r>
              <w:rPr>
                <w:spacing w:val="-2"/>
                <w:sz w:val="22"/>
              </w:rPr>
              <w:t>Satisfied</w:t>
            </w:r>
          </w:p>
        </w:tc>
        <w:tc>
          <w:tcPr>
            <w:tcW w:w="916" w:type="dxa"/>
          </w:tcPr>
          <w:p>
            <w:pPr>
              <w:pStyle w:val="TableParagraph"/>
              <w:spacing w:line="249" w:lineRule="exact"/>
              <w:ind w:right="181"/>
              <w:jc w:val="right"/>
              <w:rPr>
                <w:sz w:val="22"/>
              </w:rPr>
            </w:pPr>
            <w:r>
              <w:rPr>
                <w:spacing w:val="-10"/>
                <w:sz w:val="22"/>
              </w:rPr>
              <w:t>2</w:t>
            </w:r>
          </w:p>
        </w:tc>
      </w:tr>
      <w:tr>
        <w:trPr>
          <w:trHeight w:val="521" w:hRule="atLeast"/>
        </w:trPr>
        <w:tc>
          <w:tcPr>
            <w:tcW w:w="6036" w:type="dxa"/>
          </w:tcPr>
          <w:p>
            <w:pPr>
              <w:pStyle w:val="TableParagraph"/>
              <w:numPr>
                <w:ilvl w:val="0"/>
                <w:numId w:val="4"/>
              </w:numPr>
              <w:tabs>
                <w:tab w:pos="858" w:val="left" w:leader="none"/>
              </w:tabs>
              <w:spacing w:line="254" w:lineRule="exact" w:before="0" w:after="0"/>
              <w:ind w:left="858" w:right="187" w:hanging="360"/>
              <w:jc w:val="left"/>
              <w:rPr>
                <w:sz w:val="22"/>
              </w:rPr>
            </w:pPr>
            <w:r>
              <w:rPr>
                <w:color w:val="1F2023"/>
                <w:sz w:val="22"/>
              </w:rPr>
              <w:t>My teachers</w:t>
            </w:r>
            <w:r>
              <w:rPr>
                <w:color w:val="1F2023"/>
                <w:spacing w:val="25"/>
                <w:sz w:val="22"/>
              </w:rPr>
              <w:t> </w:t>
            </w:r>
            <w:r>
              <w:rPr>
                <w:color w:val="1F2023"/>
                <w:sz w:val="22"/>
              </w:rPr>
              <w:t>make learning an engaging and enjoyable </w:t>
            </w:r>
            <w:r>
              <w:rPr>
                <w:color w:val="1F2023"/>
                <w:spacing w:val="-2"/>
                <w:sz w:val="22"/>
              </w:rPr>
              <w:t>experience.</w:t>
            </w:r>
          </w:p>
        </w:tc>
        <w:tc>
          <w:tcPr>
            <w:tcW w:w="827" w:type="dxa"/>
          </w:tcPr>
          <w:p>
            <w:pPr>
              <w:pStyle w:val="TableParagraph"/>
              <w:spacing w:line="252" w:lineRule="exact"/>
              <w:ind w:right="105"/>
              <w:jc w:val="right"/>
              <w:rPr>
                <w:sz w:val="22"/>
              </w:rPr>
            </w:pPr>
            <w:r>
              <w:rPr>
                <w:color w:val="000104"/>
                <w:spacing w:val="-4"/>
                <w:sz w:val="22"/>
              </w:rPr>
              <w:t>4.16</w:t>
            </w:r>
          </w:p>
        </w:tc>
        <w:tc>
          <w:tcPr>
            <w:tcW w:w="1643" w:type="dxa"/>
          </w:tcPr>
          <w:p>
            <w:pPr>
              <w:pStyle w:val="TableParagraph"/>
              <w:spacing w:line="252" w:lineRule="exact"/>
              <w:ind w:left="108"/>
              <w:rPr>
                <w:sz w:val="22"/>
              </w:rPr>
            </w:pPr>
            <w:r>
              <w:rPr>
                <w:spacing w:val="-2"/>
                <w:sz w:val="22"/>
              </w:rPr>
              <w:t>Satisfied</w:t>
            </w:r>
          </w:p>
        </w:tc>
        <w:tc>
          <w:tcPr>
            <w:tcW w:w="916" w:type="dxa"/>
          </w:tcPr>
          <w:p>
            <w:pPr>
              <w:pStyle w:val="TableParagraph"/>
              <w:spacing w:line="252" w:lineRule="exact"/>
              <w:ind w:right="181"/>
              <w:jc w:val="right"/>
              <w:rPr>
                <w:sz w:val="22"/>
              </w:rPr>
            </w:pPr>
            <w:r>
              <w:rPr>
                <w:spacing w:val="-10"/>
                <w:sz w:val="22"/>
              </w:rPr>
              <w:t>3</w:t>
            </w:r>
          </w:p>
        </w:tc>
      </w:tr>
      <w:tr>
        <w:trPr>
          <w:trHeight w:val="276" w:hRule="atLeast"/>
        </w:trPr>
        <w:tc>
          <w:tcPr>
            <w:tcW w:w="6036" w:type="dxa"/>
          </w:tcPr>
          <w:p>
            <w:pPr>
              <w:pStyle w:val="TableParagraph"/>
              <w:numPr>
                <w:ilvl w:val="0"/>
                <w:numId w:val="5"/>
              </w:numPr>
              <w:tabs>
                <w:tab w:pos="858" w:val="left" w:leader="none"/>
              </w:tabs>
              <w:spacing w:line="256" w:lineRule="exact" w:before="0" w:after="0"/>
              <w:ind w:left="858" w:right="0" w:hanging="360"/>
              <w:jc w:val="left"/>
              <w:rPr>
                <w:sz w:val="22"/>
              </w:rPr>
            </w:pPr>
            <w:r>
              <w:rPr>
                <w:color w:val="1F2023"/>
                <w:sz w:val="22"/>
              </w:rPr>
              <w:t>My</w:t>
            </w:r>
            <w:r>
              <w:rPr>
                <w:color w:val="1F2023"/>
                <w:spacing w:val="-8"/>
                <w:sz w:val="22"/>
              </w:rPr>
              <w:t> </w:t>
            </w:r>
            <w:r>
              <w:rPr>
                <w:color w:val="1F2023"/>
                <w:sz w:val="22"/>
              </w:rPr>
              <w:t>teachers</w:t>
            </w:r>
            <w:r>
              <w:rPr>
                <w:color w:val="1F2023"/>
                <w:spacing w:val="1"/>
                <w:sz w:val="22"/>
              </w:rPr>
              <w:t> </w:t>
            </w:r>
            <w:r>
              <w:rPr>
                <w:color w:val="1F2023"/>
                <w:sz w:val="22"/>
              </w:rPr>
              <w:t>grade</w:t>
            </w:r>
            <w:r>
              <w:rPr>
                <w:color w:val="1F2023"/>
                <w:spacing w:val="1"/>
                <w:sz w:val="22"/>
              </w:rPr>
              <w:t> </w:t>
            </w:r>
            <w:r>
              <w:rPr>
                <w:color w:val="1F2023"/>
                <w:sz w:val="22"/>
              </w:rPr>
              <w:t>and</w:t>
            </w:r>
            <w:r>
              <w:rPr>
                <w:color w:val="1F2023"/>
                <w:spacing w:val="-1"/>
                <w:sz w:val="22"/>
              </w:rPr>
              <w:t> </w:t>
            </w:r>
            <w:r>
              <w:rPr>
                <w:color w:val="1F2023"/>
                <w:sz w:val="22"/>
              </w:rPr>
              <w:t>assess</w:t>
            </w:r>
            <w:r>
              <w:rPr>
                <w:color w:val="1F2023"/>
                <w:spacing w:val="1"/>
                <w:sz w:val="22"/>
              </w:rPr>
              <w:t> </w:t>
            </w:r>
            <w:r>
              <w:rPr>
                <w:color w:val="1F2023"/>
                <w:spacing w:val="-2"/>
                <w:sz w:val="22"/>
              </w:rPr>
              <w:t>fairly.</w:t>
            </w:r>
          </w:p>
        </w:tc>
        <w:tc>
          <w:tcPr>
            <w:tcW w:w="827" w:type="dxa"/>
          </w:tcPr>
          <w:p>
            <w:pPr>
              <w:pStyle w:val="TableParagraph"/>
              <w:spacing w:line="253" w:lineRule="exact"/>
              <w:ind w:right="105"/>
              <w:jc w:val="right"/>
              <w:rPr>
                <w:sz w:val="22"/>
              </w:rPr>
            </w:pPr>
            <w:r>
              <w:rPr>
                <w:color w:val="000104"/>
                <w:spacing w:val="-4"/>
                <w:sz w:val="22"/>
              </w:rPr>
              <w:t>4.08</w:t>
            </w:r>
          </w:p>
        </w:tc>
        <w:tc>
          <w:tcPr>
            <w:tcW w:w="1643" w:type="dxa"/>
          </w:tcPr>
          <w:p>
            <w:pPr>
              <w:pStyle w:val="TableParagraph"/>
              <w:spacing w:line="253" w:lineRule="exact"/>
              <w:ind w:left="108"/>
              <w:rPr>
                <w:sz w:val="22"/>
              </w:rPr>
            </w:pPr>
            <w:r>
              <w:rPr>
                <w:spacing w:val="-2"/>
                <w:sz w:val="22"/>
              </w:rPr>
              <w:t>Satisfied</w:t>
            </w:r>
          </w:p>
        </w:tc>
        <w:tc>
          <w:tcPr>
            <w:tcW w:w="916" w:type="dxa"/>
          </w:tcPr>
          <w:p>
            <w:pPr>
              <w:pStyle w:val="TableParagraph"/>
              <w:spacing w:line="253" w:lineRule="exact"/>
              <w:ind w:right="181"/>
              <w:jc w:val="right"/>
              <w:rPr>
                <w:sz w:val="22"/>
              </w:rPr>
            </w:pPr>
            <w:r>
              <w:rPr>
                <w:spacing w:val="-10"/>
                <w:sz w:val="22"/>
              </w:rPr>
              <w:t>4</w:t>
            </w:r>
          </w:p>
        </w:tc>
      </w:tr>
      <w:tr>
        <w:trPr>
          <w:trHeight w:val="259" w:hRule="atLeast"/>
        </w:trPr>
        <w:tc>
          <w:tcPr>
            <w:tcW w:w="6036" w:type="dxa"/>
          </w:tcPr>
          <w:p>
            <w:pPr>
              <w:pStyle w:val="TableParagraph"/>
              <w:spacing w:line="240" w:lineRule="exact"/>
              <w:ind w:right="181"/>
              <w:jc w:val="right"/>
              <w:rPr>
                <w:b/>
                <w:sz w:val="22"/>
              </w:rPr>
            </w:pPr>
            <w:r>
              <w:rPr>
                <w:b/>
                <w:color w:val="1F2023"/>
                <w:sz w:val="22"/>
              </w:rPr>
              <w:t>Aggregate</w:t>
            </w:r>
            <w:r>
              <w:rPr>
                <w:b/>
                <w:color w:val="1F2023"/>
                <w:spacing w:val="1"/>
                <w:sz w:val="22"/>
              </w:rPr>
              <w:t> </w:t>
            </w:r>
            <w:r>
              <w:rPr>
                <w:b/>
                <w:color w:val="1F2023"/>
                <w:spacing w:val="-4"/>
                <w:sz w:val="22"/>
              </w:rPr>
              <w:t>Mean</w:t>
            </w:r>
          </w:p>
        </w:tc>
        <w:tc>
          <w:tcPr>
            <w:tcW w:w="827" w:type="dxa"/>
          </w:tcPr>
          <w:p>
            <w:pPr>
              <w:pStyle w:val="TableParagraph"/>
              <w:spacing w:line="240" w:lineRule="exact"/>
              <w:ind w:right="105"/>
              <w:jc w:val="right"/>
              <w:rPr>
                <w:b/>
                <w:sz w:val="22"/>
              </w:rPr>
            </w:pPr>
            <w:r>
              <w:rPr>
                <w:b/>
                <w:color w:val="000104"/>
                <w:spacing w:val="-4"/>
                <w:sz w:val="22"/>
              </w:rPr>
              <w:t>4.21</w:t>
            </w:r>
          </w:p>
        </w:tc>
        <w:tc>
          <w:tcPr>
            <w:tcW w:w="1643" w:type="dxa"/>
          </w:tcPr>
          <w:p>
            <w:pPr>
              <w:pStyle w:val="TableParagraph"/>
              <w:spacing w:line="240" w:lineRule="exact"/>
              <w:ind w:left="108"/>
              <w:rPr>
                <w:b/>
                <w:sz w:val="22"/>
              </w:rPr>
            </w:pPr>
            <w:r>
              <w:rPr>
                <w:b/>
                <w:sz w:val="22"/>
              </w:rPr>
              <w:t>Very </w:t>
            </w:r>
            <w:r>
              <w:rPr>
                <w:b/>
                <w:spacing w:val="-2"/>
                <w:sz w:val="22"/>
              </w:rPr>
              <w:t>Satisfied</w:t>
            </w:r>
          </w:p>
        </w:tc>
        <w:tc>
          <w:tcPr>
            <w:tcW w:w="916" w:type="dxa"/>
          </w:tcPr>
          <w:p>
            <w:pPr>
              <w:pStyle w:val="TableParagraph"/>
              <w:rPr>
                <w:sz w:val="18"/>
              </w:rPr>
            </w:pPr>
          </w:p>
        </w:tc>
      </w:tr>
      <w:tr>
        <w:trPr>
          <w:trHeight w:val="253" w:hRule="atLeast"/>
        </w:trPr>
        <w:tc>
          <w:tcPr>
            <w:tcW w:w="6036" w:type="dxa"/>
          </w:tcPr>
          <w:p>
            <w:pPr>
              <w:pStyle w:val="TableParagraph"/>
              <w:spacing w:line="233" w:lineRule="exact"/>
              <w:ind w:left="138"/>
              <w:rPr>
                <w:b/>
                <w:sz w:val="22"/>
              </w:rPr>
            </w:pPr>
            <w:r>
              <w:rPr>
                <w:b/>
                <w:color w:val="1F2023"/>
                <w:sz w:val="22"/>
              </w:rPr>
              <w:t>B.</w:t>
            </w:r>
            <w:r>
              <w:rPr>
                <w:b/>
                <w:color w:val="1F2023"/>
                <w:spacing w:val="-3"/>
                <w:sz w:val="22"/>
              </w:rPr>
              <w:t> </w:t>
            </w:r>
            <w:r>
              <w:rPr>
                <w:b/>
                <w:color w:val="1F2023"/>
                <w:sz w:val="22"/>
              </w:rPr>
              <w:t>Curriculum</w:t>
            </w:r>
            <w:r>
              <w:rPr>
                <w:b/>
                <w:color w:val="1F2023"/>
                <w:spacing w:val="-4"/>
                <w:sz w:val="22"/>
              </w:rPr>
              <w:t> </w:t>
            </w:r>
            <w:r>
              <w:rPr>
                <w:b/>
                <w:color w:val="1F2023"/>
                <w:sz w:val="22"/>
              </w:rPr>
              <w:t>and</w:t>
            </w:r>
            <w:r>
              <w:rPr>
                <w:b/>
                <w:color w:val="1F2023"/>
                <w:spacing w:val="-2"/>
                <w:sz w:val="22"/>
              </w:rPr>
              <w:t> </w:t>
            </w:r>
            <w:r>
              <w:rPr>
                <w:b/>
                <w:color w:val="1F2023"/>
                <w:sz w:val="22"/>
              </w:rPr>
              <w:t>Academic </w:t>
            </w:r>
            <w:r>
              <w:rPr>
                <w:b/>
                <w:color w:val="1F2023"/>
                <w:spacing w:val="-2"/>
                <w:sz w:val="22"/>
              </w:rPr>
              <w:t>Workload</w:t>
            </w:r>
          </w:p>
        </w:tc>
        <w:tc>
          <w:tcPr>
            <w:tcW w:w="827" w:type="dxa"/>
          </w:tcPr>
          <w:p>
            <w:pPr>
              <w:pStyle w:val="TableParagraph"/>
              <w:rPr>
                <w:sz w:val="18"/>
              </w:rPr>
            </w:pPr>
          </w:p>
        </w:tc>
        <w:tc>
          <w:tcPr>
            <w:tcW w:w="1643" w:type="dxa"/>
          </w:tcPr>
          <w:p>
            <w:pPr>
              <w:pStyle w:val="TableParagraph"/>
              <w:rPr>
                <w:sz w:val="18"/>
              </w:rPr>
            </w:pPr>
          </w:p>
        </w:tc>
        <w:tc>
          <w:tcPr>
            <w:tcW w:w="916" w:type="dxa"/>
          </w:tcPr>
          <w:p>
            <w:pPr>
              <w:pStyle w:val="TableParagraph"/>
              <w:rPr>
                <w:sz w:val="18"/>
              </w:rPr>
            </w:pPr>
          </w:p>
        </w:tc>
      </w:tr>
      <w:tr>
        <w:trPr>
          <w:trHeight w:val="270" w:hRule="atLeast"/>
        </w:trPr>
        <w:tc>
          <w:tcPr>
            <w:tcW w:w="6036" w:type="dxa"/>
          </w:tcPr>
          <w:p>
            <w:pPr>
              <w:pStyle w:val="TableParagraph"/>
              <w:numPr>
                <w:ilvl w:val="0"/>
                <w:numId w:val="6"/>
              </w:numPr>
              <w:tabs>
                <w:tab w:pos="858" w:val="left" w:leader="none"/>
              </w:tabs>
              <w:spacing w:line="250" w:lineRule="exact" w:before="0" w:after="0"/>
              <w:ind w:left="858" w:right="0" w:hanging="360"/>
              <w:jc w:val="left"/>
              <w:rPr>
                <w:sz w:val="22"/>
              </w:rPr>
            </w:pPr>
            <w:r>
              <w:rPr>
                <w:color w:val="1F2023"/>
                <w:sz w:val="22"/>
              </w:rPr>
              <w:t>The</w:t>
            </w:r>
            <w:r>
              <w:rPr>
                <w:color w:val="1F2023"/>
                <w:spacing w:val="-1"/>
                <w:sz w:val="22"/>
              </w:rPr>
              <w:t> </w:t>
            </w:r>
            <w:r>
              <w:rPr>
                <w:color w:val="1F2023"/>
                <w:sz w:val="22"/>
              </w:rPr>
              <w:t>subjects</w:t>
            </w:r>
            <w:r>
              <w:rPr>
                <w:color w:val="1F2023"/>
                <w:spacing w:val="-1"/>
                <w:sz w:val="22"/>
              </w:rPr>
              <w:t> </w:t>
            </w:r>
            <w:r>
              <w:rPr>
                <w:color w:val="1F2023"/>
                <w:sz w:val="22"/>
              </w:rPr>
              <w:t>I</w:t>
            </w:r>
            <w:r>
              <w:rPr>
                <w:color w:val="1F2023"/>
                <w:spacing w:val="-2"/>
                <w:sz w:val="22"/>
              </w:rPr>
              <w:t> </w:t>
            </w:r>
            <w:r>
              <w:rPr>
                <w:color w:val="1F2023"/>
                <w:sz w:val="22"/>
              </w:rPr>
              <w:t>take</w:t>
            </w:r>
            <w:r>
              <w:rPr>
                <w:color w:val="1F2023"/>
                <w:spacing w:val="-1"/>
                <w:sz w:val="22"/>
              </w:rPr>
              <w:t> </w:t>
            </w:r>
            <w:r>
              <w:rPr>
                <w:color w:val="1F2023"/>
                <w:sz w:val="22"/>
              </w:rPr>
              <w:t>are</w:t>
            </w:r>
            <w:r>
              <w:rPr>
                <w:color w:val="1F2023"/>
                <w:spacing w:val="-4"/>
                <w:sz w:val="22"/>
              </w:rPr>
              <w:t> </w:t>
            </w:r>
            <w:r>
              <w:rPr>
                <w:color w:val="1F2023"/>
                <w:sz w:val="22"/>
              </w:rPr>
              <w:t>relevant</w:t>
            </w:r>
            <w:r>
              <w:rPr>
                <w:color w:val="1F2023"/>
                <w:spacing w:val="1"/>
                <w:sz w:val="22"/>
              </w:rPr>
              <w:t> </w:t>
            </w:r>
            <w:r>
              <w:rPr>
                <w:color w:val="1F2023"/>
                <w:sz w:val="22"/>
              </w:rPr>
              <w:t>and</w:t>
            </w:r>
            <w:r>
              <w:rPr>
                <w:color w:val="1F2023"/>
                <w:spacing w:val="2"/>
                <w:sz w:val="22"/>
              </w:rPr>
              <w:t> </w:t>
            </w:r>
            <w:r>
              <w:rPr>
                <w:color w:val="1F2023"/>
                <w:spacing w:val="-2"/>
                <w:sz w:val="22"/>
              </w:rPr>
              <w:t>valuable.</w:t>
            </w:r>
          </w:p>
        </w:tc>
        <w:tc>
          <w:tcPr>
            <w:tcW w:w="827" w:type="dxa"/>
          </w:tcPr>
          <w:p>
            <w:pPr>
              <w:pStyle w:val="TableParagraph"/>
              <w:spacing w:line="250" w:lineRule="exact"/>
              <w:ind w:right="105"/>
              <w:jc w:val="right"/>
              <w:rPr>
                <w:sz w:val="22"/>
              </w:rPr>
            </w:pPr>
            <w:r>
              <w:rPr>
                <w:color w:val="000104"/>
                <w:spacing w:val="-4"/>
                <w:sz w:val="22"/>
              </w:rPr>
              <w:t>4.20</w:t>
            </w:r>
          </w:p>
        </w:tc>
        <w:tc>
          <w:tcPr>
            <w:tcW w:w="1643" w:type="dxa"/>
          </w:tcPr>
          <w:p>
            <w:pPr>
              <w:pStyle w:val="TableParagraph"/>
              <w:spacing w:line="250" w:lineRule="exact"/>
              <w:ind w:left="108"/>
              <w:rPr>
                <w:sz w:val="22"/>
              </w:rPr>
            </w:pPr>
            <w:r>
              <w:rPr>
                <w:spacing w:val="-2"/>
                <w:sz w:val="22"/>
              </w:rPr>
              <w:t>Satisfied</w:t>
            </w:r>
          </w:p>
        </w:tc>
        <w:tc>
          <w:tcPr>
            <w:tcW w:w="916" w:type="dxa"/>
          </w:tcPr>
          <w:p>
            <w:pPr>
              <w:pStyle w:val="TableParagraph"/>
              <w:spacing w:line="250" w:lineRule="exact"/>
              <w:ind w:right="181"/>
              <w:jc w:val="right"/>
              <w:rPr>
                <w:sz w:val="22"/>
              </w:rPr>
            </w:pPr>
            <w:r>
              <w:rPr>
                <w:spacing w:val="-10"/>
                <w:sz w:val="22"/>
              </w:rPr>
              <w:t>1</w:t>
            </w:r>
          </w:p>
        </w:tc>
      </w:tr>
      <w:tr>
        <w:trPr>
          <w:trHeight w:val="521" w:hRule="atLeast"/>
        </w:trPr>
        <w:tc>
          <w:tcPr>
            <w:tcW w:w="6036" w:type="dxa"/>
          </w:tcPr>
          <w:p>
            <w:pPr>
              <w:pStyle w:val="TableParagraph"/>
              <w:numPr>
                <w:ilvl w:val="0"/>
                <w:numId w:val="7"/>
              </w:numPr>
              <w:tabs>
                <w:tab w:pos="858" w:val="left" w:leader="none"/>
              </w:tabs>
              <w:spacing w:line="252" w:lineRule="exact" w:before="0" w:after="0"/>
              <w:ind w:left="858" w:right="180" w:hanging="360"/>
              <w:jc w:val="left"/>
              <w:rPr>
                <w:sz w:val="22"/>
              </w:rPr>
            </w:pPr>
            <w:r>
              <w:rPr>
                <w:color w:val="1F2023"/>
                <w:sz w:val="22"/>
              </w:rPr>
              <w:t>I</w:t>
            </w:r>
            <w:r>
              <w:rPr>
                <w:color w:val="1F2023"/>
                <w:spacing w:val="80"/>
                <w:sz w:val="22"/>
              </w:rPr>
              <w:t> </w:t>
            </w:r>
            <w:r>
              <w:rPr>
                <w:color w:val="1F2023"/>
                <w:sz w:val="22"/>
              </w:rPr>
              <w:t>have</w:t>
            </w:r>
            <w:r>
              <w:rPr>
                <w:color w:val="1F2023"/>
                <w:spacing w:val="80"/>
                <w:sz w:val="22"/>
              </w:rPr>
              <w:t> </w:t>
            </w:r>
            <w:r>
              <w:rPr>
                <w:color w:val="1F2023"/>
                <w:sz w:val="22"/>
              </w:rPr>
              <w:t>opportunities</w:t>
            </w:r>
            <w:r>
              <w:rPr>
                <w:color w:val="1F2023"/>
                <w:spacing w:val="80"/>
                <w:sz w:val="22"/>
              </w:rPr>
              <w:t> </w:t>
            </w:r>
            <w:r>
              <w:rPr>
                <w:color w:val="1F2023"/>
                <w:sz w:val="22"/>
              </w:rPr>
              <w:t>for</w:t>
            </w:r>
            <w:r>
              <w:rPr>
                <w:color w:val="1F2023"/>
                <w:spacing w:val="80"/>
                <w:sz w:val="22"/>
              </w:rPr>
              <w:t> </w:t>
            </w:r>
            <w:r>
              <w:rPr>
                <w:color w:val="1F2023"/>
                <w:sz w:val="22"/>
              </w:rPr>
              <w:t>project-based</w:t>
            </w:r>
            <w:r>
              <w:rPr>
                <w:color w:val="1F2023"/>
                <w:spacing w:val="80"/>
                <w:sz w:val="22"/>
              </w:rPr>
              <w:t> </w:t>
            </w:r>
            <w:r>
              <w:rPr>
                <w:color w:val="1F2023"/>
                <w:sz w:val="22"/>
              </w:rPr>
              <w:t>or</w:t>
            </w:r>
            <w:r>
              <w:rPr>
                <w:color w:val="1F2023"/>
                <w:spacing w:val="80"/>
                <w:sz w:val="22"/>
              </w:rPr>
              <w:t> </w:t>
            </w:r>
            <w:r>
              <w:rPr>
                <w:color w:val="1F2023"/>
                <w:sz w:val="22"/>
              </w:rPr>
              <w:t>hands-on </w:t>
            </w:r>
            <w:r>
              <w:rPr>
                <w:color w:val="1F2023"/>
                <w:spacing w:val="-2"/>
                <w:sz w:val="22"/>
              </w:rPr>
              <w:t>learning.</w:t>
            </w:r>
          </w:p>
        </w:tc>
        <w:tc>
          <w:tcPr>
            <w:tcW w:w="827" w:type="dxa"/>
          </w:tcPr>
          <w:p>
            <w:pPr>
              <w:pStyle w:val="TableParagraph"/>
              <w:ind w:right="105"/>
              <w:jc w:val="right"/>
              <w:rPr>
                <w:sz w:val="22"/>
              </w:rPr>
            </w:pPr>
            <w:r>
              <w:rPr>
                <w:color w:val="000104"/>
                <w:spacing w:val="-4"/>
                <w:sz w:val="22"/>
              </w:rPr>
              <w:t>4.19</w:t>
            </w:r>
          </w:p>
        </w:tc>
        <w:tc>
          <w:tcPr>
            <w:tcW w:w="1643" w:type="dxa"/>
          </w:tcPr>
          <w:p>
            <w:pPr>
              <w:pStyle w:val="TableParagraph"/>
              <w:ind w:left="108"/>
              <w:rPr>
                <w:sz w:val="22"/>
              </w:rPr>
            </w:pPr>
            <w:r>
              <w:rPr>
                <w:spacing w:val="-2"/>
                <w:sz w:val="22"/>
              </w:rPr>
              <w:t>Satisfied</w:t>
            </w:r>
          </w:p>
        </w:tc>
        <w:tc>
          <w:tcPr>
            <w:tcW w:w="916" w:type="dxa"/>
          </w:tcPr>
          <w:p>
            <w:pPr>
              <w:pStyle w:val="TableParagraph"/>
              <w:ind w:right="181"/>
              <w:jc w:val="right"/>
              <w:rPr>
                <w:sz w:val="22"/>
              </w:rPr>
            </w:pPr>
            <w:r>
              <w:rPr>
                <w:spacing w:val="-10"/>
                <w:sz w:val="22"/>
              </w:rPr>
              <w:t>2</w:t>
            </w:r>
          </w:p>
        </w:tc>
      </w:tr>
      <w:tr>
        <w:trPr>
          <w:trHeight w:val="269" w:hRule="atLeast"/>
        </w:trPr>
        <w:tc>
          <w:tcPr>
            <w:tcW w:w="6036" w:type="dxa"/>
          </w:tcPr>
          <w:p>
            <w:pPr>
              <w:pStyle w:val="TableParagraph"/>
              <w:numPr>
                <w:ilvl w:val="0"/>
                <w:numId w:val="8"/>
              </w:numPr>
              <w:tabs>
                <w:tab w:pos="858" w:val="left" w:leader="none"/>
              </w:tabs>
              <w:spacing w:line="249" w:lineRule="exact" w:before="0" w:after="0"/>
              <w:ind w:left="858" w:right="0" w:hanging="360"/>
              <w:jc w:val="left"/>
              <w:rPr>
                <w:sz w:val="22"/>
              </w:rPr>
            </w:pPr>
            <w:r>
              <w:rPr>
                <w:color w:val="1F2023"/>
                <w:sz w:val="22"/>
              </w:rPr>
              <w:t>I</w:t>
            </w:r>
            <w:r>
              <w:rPr>
                <w:color w:val="1F2023"/>
                <w:spacing w:val="1"/>
                <w:sz w:val="22"/>
              </w:rPr>
              <w:t> </w:t>
            </w:r>
            <w:r>
              <w:rPr>
                <w:color w:val="1F2023"/>
                <w:sz w:val="22"/>
              </w:rPr>
              <w:t>am</w:t>
            </w:r>
            <w:r>
              <w:rPr>
                <w:color w:val="1F2023"/>
                <w:spacing w:val="-5"/>
                <w:sz w:val="22"/>
              </w:rPr>
              <w:t> </w:t>
            </w:r>
            <w:r>
              <w:rPr>
                <w:color w:val="1F2023"/>
                <w:sz w:val="22"/>
              </w:rPr>
              <w:t>satisfied</w:t>
            </w:r>
            <w:r>
              <w:rPr>
                <w:color w:val="1F2023"/>
                <w:spacing w:val="-1"/>
                <w:sz w:val="22"/>
              </w:rPr>
              <w:t> </w:t>
            </w:r>
            <w:r>
              <w:rPr>
                <w:color w:val="1F2023"/>
                <w:sz w:val="22"/>
              </w:rPr>
              <w:t>with</w:t>
            </w:r>
            <w:r>
              <w:rPr>
                <w:color w:val="1F2023"/>
                <w:spacing w:val="-2"/>
                <w:sz w:val="22"/>
              </w:rPr>
              <w:t> </w:t>
            </w:r>
            <w:r>
              <w:rPr>
                <w:color w:val="1F2023"/>
                <w:sz w:val="22"/>
              </w:rPr>
              <w:t>the</w:t>
            </w:r>
            <w:r>
              <w:rPr>
                <w:color w:val="1F2023"/>
                <w:spacing w:val="-3"/>
                <w:sz w:val="22"/>
              </w:rPr>
              <w:t> </w:t>
            </w:r>
            <w:r>
              <w:rPr>
                <w:color w:val="1F2023"/>
                <w:sz w:val="22"/>
              </w:rPr>
              <w:t>variety</w:t>
            </w:r>
            <w:r>
              <w:rPr>
                <w:color w:val="1F2023"/>
                <w:spacing w:val="-6"/>
                <w:sz w:val="22"/>
              </w:rPr>
              <w:t> </w:t>
            </w:r>
            <w:r>
              <w:rPr>
                <w:color w:val="1F2023"/>
                <w:sz w:val="22"/>
              </w:rPr>
              <w:t>of</w:t>
            </w:r>
            <w:r>
              <w:rPr>
                <w:color w:val="1F2023"/>
                <w:spacing w:val="1"/>
                <w:sz w:val="22"/>
              </w:rPr>
              <w:t> </w:t>
            </w:r>
            <w:r>
              <w:rPr>
                <w:color w:val="1F2023"/>
                <w:sz w:val="22"/>
              </w:rPr>
              <w:t>subjects and</w:t>
            </w:r>
            <w:r>
              <w:rPr>
                <w:color w:val="1F2023"/>
                <w:spacing w:val="-3"/>
                <w:sz w:val="22"/>
              </w:rPr>
              <w:t> </w:t>
            </w:r>
            <w:r>
              <w:rPr>
                <w:color w:val="1F2023"/>
                <w:spacing w:val="-2"/>
                <w:sz w:val="22"/>
              </w:rPr>
              <w:t>electives.</w:t>
            </w:r>
          </w:p>
        </w:tc>
        <w:tc>
          <w:tcPr>
            <w:tcW w:w="827" w:type="dxa"/>
          </w:tcPr>
          <w:p>
            <w:pPr>
              <w:pStyle w:val="TableParagraph"/>
              <w:spacing w:line="249" w:lineRule="exact"/>
              <w:ind w:right="105"/>
              <w:jc w:val="right"/>
              <w:rPr>
                <w:sz w:val="22"/>
              </w:rPr>
            </w:pPr>
            <w:r>
              <w:rPr>
                <w:color w:val="000104"/>
                <w:spacing w:val="-4"/>
                <w:sz w:val="22"/>
              </w:rPr>
              <w:t>4.06</w:t>
            </w:r>
          </w:p>
        </w:tc>
        <w:tc>
          <w:tcPr>
            <w:tcW w:w="1643" w:type="dxa"/>
          </w:tcPr>
          <w:p>
            <w:pPr>
              <w:pStyle w:val="TableParagraph"/>
              <w:spacing w:line="249" w:lineRule="exact"/>
              <w:ind w:left="108"/>
              <w:rPr>
                <w:sz w:val="22"/>
              </w:rPr>
            </w:pPr>
            <w:r>
              <w:rPr>
                <w:spacing w:val="-2"/>
                <w:sz w:val="22"/>
              </w:rPr>
              <w:t>Satisfied</w:t>
            </w:r>
          </w:p>
        </w:tc>
        <w:tc>
          <w:tcPr>
            <w:tcW w:w="916" w:type="dxa"/>
          </w:tcPr>
          <w:p>
            <w:pPr>
              <w:pStyle w:val="TableParagraph"/>
              <w:spacing w:line="249" w:lineRule="exact"/>
              <w:ind w:right="181"/>
              <w:jc w:val="right"/>
              <w:rPr>
                <w:sz w:val="22"/>
              </w:rPr>
            </w:pPr>
            <w:r>
              <w:rPr>
                <w:spacing w:val="-10"/>
                <w:sz w:val="22"/>
              </w:rPr>
              <w:t>3</w:t>
            </w:r>
          </w:p>
        </w:tc>
      </w:tr>
      <w:tr>
        <w:trPr>
          <w:trHeight w:val="268" w:hRule="atLeast"/>
        </w:trPr>
        <w:tc>
          <w:tcPr>
            <w:tcW w:w="6036" w:type="dxa"/>
          </w:tcPr>
          <w:p>
            <w:pPr>
              <w:pStyle w:val="TableParagraph"/>
              <w:numPr>
                <w:ilvl w:val="0"/>
                <w:numId w:val="9"/>
              </w:numPr>
              <w:tabs>
                <w:tab w:pos="858" w:val="left" w:leader="none"/>
              </w:tabs>
              <w:spacing w:line="248" w:lineRule="exact" w:before="0" w:after="0"/>
              <w:ind w:left="858" w:right="0" w:hanging="360"/>
              <w:jc w:val="left"/>
              <w:rPr>
                <w:sz w:val="22"/>
              </w:rPr>
            </w:pPr>
            <w:r>
              <w:rPr>
                <w:color w:val="1F2023"/>
                <w:sz w:val="22"/>
              </w:rPr>
              <w:t>The</w:t>
            </w:r>
            <w:r>
              <w:rPr>
                <w:color w:val="1F2023"/>
                <w:spacing w:val="-2"/>
                <w:sz w:val="22"/>
              </w:rPr>
              <w:t> </w:t>
            </w:r>
            <w:r>
              <w:rPr>
                <w:color w:val="1F2023"/>
                <w:sz w:val="22"/>
              </w:rPr>
              <w:t>lessons</w:t>
            </w:r>
            <w:r>
              <w:rPr>
                <w:color w:val="1F2023"/>
                <w:spacing w:val="-2"/>
                <w:sz w:val="22"/>
              </w:rPr>
              <w:t> </w:t>
            </w:r>
            <w:r>
              <w:rPr>
                <w:color w:val="1F2023"/>
                <w:sz w:val="22"/>
              </w:rPr>
              <w:t>match</w:t>
            </w:r>
            <w:r>
              <w:rPr>
                <w:color w:val="1F2023"/>
                <w:spacing w:val="1"/>
                <w:sz w:val="22"/>
              </w:rPr>
              <w:t> </w:t>
            </w:r>
            <w:r>
              <w:rPr>
                <w:color w:val="1F2023"/>
                <w:sz w:val="22"/>
              </w:rPr>
              <w:t>my</w:t>
            </w:r>
            <w:r>
              <w:rPr>
                <w:color w:val="1F2023"/>
                <w:spacing w:val="-5"/>
                <w:sz w:val="22"/>
              </w:rPr>
              <w:t> </w:t>
            </w:r>
            <w:r>
              <w:rPr>
                <w:color w:val="1F2023"/>
                <w:sz w:val="22"/>
              </w:rPr>
              <w:t>abilities</w:t>
            </w:r>
            <w:r>
              <w:rPr>
                <w:color w:val="1F2023"/>
                <w:spacing w:val="-2"/>
                <w:sz w:val="22"/>
              </w:rPr>
              <w:t> </w:t>
            </w:r>
            <w:r>
              <w:rPr>
                <w:color w:val="1F2023"/>
                <w:sz w:val="22"/>
              </w:rPr>
              <w:t>and</w:t>
            </w:r>
            <w:r>
              <w:rPr>
                <w:color w:val="1F2023"/>
                <w:spacing w:val="-2"/>
                <w:sz w:val="22"/>
              </w:rPr>
              <w:t> readiness.</w:t>
            </w:r>
          </w:p>
        </w:tc>
        <w:tc>
          <w:tcPr>
            <w:tcW w:w="827" w:type="dxa"/>
          </w:tcPr>
          <w:p>
            <w:pPr>
              <w:pStyle w:val="TableParagraph"/>
              <w:spacing w:line="248" w:lineRule="exact"/>
              <w:ind w:right="105"/>
              <w:jc w:val="right"/>
              <w:rPr>
                <w:sz w:val="22"/>
              </w:rPr>
            </w:pPr>
            <w:r>
              <w:rPr>
                <w:color w:val="000104"/>
                <w:spacing w:val="-4"/>
                <w:sz w:val="22"/>
              </w:rPr>
              <w:t>4.05</w:t>
            </w:r>
          </w:p>
        </w:tc>
        <w:tc>
          <w:tcPr>
            <w:tcW w:w="1643" w:type="dxa"/>
          </w:tcPr>
          <w:p>
            <w:pPr>
              <w:pStyle w:val="TableParagraph"/>
              <w:spacing w:line="248" w:lineRule="exact"/>
              <w:ind w:left="108"/>
              <w:rPr>
                <w:sz w:val="22"/>
              </w:rPr>
            </w:pPr>
            <w:r>
              <w:rPr>
                <w:spacing w:val="-2"/>
                <w:sz w:val="22"/>
              </w:rPr>
              <w:t>Satisfied</w:t>
            </w:r>
          </w:p>
        </w:tc>
        <w:tc>
          <w:tcPr>
            <w:tcW w:w="916" w:type="dxa"/>
          </w:tcPr>
          <w:p>
            <w:pPr>
              <w:pStyle w:val="TableParagraph"/>
              <w:spacing w:line="248" w:lineRule="exact"/>
              <w:ind w:right="181"/>
              <w:jc w:val="right"/>
              <w:rPr>
                <w:sz w:val="22"/>
              </w:rPr>
            </w:pPr>
            <w:r>
              <w:rPr>
                <w:spacing w:val="-10"/>
                <w:sz w:val="22"/>
              </w:rPr>
              <w:t>4</w:t>
            </w:r>
          </w:p>
        </w:tc>
      </w:tr>
      <w:tr>
        <w:trPr>
          <w:trHeight w:val="276" w:hRule="atLeast"/>
        </w:trPr>
        <w:tc>
          <w:tcPr>
            <w:tcW w:w="6036" w:type="dxa"/>
          </w:tcPr>
          <w:p>
            <w:pPr>
              <w:pStyle w:val="TableParagraph"/>
              <w:numPr>
                <w:ilvl w:val="0"/>
                <w:numId w:val="10"/>
              </w:numPr>
              <w:tabs>
                <w:tab w:pos="858" w:val="left" w:leader="none"/>
              </w:tabs>
              <w:spacing w:line="257" w:lineRule="exact" w:before="0" w:after="0"/>
              <w:ind w:left="858" w:right="0" w:hanging="360"/>
              <w:jc w:val="left"/>
              <w:rPr>
                <w:sz w:val="22"/>
              </w:rPr>
            </w:pPr>
            <w:r>
              <w:rPr>
                <w:color w:val="1F2023"/>
                <w:sz w:val="22"/>
              </w:rPr>
              <w:t>The</w:t>
            </w:r>
            <w:r>
              <w:rPr>
                <w:color w:val="1F2023"/>
                <w:spacing w:val="-2"/>
                <w:sz w:val="22"/>
              </w:rPr>
              <w:t> </w:t>
            </w:r>
            <w:r>
              <w:rPr>
                <w:color w:val="1F2023"/>
                <w:sz w:val="22"/>
              </w:rPr>
              <w:t>academic</w:t>
            </w:r>
            <w:r>
              <w:rPr>
                <w:color w:val="1F2023"/>
                <w:spacing w:val="-1"/>
                <w:sz w:val="22"/>
              </w:rPr>
              <w:t> </w:t>
            </w:r>
            <w:r>
              <w:rPr>
                <w:color w:val="1F2023"/>
                <w:sz w:val="22"/>
              </w:rPr>
              <w:t>workload</w:t>
            </w:r>
            <w:r>
              <w:rPr>
                <w:color w:val="1F2023"/>
                <w:spacing w:val="-1"/>
                <w:sz w:val="22"/>
              </w:rPr>
              <w:t> </w:t>
            </w:r>
            <w:r>
              <w:rPr>
                <w:color w:val="1F2023"/>
                <w:sz w:val="22"/>
              </w:rPr>
              <w:t>is</w:t>
            </w:r>
            <w:r>
              <w:rPr>
                <w:color w:val="1F2023"/>
                <w:spacing w:val="-2"/>
                <w:sz w:val="22"/>
              </w:rPr>
              <w:t> </w:t>
            </w:r>
            <w:r>
              <w:rPr>
                <w:color w:val="1F2023"/>
                <w:sz w:val="22"/>
              </w:rPr>
              <w:t>appropriate</w:t>
            </w:r>
            <w:r>
              <w:rPr>
                <w:color w:val="1F2023"/>
                <w:spacing w:val="-3"/>
                <w:sz w:val="22"/>
              </w:rPr>
              <w:t> </w:t>
            </w:r>
            <w:r>
              <w:rPr>
                <w:color w:val="1F2023"/>
                <w:sz w:val="22"/>
              </w:rPr>
              <w:t>for</w:t>
            </w:r>
            <w:r>
              <w:rPr>
                <w:color w:val="1F2023"/>
                <w:spacing w:val="-1"/>
                <w:sz w:val="22"/>
              </w:rPr>
              <w:t> </w:t>
            </w:r>
            <w:r>
              <w:rPr>
                <w:color w:val="1F2023"/>
                <w:sz w:val="22"/>
              </w:rPr>
              <w:t>my</w:t>
            </w:r>
            <w:r>
              <w:rPr>
                <w:color w:val="1F2023"/>
                <w:spacing w:val="-3"/>
                <w:sz w:val="22"/>
              </w:rPr>
              <w:t> </w:t>
            </w:r>
            <w:r>
              <w:rPr>
                <w:color w:val="1F2023"/>
                <w:spacing w:val="-2"/>
                <w:sz w:val="22"/>
              </w:rPr>
              <w:t>level.</w:t>
            </w:r>
          </w:p>
        </w:tc>
        <w:tc>
          <w:tcPr>
            <w:tcW w:w="827" w:type="dxa"/>
          </w:tcPr>
          <w:p>
            <w:pPr>
              <w:pStyle w:val="TableParagraph"/>
              <w:spacing w:line="252" w:lineRule="exact"/>
              <w:ind w:right="105"/>
              <w:jc w:val="right"/>
              <w:rPr>
                <w:sz w:val="22"/>
              </w:rPr>
            </w:pPr>
            <w:r>
              <w:rPr>
                <w:color w:val="000104"/>
                <w:spacing w:val="-4"/>
                <w:sz w:val="22"/>
              </w:rPr>
              <w:t>3.93</w:t>
            </w:r>
          </w:p>
        </w:tc>
        <w:tc>
          <w:tcPr>
            <w:tcW w:w="1643" w:type="dxa"/>
          </w:tcPr>
          <w:p>
            <w:pPr>
              <w:pStyle w:val="TableParagraph"/>
              <w:spacing w:line="252" w:lineRule="exact"/>
              <w:ind w:left="108"/>
              <w:rPr>
                <w:sz w:val="22"/>
              </w:rPr>
            </w:pPr>
            <w:r>
              <w:rPr>
                <w:spacing w:val="-2"/>
                <w:sz w:val="22"/>
              </w:rPr>
              <w:t>Satisfied</w:t>
            </w:r>
          </w:p>
        </w:tc>
        <w:tc>
          <w:tcPr>
            <w:tcW w:w="916" w:type="dxa"/>
          </w:tcPr>
          <w:p>
            <w:pPr>
              <w:pStyle w:val="TableParagraph"/>
              <w:spacing w:line="252" w:lineRule="exact"/>
              <w:ind w:right="181"/>
              <w:jc w:val="right"/>
              <w:rPr>
                <w:sz w:val="22"/>
              </w:rPr>
            </w:pPr>
            <w:r>
              <w:rPr>
                <w:spacing w:val="-10"/>
                <w:sz w:val="22"/>
              </w:rPr>
              <w:t>5</w:t>
            </w:r>
          </w:p>
        </w:tc>
      </w:tr>
      <w:tr>
        <w:trPr>
          <w:trHeight w:val="259" w:hRule="atLeast"/>
        </w:trPr>
        <w:tc>
          <w:tcPr>
            <w:tcW w:w="6036" w:type="dxa"/>
          </w:tcPr>
          <w:p>
            <w:pPr>
              <w:pStyle w:val="TableParagraph"/>
              <w:spacing w:line="240" w:lineRule="exact"/>
              <w:ind w:right="181"/>
              <w:jc w:val="right"/>
              <w:rPr>
                <w:b/>
                <w:sz w:val="22"/>
              </w:rPr>
            </w:pPr>
            <w:r>
              <w:rPr>
                <w:b/>
                <w:color w:val="1F2023"/>
                <w:sz w:val="22"/>
              </w:rPr>
              <w:t>Aggregate</w:t>
            </w:r>
            <w:r>
              <w:rPr>
                <w:b/>
                <w:color w:val="1F2023"/>
                <w:spacing w:val="1"/>
                <w:sz w:val="22"/>
              </w:rPr>
              <w:t> </w:t>
            </w:r>
            <w:r>
              <w:rPr>
                <w:b/>
                <w:color w:val="1F2023"/>
                <w:spacing w:val="-4"/>
                <w:sz w:val="22"/>
              </w:rPr>
              <w:t>Mean</w:t>
            </w:r>
          </w:p>
        </w:tc>
        <w:tc>
          <w:tcPr>
            <w:tcW w:w="827" w:type="dxa"/>
          </w:tcPr>
          <w:p>
            <w:pPr>
              <w:pStyle w:val="TableParagraph"/>
              <w:spacing w:line="240" w:lineRule="exact"/>
              <w:ind w:right="105"/>
              <w:jc w:val="right"/>
              <w:rPr>
                <w:b/>
                <w:sz w:val="22"/>
              </w:rPr>
            </w:pPr>
            <w:r>
              <w:rPr>
                <w:b/>
                <w:color w:val="000104"/>
                <w:spacing w:val="-4"/>
                <w:sz w:val="22"/>
              </w:rPr>
              <w:t>4.08</w:t>
            </w:r>
          </w:p>
        </w:tc>
        <w:tc>
          <w:tcPr>
            <w:tcW w:w="1643" w:type="dxa"/>
          </w:tcPr>
          <w:p>
            <w:pPr>
              <w:pStyle w:val="TableParagraph"/>
              <w:spacing w:line="240" w:lineRule="exact"/>
              <w:ind w:left="108"/>
              <w:rPr>
                <w:b/>
                <w:sz w:val="22"/>
              </w:rPr>
            </w:pPr>
            <w:r>
              <w:rPr>
                <w:b/>
                <w:spacing w:val="-2"/>
                <w:sz w:val="22"/>
              </w:rPr>
              <w:t>Satisfied</w:t>
            </w:r>
          </w:p>
        </w:tc>
        <w:tc>
          <w:tcPr>
            <w:tcW w:w="916" w:type="dxa"/>
          </w:tcPr>
          <w:p>
            <w:pPr>
              <w:pStyle w:val="TableParagraph"/>
              <w:rPr>
                <w:sz w:val="18"/>
              </w:rPr>
            </w:pPr>
          </w:p>
        </w:tc>
      </w:tr>
      <w:tr>
        <w:trPr>
          <w:trHeight w:val="253" w:hRule="atLeast"/>
        </w:trPr>
        <w:tc>
          <w:tcPr>
            <w:tcW w:w="6036" w:type="dxa"/>
          </w:tcPr>
          <w:p>
            <w:pPr>
              <w:pStyle w:val="TableParagraph"/>
              <w:spacing w:line="233" w:lineRule="exact"/>
              <w:ind w:left="138"/>
              <w:rPr>
                <w:b/>
                <w:sz w:val="22"/>
              </w:rPr>
            </w:pPr>
            <w:r>
              <w:rPr>
                <w:b/>
                <w:sz w:val="22"/>
              </w:rPr>
              <w:t>C.Learning</w:t>
            </w:r>
            <w:r>
              <w:rPr>
                <w:b/>
                <w:spacing w:val="-4"/>
                <w:sz w:val="22"/>
              </w:rPr>
              <w:t> </w:t>
            </w:r>
            <w:r>
              <w:rPr>
                <w:b/>
                <w:sz w:val="22"/>
              </w:rPr>
              <w:t>Environment</w:t>
            </w:r>
            <w:r>
              <w:rPr>
                <w:b/>
                <w:spacing w:val="-1"/>
                <w:sz w:val="22"/>
              </w:rPr>
              <w:t> </w:t>
            </w:r>
            <w:r>
              <w:rPr>
                <w:b/>
                <w:sz w:val="22"/>
              </w:rPr>
              <w:t>and</w:t>
            </w:r>
            <w:r>
              <w:rPr>
                <w:b/>
                <w:spacing w:val="-2"/>
                <w:sz w:val="22"/>
              </w:rPr>
              <w:t> </w:t>
            </w:r>
            <w:r>
              <w:rPr>
                <w:b/>
                <w:sz w:val="22"/>
              </w:rPr>
              <w:t>Peer</w:t>
            </w:r>
            <w:r>
              <w:rPr>
                <w:b/>
                <w:spacing w:val="-1"/>
                <w:sz w:val="22"/>
              </w:rPr>
              <w:t> </w:t>
            </w:r>
            <w:r>
              <w:rPr>
                <w:b/>
                <w:spacing w:val="-2"/>
                <w:sz w:val="22"/>
              </w:rPr>
              <w:t>Interaction</w:t>
            </w:r>
          </w:p>
        </w:tc>
        <w:tc>
          <w:tcPr>
            <w:tcW w:w="827" w:type="dxa"/>
          </w:tcPr>
          <w:p>
            <w:pPr>
              <w:pStyle w:val="TableParagraph"/>
              <w:rPr>
                <w:sz w:val="18"/>
              </w:rPr>
            </w:pPr>
          </w:p>
        </w:tc>
        <w:tc>
          <w:tcPr>
            <w:tcW w:w="1643" w:type="dxa"/>
          </w:tcPr>
          <w:p>
            <w:pPr>
              <w:pStyle w:val="TableParagraph"/>
              <w:rPr>
                <w:sz w:val="18"/>
              </w:rPr>
            </w:pPr>
          </w:p>
        </w:tc>
        <w:tc>
          <w:tcPr>
            <w:tcW w:w="916" w:type="dxa"/>
          </w:tcPr>
          <w:p>
            <w:pPr>
              <w:pStyle w:val="TableParagraph"/>
              <w:rPr>
                <w:sz w:val="18"/>
              </w:rPr>
            </w:pPr>
          </w:p>
        </w:tc>
      </w:tr>
      <w:tr>
        <w:trPr>
          <w:trHeight w:val="269" w:hRule="atLeast"/>
        </w:trPr>
        <w:tc>
          <w:tcPr>
            <w:tcW w:w="6036" w:type="dxa"/>
          </w:tcPr>
          <w:p>
            <w:pPr>
              <w:pStyle w:val="TableParagraph"/>
              <w:numPr>
                <w:ilvl w:val="0"/>
                <w:numId w:val="11"/>
              </w:numPr>
              <w:tabs>
                <w:tab w:pos="858" w:val="left" w:leader="none"/>
              </w:tabs>
              <w:spacing w:line="248" w:lineRule="exact" w:before="1" w:after="0"/>
              <w:ind w:left="858" w:right="0" w:hanging="360"/>
              <w:jc w:val="left"/>
              <w:rPr>
                <w:sz w:val="22"/>
              </w:rPr>
            </w:pPr>
            <w:r>
              <w:rPr>
                <w:color w:val="1F2023"/>
                <w:sz w:val="22"/>
              </w:rPr>
              <w:t>I</w:t>
            </w:r>
            <w:r>
              <w:rPr>
                <w:color w:val="1F2023"/>
                <w:spacing w:val="-1"/>
                <w:sz w:val="22"/>
              </w:rPr>
              <w:t> </w:t>
            </w:r>
            <w:r>
              <w:rPr>
                <w:color w:val="1F2023"/>
                <w:sz w:val="22"/>
              </w:rPr>
              <w:t>have</w:t>
            </w:r>
            <w:r>
              <w:rPr>
                <w:color w:val="1F2023"/>
                <w:spacing w:val="-2"/>
                <w:sz w:val="22"/>
              </w:rPr>
              <w:t> </w:t>
            </w:r>
            <w:r>
              <w:rPr>
                <w:color w:val="1F2023"/>
                <w:sz w:val="22"/>
              </w:rPr>
              <w:t>opportunities</w:t>
            </w:r>
            <w:r>
              <w:rPr>
                <w:color w:val="1F2023"/>
                <w:spacing w:val="-2"/>
                <w:sz w:val="22"/>
              </w:rPr>
              <w:t> </w:t>
            </w:r>
            <w:r>
              <w:rPr>
                <w:color w:val="1F2023"/>
                <w:sz w:val="22"/>
              </w:rPr>
              <w:t>to</w:t>
            </w:r>
            <w:r>
              <w:rPr>
                <w:color w:val="1F2023"/>
                <w:spacing w:val="-5"/>
                <w:sz w:val="22"/>
              </w:rPr>
              <w:t> </w:t>
            </w:r>
            <w:r>
              <w:rPr>
                <w:color w:val="1F2023"/>
                <w:sz w:val="22"/>
              </w:rPr>
              <w:t>work</w:t>
            </w:r>
            <w:r>
              <w:rPr>
                <w:color w:val="1F2023"/>
                <w:spacing w:val="-1"/>
                <w:sz w:val="22"/>
              </w:rPr>
              <w:t> </w:t>
            </w:r>
            <w:r>
              <w:rPr>
                <w:color w:val="1F2023"/>
                <w:sz w:val="22"/>
              </w:rPr>
              <w:t>with</w:t>
            </w:r>
            <w:r>
              <w:rPr>
                <w:color w:val="1F2023"/>
                <w:spacing w:val="-1"/>
                <w:sz w:val="22"/>
              </w:rPr>
              <w:t> </w:t>
            </w:r>
            <w:r>
              <w:rPr>
                <w:color w:val="1F2023"/>
                <w:sz w:val="22"/>
              </w:rPr>
              <w:t>others in</w:t>
            </w:r>
            <w:r>
              <w:rPr>
                <w:color w:val="1F2023"/>
                <w:spacing w:val="-3"/>
                <w:sz w:val="22"/>
              </w:rPr>
              <w:t> </w:t>
            </w:r>
            <w:r>
              <w:rPr>
                <w:color w:val="1F2023"/>
                <w:spacing w:val="-2"/>
                <w:sz w:val="22"/>
              </w:rPr>
              <w:t>groups.</w:t>
            </w:r>
          </w:p>
        </w:tc>
        <w:tc>
          <w:tcPr>
            <w:tcW w:w="827" w:type="dxa"/>
          </w:tcPr>
          <w:p>
            <w:pPr>
              <w:pStyle w:val="TableParagraph"/>
              <w:spacing w:line="249" w:lineRule="exact" w:before="1"/>
              <w:ind w:right="105"/>
              <w:jc w:val="right"/>
              <w:rPr>
                <w:sz w:val="22"/>
              </w:rPr>
            </w:pPr>
            <w:r>
              <w:rPr>
                <w:color w:val="000104"/>
                <w:spacing w:val="-4"/>
                <w:sz w:val="22"/>
              </w:rPr>
              <w:t>4.13</w:t>
            </w:r>
          </w:p>
        </w:tc>
        <w:tc>
          <w:tcPr>
            <w:tcW w:w="1643" w:type="dxa"/>
          </w:tcPr>
          <w:p>
            <w:pPr>
              <w:pStyle w:val="TableParagraph"/>
              <w:spacing w:line="249" w:lineRule="exact" w:before="1"/>
              <w:ind w:left="108"/>
              <w:rPr>
                <w:sz w:val="22"/>
              </w:rPr>
            </w:pPr>
            <w:r>
              <w:rPr>
                <w:spacing w:val="-2"/>
                <w:sz w:val="22"/>
              </w:rPr>
              <w:t>Satisfied</w:t>
            </w:r>
          </w:p>
        </w:tc>
        <w:tc>
          <w:tcPr>
            <w:tcW w:w="916" w:type="dxa"/>
          </w:tcPr>
          <w:p>
            <w:pPr>
              <w:pStyle w:val="TableParagraph"/>
              <w:spacing w:line="249" w:lineRule="exact" w:before="1"/>
              <w:ind w:right="181"/>
              <w:jc w:val="right"/>
              <w:rPr>
                <w:sz w:val="22"/>
              </w:rPr>
            </w:pPr>
            <w:r>
              <w:rPr>
                <w:spacing w:val="-10"/>
                <w:sz w:val="22"/>
              </w:rPr>
              <w:t>1</w:t>
            </w:r>
          </w:p>
        </w:tc>
      </w:tr>
      <w:tr>
        <w:trPr>
          <w:trHeight w:val="269" w:hRule="atLeast"/>
        </w:trPr>
        <w:tc>
          <w:tcPr>
            <w:tcW w:w="6036" w:type="dxa"/>
          </w:tcPr>
          <w:p>
            <w:pPr>
              <w:pStyle w:val="TableParagraph"/>
              <w:numPr>
                <w:ilvl w:val="0"/>
                <w:numId w:val="12"/>
              </w:numPr>
              <w:tabs>
                <w:tab w:pos="858" w:val="left" w:leader="none"/>
              </w:tabs>
              <w:spacing w:line="249" w:lineRule="exact" w:before="0" w:after="0"/>
              <w:ind w:left="858" w:right="0" w:hanging="360"/>
              <w:jc w:val="left"/>
              <w:rPr>
                <w:sz w:val="22"/>
              </w:rPr>
            </w:pPr>
            <w:r>
              <w:rPr>
                <w:color w:val="1F2023"/>
                <w:sz w:val="22"/>
              </w:rPr>
              <w:t>I have</w:t>
            </w:r>
            <w:r>
              <w:rPr>
                <w:color w:val="1F2023"/>
                <w:spacing w:val="-1"/>
                <w:sz w:val="22"/>
              </w:rPr>
              <w:t> </w:t>
            </w:r>
            <w:r>
              <w:rPr>
                <w:color w:val="1F2023"/>
                <w:sz w:val="22"/>
              </w:rPr>
              <w:t>supportive</w:t>
            </w:r>
            <w:r>
              <w:rPr>
                <w:color w:val="1F2023"/>
                <w:spacing w:val="-1"/>
                <w:sz w:val="22"/>
              </w:rPr>
              <w:t> </w:t>
            </w:r>
            <w:r>
              <w:rPr>
                <w:color w:val="1F2023"/>
                <w:sz w:val="22"/>
              </w:rPr>
              <w:t>and</w:t>
            </w:r>
            <w:r>
              <w:rPr>
                <w:color w:val="1F2023"/>
                <w:spacing w:val="-1"/>
                <w:sz w:val="22"/>
              </w:rPr>
              <w:t> </w:t>
            </w:r>
            <w:r>
              <w:rPr>
                <w:color w:val="1F2023"/>
                <w:sz w:val="22"/>
              </w:rPr>
              <w:t>friendly</w:t>
            </w:r>
            <w:r>
              <w:rPr>
                <w:color w:val="1F2023"/>
                <w:spacing w:val="-4"/>
                <w:sz w:val="22"/>
              </w:rPr>
              <w:t> </w:t>
            </w:r>
            <w:r>
              <w:rPr>
                <w:color w:val="1F2023"/>
                <w:spacing w:val="-2"/>
                <w:sz w:val="22"/>
              </w:rPr>
              <w:t>classmates.</w:t>
            </w:r>
          </w:p>
        </w:tc>
        <w:tc>
          <w:tcPr>
            <w:tcW w:w="827" w:type="dxa"/>
          </w:tcPr>
          <w:p>
            <w:pPr>
              <w:pStyle w:val="TableParagraph"/>
              <w:spacing w:line="249" w:lineRule="exact"/>
              <w:ind w:right="105"/>
              <w:jc w:val="right"/>
              <w:rPr>
                <w:sz w:val="22"/>
              </w:rPr>
            </w:pPr>
            <w:r>
              <w:rPr>
                <w:color w:val="000104"/>
                <w:spacing w:val="-4"/>
                <w:sz w:val="22"/>
              </w:rPr>
              <w:t>4.06</w:t>
            </w:r>
          </w:p>
        </w:tc>
        <w:tc>
          <w:tcPr>
            <w:tcW w:w="1643" w:type="dxa"/>
          </w:tcPr>
          <w:p>
            <w:pPr>
              <w:pStyle w:val="TableParagraph"/>
              <w:spacing w:line="249" w:lineRule="exact"/>
              <w:ind w:left="108"/>
              <w:rPr>
                <w:sz w:val="22"/>
              </w:rPr>
            </w:pPr>
            <w:r>
              <w:rPr>
                <w:spacing w:val="-2"/>
                <w:sz w:val="22"/>
              </w:rPr>
              <w:t>Satisfied</w:t>
            </w:r>
          </w:p>
        </w:tc>
        <w:tc>
          <w:tcPr>
            <w:tcW w:w="916" w:type="dxa"/>
          </w:tcPr>
          <w:p>
            <w:pPr>
              <w:pStyle w:val="TableParagraph"/>
              <w:spacing w:line="249" w:lineRule="exact"/>
              <w:ind w:right="181"/>
              <w:jc w:val="right"/>
              <w:rPr>
                <w:sz w:val="22"/>
              </w:rPr>
            </w:pPr>
            <w:r>
              <w:rPr>
                <w:spacing w:val="-10"/>
                <w:sz w:val="22"/>
              </w:rPr>
              <w:t>2</w:t>
            </w:r>
          </w:p>
        </w:tc>
      </w:tr>
      <w:tr>
        <w:trPr>
          <w:trHeight w:val="268" w:hRule="atLeast"/>
        </w:trPr>
        <w:tc>
          <w:tcPr>
            <w:tcW w:w="6036" w:type="dxa"/>
          </w:tcPr>
          <w:p>
            <w:pPr>
              <w:pStyle w:val="TableParagraph"/>
              <w:numPr>
                <w:ilvl w:val="0"/>
                <w:numId w:val="13"/>
              </w:numPr>
              <w:tabs>
                <w:tab w:pos="858" w:val="left" w:leader="none"/>
              </w:tabs>
              <w:spacing w:line="248" w:lineRule="exact" w:before="0" w:after="0"/>
              <w:ind w:left="858" w:right="0" w:hanging="360"/>
              <w:jc w:val="left"/>
              <w:rPr>
                <w:sz w:val="22"/>
              </w:rPr>
            </w:pPr>
            <w:r>
              <w:rPr>
                <w:color w:val="1F2023"/>
                <w:sz w:val="22"/>
              </w:rPr>
              <w:t>My</w:t>
            </w:r>
            <w:r>
              <w:rPr>
                <w:color w:val="1F2023"/>
                <w:spacing w:val="-8"/>
                <w:sz w:val="22"/>
              </w:rPr>
              <w:t> </w:t>
            </w:r>
            <w:r>
              <w:rPr>
                <w:color w:val="1F2023"/>
                <w:sz w:val="22"/>
              </w:rPr>
              <w:t>classroom</w:t>
            </w:r>
            <w:r>
              <w:rPr>
                <w:color w:val="1F2023"/>
                <w:spacing w:val="-4"/>
                <w:sz w:val="22"/>
              </w:rPr>
              <w:t> </w:t>
            </w:r>
            <w:r>
              <w:rPr>
                <w:color w:val="1F2023"/>
                <w:sz w:val="22"/>
              </w:rPr>
              <w:t>atmosphere</w:t>
            </w:r>
            <w:r>
              <w:rPr>
                <w:color w:val="1F2023"/>
                <w:spacing w:val="2"/>
                <w:sz w:val="22"/>
              </w:rPr>
              <w:t> </w:t>
            </w:r>
            <w:r>
              <w:rPr>
                <w:color w:val="1F2023"/>
                <w:sz w:val="22"/>
              </w:rPr>
              <w:t>supports </w:t>
            </w:r>
            <w:r>
              <w:rPr>
                <w:color w:val="1F2023"/>
                <w:spacing w:val="-2"/>
                <w:sz w:val="22"/>
              </w:rPr>
              <w:t>learning.</w:t>
            </w:r>
          </w:p>
        </w:tc>
        <w:tc>
          <w:tcPr>
            <w:tcW w:w="827" w:type="dxa"/>
          </w:tcPr>
          <w:p>
            <w:pPr>
              <w:pStyle w:val="TableParagraph"/>
              <w:spacing w:line="249" w:lineRule="exact"/>
              <w:ind w:right="105"/>
              <w:jc w:val="right"/>
              <w:rPr>
                <w:sz w:val="22"/>
              </w:rPr>
            </w:pPr>
            <w:r>
              <w:rPr>
                <w:color w:val="000104"/>
                <w:spacing w:val="-4"/>
                <w:sz w:val="22"/>
              </w:rPr>
              <w:t>4.04</w:t>
            </w:r>
          </w:p>
        </w:tc>
        <w:tc>
          <w:tcPr>
            <w:tcW w:w="1643" w:type="dxa"/>
          </w:tcPr>
          <w:p>
            <w:pPr>
              <w:pStyle w:val="TableParagraph"/>
              <w:spacing w:line="249" w:lineRule="exact"/>
              <w:ind w:left="108"/>
              <w:rPr>
                <w:sz w:val="22"/>
              </w:rPr>
            </w:pPr>
            <w:r>
              <w:rPr>
                <w:spacing w:val="-2"/>
                <w:sz w:val="22"/>
              </w:rPr>
              <w:t>Satisfied</w:t>
            </w:r>
          </w:p>
        </w:tc>
        <w:tc>
          <w:tcPr>
            <w:tcW w:w="916" w:type="dxa"/>
          </w:tcPr>
          <w:p>
            <w:pPr>
              <w:pStyle w:val="TableParagraph"/>
              <w:spacing w:line="249" w:lineRule="exact"/>
              <w:ind w:right="181"/>
              <w:jc w:val="right"/>
              <w:rPr>
                <w:sz w:val="22"/>
              </w:rPr>
            </w:pPr>
            <w:r>
              <w:rPr>
                <w:spacing w:val="-10"/>
                <w:sz w:val="22"/>
              </w:rPr>
              <w:t>3</w:t>
            </w:r>
          </w:p>
        </w:tc>
      </w:tr>
      <w:tr>
        <w:trPr>
          <w:trHeight w:val="521" w:hRule="atLeast"/>
        </w:trPr>
        <w:tc>
          <w:tcPr>
            <w:tcW w:w="6036" w:type="dxa"/>
          </w:tcPr>
          <w:p>
            <w:pPr>
              <w:pStyle w:val="TableParagraph"/>
              <w:numPr>
                <w:ilvl w:val="0"/>
                <w:numId w:val="14"/>
              </w:numPr>
              <w:tabs>
                <w:tab w:pos="858" w:val="left" w:leader="none"/>
                <w:tab w:pos="1135" w:val="left" w:leader="none"/>
                <w:tab w:pos="1668" w:val="left" w:leader="none"/>
                <w:tab w:pos="2931" w:val="left" w:leader="none"/>
                <w:tab w:pos="3453" w:val="left" w:leader="none"/>
                <w:tab w:pos="4412" w:val="left" w:leader="none"/>
                <w:tab w:pos="4787" w:val="left" w:leader="none"/>
              </w:tabs>
              <w:spacing w:line="252" w:lineRule="exact" w:before="0" w:after="0"/>
              <w:ind w:left="858" w:right="191" w:hanging="360"/>
              <w:jc w:val="left"/>
              <w:rPr>
                <w:sz w:val="22"/>
              </w:rPr>
            </w:pPr>
            <w:r>
              <w:rPr>
                <w:color w:val="1F2023"/>
                <w:spacing w:val="-10"/>
                <w:sz w:val="22"/>
              </w:rPr>
              <w:t>I</w:t>
            </w:r>
            <w:r>
              <w:rPr>
                <w:color w:val="1F2023"/>
                <w:sz w:val="22"/>
              </w:rPr>
              <w:tab/>
            </w:r>
            <w:r>
              <w:rPr>
                <w:color w:val="1F2023"/>
                <w:spacing w:val="-4"/>
                <w:sz w:val="22"/>
              </w:rPr>
              <w:t>feel</w:t>
            </w:r>
            <w:r>
              <w:rPr>
                <w:color w:val="1F2023"/>
                <w:sz w:val="22"/>
              </w:rPr>
              <w:tab/>
            </w:r>
            <w:r>
              <w:rPr>
                <w:color w:val="1F2023"/>
                <w:spacing w:val="-2"/>
                <w:sz w:val="22"/>
              </w:rPr>
              <w:t>comfortable</w:t>
            </w:r>
            <w:r>
              <w:rPr>
                <w:color w:val="1F2023"/>
                <w:sz w:val="22"/>
              </w:rPr>
              <w:tab/>
            </w:r>
            <w:r>
              <w:rPr>
                <w:color w:val="1F2023"/>
                <w:spacing w:val="-4"/>
                <w:sz w:val="22"/>
              </w:rPr>
              <w:t>and</w:t>
            </w:r>
            <w:r>
              <w:rPr>
                <w:color w:val="1F2023"/>
                <w:sz w:val="22"/>
              </w:rPr>
              <w:tab/>
            </w:r>
            <w:r>
              <w:rPr>
                <w:color w:val="1F2023"/>
                <w:spacing w:val="-2"/>
                <w:sz w:val="22"/>
              </w:rPr>
              <w:t>included</w:t>
            </w:r>
            <w:r>
              <w:rPr>
                <w:color w:val="1F2023"/>
                <w:sz w:val="22"/>
              </w:rPr>
              <w:tab/>
            </w:r>
            <w:r>
              <w:rPr>
                <w:color w:val="1F2023"/>
                <w:spacing w:val="-6"/>
                <w:sz w:val="22"/>
              </w:rPr>
              <w:t>in</w:t>
            </w:r>
            <w:r>
              <w:rPr>
                <w:color w:val="1F2023"/>
                <w:sz w:val="22"/>
              </w:rPr>
              <w:tab/>
              <w:t>my</w:t>
            </w:r>
            <w:r>
              <w:rPr>
                <w:color w:val="1F2023"/>
                <w:spacing w:val="80"/>
                <w:sz w:val="22"/>
              </w:rPr>
              <w:t> </w:t>
            </w:r>
            <w:r>
              <w:rPr>
                <w:color w:val="1F2023"/>
                <w:sz w:val="22"/>
              </w:rPr>
              <w:t>school </w:t>
            </w:r>
            <w:r>
              <w:rPr>
                <w:color w:val="1F2023"/>
                <w:spacing w:val="-2"/>
                <w:sz w:val="22"/>
              </w:rPr>
              <w:t>environment.</w:t>
            </w:r>
          </w:p>
        </w:tc>
        <w:tc>
          <w:tcPr>
            <w:tcW w:w="827" w:type="dxa"/>
          </w:tcPr>
          <w:p>
            <w:pPr>
              <w:pStyle w:val="TableParagraph"/>
              <w:spacing w:line="252" w:lineRule="exact"/>
              <w:ind w:right="105"/>
              <w:jc w:val="right"/>
              <w:rPr>
                <w:sz w:val="22"/>
              </w:rPr>
            </w:pPr>
            <w:r>
              <w:rPr>
                <w:color w:val="000104"/>
                <w:spacing w:val="-4"/>
                <w:sz w:val="22"/>
              </w:rPr>
              <w:t>4.00</w:t>
            </w:r>
          </w:p>
        </w:tc>
        <w:tc>
          <w:tcPr>
            <w:tcW w:w="1643" w:type="dxa"/>
          </w:tcPr>
          <w:p>
            <w:pPr>
              <w:pStyle w:val="TableParagraph"/>
              <w:spacing w:line="252" w:lineRule="exact"/>
              <w:ind w:left="108"/>
              <w:rPr>
                <w:sz w:val="22"/>
              </w:rPr>
            </w:pPr>
            <w:r>
              <w:rPr>
                <w:spacing w:val="-2"/>
                <w:sz w:val="22"/>
              </w:rPr>
              <w:t>Satisfied</w:t>
            </w:r>
          </w:p>
        </w:tc>
        <w:tc>
          <w:tcPr>
            <w:tcW w:w="916" w:type="dxa"/>
          </w:tcPr>
          <w:p>
            <w:pPr>
              <w:pStyle w:val="TableParagraph"/>
              <w:spacing w:line="252" w:lineRule="exact"/>
              <w:ind w:right="181"/>
              <w:jc w:val="right"/>
              <w:rPr>
                <w:sz w:val="22"/>
              </w:rPr>
            </w:pPr>
            <w:r>
              <w:rPr>
                <w:spacing w:val="-10"/>
                <w:sz w:val="22"/>
              </w:rPr>
              <w:t>4</w:t>
            </w:r>
          </w:p>
        </w:tc>
      </w:tr>
      <w:tr>
        <w:trPr>
          <w:trHeight w:val="529" w:hRule="atLeast"/>
        </w:trPr>
        <w:tc>
          <w:tcPr>
            <w:tcW w:w="6036" w:type="dxa"/>
          </w:tcPr>
          <w:p>
            <w:pPr>
              <w:pStyle w:val="TableParagraph"/>
              <w:numPr>
                <w:ilvl w:val="0"/>
                <w:numId w:val="15"/>
              </w:numPr>
              <w:tabs>
                <w:tab w:pos="858" w:val="left" w:leader="none"/>
              </w:tabs>
              <w:spacing w:line="252" w:lineRule="exact" w:before="5" w:after="0"/>
              <w:ind w:left="858" w:right="187" w:hanging="360"/>
              <w:jc w:val="left"/>
              <w:rPr>
                <w:sz w:val="22"/>
              </w:rPr>
            </w:pPr>
            <w:r>
              <w:rPr>
                <w:color w:val="1F2023"/>
                <w:sz w:val="22"/>
              </w:rPr>
              <w:t>The</w:t>
            </w:r>
            <w:r>
              <w:rPr>
                <w:color w:val="1F2023"/>
                <w:spacing w:val="80"/>
                <w:w w:val="150"/>
                <w:sz w:val="22"/>
              </w:rPr>
              <w:t> </w:t>
            </w:r>
            <w:r>
              <w:rPr>
                <w:color w:val="1F2023"/>
                <w:sz w:val="22"/>
              </w:rPr>
              <w:t>school</w:t>
            </w:r>
            <w:r>
              <w:rPr>
                <w:color w:val="1F2023"/>
                <w:spacing w:val="80"/>
                <w:w w:val="150"/>
                <w:sz w:val="22"/>
              </w:rPr>
              <w:t> </w:t>
            </w:r>
            <w:r>
              <w:rPr>
                <w:color w:val="1F2023"/>
                <w:sz w:val="22"/>
              </w:rPr>
              <w:t>protects</w:t>
            </w:r>
            <w:r>
              <w:rPr>
                <w:color w:val="1F2023"/>
                <w:spacing w:val="80"/>
                <w:w w:val="150"/>
                <w:sz w:val="22"/>
              </w:rPr>
              <w:t> </w:t>
            </w:r>
            <w:r>
              <w:rPr>
                <w:color w:val="1F2023"/>
                <w:sz w:val="22"/>
              </w:rPr>
              <w:t>students</w:t>
            </w:r>
            <w:r>
              <w:rPr>
                <w:color w:val="1F2023"/>
                <w:spacing w:val="80"/>
                <w:w w:val="150"/>
                <w:sz w:val="22"/>
              </w:rPr>
              <w:t> </w:t>
            </w:r>
            <w:r>
              <w:rPr>
                <w:color w:val="1F2023"/>
                <w:sz w:val="22"/>
              </w:rPr>
              <w:t>from</w:t>
            </w:r>
            <w:r>
              <w:rPr>
                <w:color w:val="1F2023"/>
                <w:spacing w:val="80"/>
                <w:w w:val="150"/>
                <w:sz w:val="22"/>
              </w:rPr>
              <w:t> </w:t>
            </w:r>
            <w:r>
              <w:rPr>
                <w:color w:val="1F2023"/>
                <w:sz w:val="22"/>
              </w:rPr>
              <w:t>bullying</w:t>
            </w:r>
            <w:r>
              <w:rPr>
                <w:color w:val="1F2023"/>
                <w:spacing w:val="80"/>
                <w:w w:val="150"/>
                <w:sz w:val="22"/>
              </w:rPr>
              <w:t> </w:t>
            </w:r>
            <w:r>
              <w:rPr>
                <w:color w:val="1F2023"/>
                <w:sz w:val="22"/>
              </w:rPr>
              <w:t>and </w:t>
            </w:r>
            <w:r>
              <w:rPr>
                <w:color w:val="1F2023"/>
                <w:spacing w:val="-2"/>
                <w:sz w:val="22"/>
              </w:rPr>
              <w:t>discrimination.</w:t>
            </w:r>
          </w:p>
        </w:tc>
        <w:tc>
          <w:tcPr>
            <w:tcW w:w="827" w:type="dxa"/>
          </w:tcPr>
          <w:p>
            <w:pPr>
              <w:pStyle w:val="TableParagraph"/>
              <w:ind w:right="105"/>
              <w:jc w:val="right"/>
              <w:rPr>
                <w:sz w:val="22"/>
              </w:rPr>
            </w:pPr>
            <w:r>
              <w:rPr>
                <w:color w:val="000104"/>
                <w:spacing w:val="-4"/>
                <w:sz w:val="22"/>
              </w:rPr>
              <w:t>3.94</w:t>
            </w:r>
          </w:p>
        </w:tc>
        <w:tc>
          <w:tcPr>
            <w:tcW w:w="1643" w:type="dxa"/>
          </w:tcPr>
          <w:p>
            <w:pPr>
              <w:pStyle w:val="TableParagraph"/>
              <w:ind w:left="108"/>
              <w:rPr>
                <w:sz w:val="22"/>
              </w:rPr>
            </w:pPr>
            <w:r>
              <w:rPr>
                <w:spacing w:val="-2"/>
                <w:sz w:val="22"/>
              </w:rPr>
              <w:t>Satisfied</w:t>
            </w:r>
          </w:p>
        </w:tc>
        <w:tc>
          <w:tcPr>
            <w:tcW w:w="916" w:type="dxa"/>
          </w:tcPr>
          <w:p>
            <w:pPr>
              <w:pStyle w:val="TableParagraph"/>
              <w:ind w:right="181"/>
              <w:jc w:val="right"/>
              <w:rPr>
                <w:sz w:val="22"/>
              </w:rPr>
            </w:pPr>
            <w:r>
              <w:rPr>
                <w:spacing w:val="-10"/>
                <w:sz w:val="22"/>
              </w:rPr>
              <w:t>5</w:t>
            </w:r>
          </w:p>
        </w:tc>
      </w:tr>
      <w:tr>
        <w:trPr>
          <w:trHeight w:val="260" w:hRule="atLeast"/>
        </w:trPr>
        <w:tc>
          <w:tcPr>
            <w:tcW w:w="6036" w:type="dxa"/>
          </w:tcPr>
          <w:p>
            <w:pPr>
              <w:pStyle w:val="TableParagraph"/>
              <w:spacing w:line="240" w:lineRule="exact"/>
              <w:ind w:right="181"/>
              <w:jc w:val="right"/>
              <w:rPr>
                <w:b/>
                <w:sz w:val="22"/>
              </w:rPr>
            </w:pPr>
            <w:r>
              <w:rPr>
                <w:b/>
                <w:color w:val="1F2023"/>
                <w:sz w:val="22"/>
              </w:rPr>
              <w:t>Aggregate</w:t>
            </w:r>
            <w:r>
              <w:rPr>
                <w:b/>
                <w:color w:val="1F2023"/>
                <w:spacing w:val="1"/>
                <w:sz w:val="22"/>
              </w:rPr>
              <w:t> </w:t>
            </w:r>
            <w:r>
              <w:rPr>
                <w:b/>
                <w:color w:val="1F2023"/>
                <w:spacing w:val="-4"/>
                <w:sz w:val="22"/>
              </w:rPr>
              <w:t>Mean</w:t>
            </w:r>
          </w:p>
        </w:tc>
        <w:tc>
          <w:tcPr>
            <w:tcW w:w="827" w:type="dxa"/>
          </w:tcPr>
          <w:p>
            <w:pPr>
              <w:pStyle w:val="TableParagraph"/>
              <w:spacing w:line="240" w:lineRule="exact"/>
              <w:ind w:right="105"/>
              <w:jc w:val="right"/>
              <w:rPr>
                <w:b/>
                <w:sz w:val="22"/>
              </w:rPr>
            </w:pPr>
            <w:r>
              <w:rPr>
                <w:b/>
                <w:color w:val="000104"/>
                <w:spacing w:val="-4"/>
                <w:sz w:val="22"/>
              </w:rPr>
              <w:t>4.03</w:t>
            </w:r>
          </w:p>
        </w:tc>
        <w:tc>
          <w:tcPr>
            <w:tcW w:w="1643" w:type="dxa"/>
          </w:tcPr>
          <w:p>
            <w:pPr>
              <w:pStyle w:val="TableParagraph"/>
              <w:spacing w:line="240" w:lineRule="exact"/>
              <w:ind w:left="108"/>
              <w:rPr>
                <w:b/>
                <w:sz w:val="22"/>
              </w:rPr>
            </w:pPr>
            <w:r>
              <w:rPr>
                <w:b/>
                <w:spacing w:val="-2"/>
                <w:sz w:val="22"/>
              </w:rPr>
              <w:t>Satisfied</w:t>
            </w:r>
          </w:p>
        </w:tc>
        <w:tc>
          <w:tcPr>
            <w:tcW w:w="916" w:type="dxa"/>
          </w:tcPr>
          <w:p>
            <w:pPr>
              <w:pStyle w:val="TableParagraph"/>
              <w:rPr>
                <w:sz w:val="18"/>
              </w:rPr>
            </w:pPr>
          </w:p>
        </w:tc>
      </w:tr>
      <w:tr>
        <w:trPr>
          <w:trHeight w:val="249" w:hRule="atLeast"/>
        </w:trPr>
        <w:tc>
          <w:tcPr>
            <w:tcW w:w="6036" w:type="dxa"/>
          </w:tcPr>
          <w:p>
            <w:pPr>
              <w:pStyle w:val="TableParagraph"/>
              <w:spacing w:line="229" w:lineRule="exact"/>
              <w:ind w:left="138"/>
              <w:rPr>
                <w:b/>
                <w:sz w:val="22"/>
              </w:rPr>
            </w:pPr>
            <w:r>
              <w:rPr>
                <w:b/>
                <w:sz w:val="22"/>
              </w:rPr>
              <w:t>D.</w:t>
            </w:r>
            <w:r>
              <w:rPr>
                <w:b/>
                <w:spacing w:val="-2"/>
                <w:sz w:val="22"/>
              </w:rPr>
              <w:t> </w:t>
            </w:r>
            <w:r>
              <w:rPr>
                <w:b/>
                <w:sz w:val="22"/>
              </w:rPr>
              <w:t>School</w:t>
            </w:r>
            <w:r>
              <w:rPr>
                <w:b/>
                <w:spacing w:val="-2"/>
                <w:sz w:val="22"/>
              </w:rPr>
              <w:t> </w:t>
            </w:r>
            <w:r>
              <w:rPr>
                <w:b/>
                <w:sz w:val="22"/>
              </w:rPr>
              <w:t>Facilities</w:t>
            </w:r>
            <w:r>
              <w:rPr>
                <w:b/>
                <w:spacing w:val="-1"/>
                <w:sz w:val="22"/>
              </w:rPr>
              <w:t> </w:t>
            </w:r>
            <w:r>
              <w:rPr>
                <w:b/>
                <w:sz w:val="22"/>
              </w:rPr>
              <w:t>and</w:t>
            </w:r>
            <w:r>
              <w:rPr>
                <w:b/>
                <w:spacing w:val="-2"/>
                <w:sz w:val="22"/>
              </w:rPr>
              <w:t> Resources</w:t>
            </w:r>
          </w:p>
        </w:tc>
        <w:tc>
          <w:tcPr>
            <w:tcW w:w="827" w:type="dxa"/>
          </w:tcPr>
          <w:p>
            <w:pPr>
              <w:pStyle w:val="TableParagraph"/>
              <w:rPr>
                <w:sz w:val="18"/>
              </w:rPr>
            </w:pPr>
          </w:p>
        </w:tc>
        <w:tc>
          <w:tcPr>
            <w:tcW w:w="1643" w:type="dxa"/>
          </w:tcPr>
          <w:p>
            <w:pPr>
              <w:pStyle w:val="TableParagraph"/>
              <w:rPr>
                <w:sz w:val="18"/>
              </w:rPr>
            </w:pPr>
          </w:p>
        </w:tc>
        <w:tc>
          <w:tcPr>
            <w:tcW w:w="916" w:type="dxa"/>
          </w:tcPr>
          <w:p>
            <w:pPr>
              <w:pStyle w:val="TableParagraph"/>
              <w:rPr>
                <w:sz w:val="18"/>
              </w:rPr>
            </w:pPr>
          </w:p>
        </w:tc>
      </w:tr>
      <w:tr>
        <w:trPr>
          <w:trHeight w:val="519" w:hRule="atLeast"/>
        </w:trPr>
        <w:tc>
          <w:tcPr>
            <w:tcW w:w="6036" w:type="dxa"/>
          </w:tcPr>
          <w:p>
            <w:pPr>
              <w:pStyle w:val="TableParagraph"/>
              <w:numPr>
                <w:ilvl w:val="0"/>
                <w:numId w:val="16"/>
              </w:numPr>
              <w:tabs>
                <w:tab w:pos="858" w:val="left" w:leader="none"/>
              </w:tabs>
              <w:spacing w:line="252" w:lineRule="exact" w:before="0" w:after="0"/>
              <w:ind w:left="858" w:right="187" w:hanging="360"/>
              <w:jc w:val="left"/>
              <w:rPr>
                <w:sz w:val="22"/>
              </w:rPr>
            </w:pPr>
            <w:r>
              <w:rPr>
                <w:color w:val="1F2023"/>
                <w:sz w:val="22"/>
              </w:rPr>
              <w:t>The</w:t>
            </w:r>
            <w:r>
              <w:rPr>
                <w:color w:val="1F2023"/>
                <w:spacing w:val="26"/>
                <w:sz w:val="22"/>
              </w:rPr>
              <w:t> </w:t>
            </w:r>
            <w:r>
              <w:rPr>
                <w:color w:val="1F2023"/>
                <w:sz w:val="22"/>
              </w:rPr>
              <w:t>library,</w:t>
            </w:r>
            <w:r>
              <w:rPr>
                <w:color w:val="1F2023"/>
                <w:spacing w:val="27"/>
                <w:sz w:val="22"/>
              </w:rPr>
              <w:t> </w:t>
            </w:r>
            <w:r>
              <w:rPr>
                <w:color w:val="1F2023"/>
                <w:sz w:val="22"/>
              </w:rPr>
              <w:t>laboratories,</w:t>
            </w:r>
            <w:r>
              <w:rPr>
                <w:color w:val="1F2023"/>
                <w:spacing w:val="25"/>
                <w:sz w:val="22"/>
              </w:rPr>
              <w:t> </w:t>
            </w:r>
            <w:r>
              <w:rPr>
                <w:color w:val="1F2023"/>
                <w:sz w:val="22"/>
              </w:rPr>
              <w:t>and</w:t>
            </w:r>
            <w:r>
              <w:rPr>
                <w:color w:val="1F2023"/>
                <w:spacing w:val="25"/>
                <w:sz w:val="22"/>
              </w:rPr>
              <w:t> </w:t>
            </w:r>
            <w:r>
              <w:rPr>
                <w:color w:val="1F2023"/>
                <w:sz w:val="22"/>
              </w:rPr>
              <w:t>technology resources</w:t>
            </w:r>
            <w:r>
              <w:rPr>
                <w:color w:val="1F2023"/>
                <w:spacing w:val="25"/>
                <w:sz w:val="22"/>
              </w:rPr>
              <w:t> </w:t>
            </w:r>
            <w:r>
              <w:rPr>
                <w:color w:val="1F2023"/>
                <w:sz w:val="22"/>
              </w:rPr>
              <w:t>are </w:t>
            </w:r>
            <w:r>
              <w:rPr>
                <w:color w:val="1F2023"/>
                <w:spacing w:val="-2"/>
                <w:sz w:val="22"/>
              </w:rPr>
              <w:t>accessible.</w:t>
            </w:r>
          </w:p>
        </w:tc>
        <w:tc>
          <w:tcPr>
            <w:tcW w:w="827" w:type="dxa"/>
          </w:tcPr>
          <w:p>
            <w:pPr>
              <w:pStyle w:val="TableParagraph"/>
              <w:spacing w:line="250" w:lineRule="exact"/>
              <w:ind w:right="105"/>
              <w:jc w:val="right"/>
              <w:rPr>
                <w:sz w:val="22"/>
              </w:rPr>
            </w:pPr>
            <w:r>
              <w:rPr>
                <w:color w:val="000104"/>
                <w:spacing w:val="-4"/>
                <w:sz w:val="22"/>
              </w:rPr>
              <w:t>4.35</w:t>
            </w:r>
          </w:p>
        </w:tc>
        <w:tc>
          <w:tcPr>
            <w:tcW w:w="1643" w:type="dxa"/>
          </w:tcPr>
          <w:p>
            <w:pPr>
              <w:pStyle w:val="TableParagraph"/>
              <w:spacing w:line="250" w:lineRule="exact"/>
              <w:ind w:left="108"/>
              <w:rPr>
                <w:sz w:val="22"/>
              </w:rPr>
            </w:pPr>
            <w:r>
              <w:rPr>
                <w:sz w:val="22"/>
              </w:rPr>
              <w:t>Very</w:t>
            </w:r>
            <w:r>
              <w:rPr>
                <w:spacing w:val="-5"/>
                <w:sz w:val="22"/>
              </w:rPr>
              <w:t> </w:t>
            </w:r>
            <w:r>
              <w:rPr>
                <w:spacing w:val="-2"/>
                <w:sz w:val="22"/>
              </w:rPr>
              <w:t>Satisfied</w:t>
            </w:r>
          </w:p>
        </w:tc>
        <w:tc>
          <w:tcPr>
            <w:tcW w:w="916" w:type="dxa"/>
          </w:tcPr>
          <w:p>
            <w:pPr>
              <w:pStyle w:val="TableParagraph"/>
              <w:spacing w:line="250" w:lineRule="exact"/>
              <w:ind w:right="181"/>
              <w:jc w:val="right"/>
              <w:rPr>
                <w:sz w:val="22"/>
              </w:rPr>
            </w:pPr>
            <w:r>
              <w:rPr>
                <w:spacing w:val="-10"/>
                <w:sz w:val="22"/>
              </w:rPr>
              <w:t>1</w:t>
            </w:r>
          </w:p>
        </w:tc>
      </w:tr>
      <w:tr>
        <w:trPr>
          <w:trHeight w:val="521" w:hRule="atLeast"/>
        </w:trPr>
        <w:tc>
          <w:tcPr>
            <w:tcW w:w="6036" w:type="dxa"/>
          </w:tcPr>
          <w:p>
            <w:pPr>
              <w:pStyle w:val="TableParagraph"/>
              <w:numPr>
                <w:ilvl w:val="0"/>
                <w:numId w:val="17"/>
              </w:numPr>
              <w:tabs>
                <w:tab w:pos="858" w:val="left" w:leader="none"/>
              </w:tabs>
              <w:spacing w:line="252" w:lineRule="exact" w:before="0" w:after="0"/>
              <w:ind w:left="858" w:right="189" w:hanging="360"/>
              <w:jc w:val="left"/>
              <w:rPr>
                <w:sz w:val="22"/>
              </w:rPr>
            </w:pPr>
            <w:r>
              <w:rPr>
                <w:color w:val="1F2023"/>
                <w:sz w:val="22"/>
              </w:rPr>
              <w:t>The school maintains a secure and safe environment for its students.</w:t>
            </w:r>
          </w:p>
        </w:tc>
        <w:tc>
          <w:tcPr>
            <w:tcW w:w="827" w:type="dxa"/>
          </w:tcPr>
          <w:p>
            <w:pPr>
              <w:pStyle w:val="TableParagraph"/>
              <w:ind w:right="105"/>
              <w:jc w:val="right"/>
              <w:rPr>
                <w:sz w:val="22"/>
              </w:rPr>
            </w:pPr>
            <w:r>
              <w:rPr>
                <w:color w:val="000104"/>
                <w:spacing w:val="-4"/>
                <w:sz w:val="22"/>
              </w:rPr>
              <w:t>4.32</w:t>
            </w:r>
          </w:p>
        </w:tc>
        <w:tc>
          <w:tcPr>
            <w:tcW w:w="1643" w:type="dxa"/>
          </w:tcPr>
          <w:p>
            <w:pPr>
              <w:pStyle w:val="TableParagraph"/>
              <w:ind w:left="108"/>
              <w:rPr>
                <w:sz w:val="22"/>
              </w:rPr>
            </w:pPr>
            <w:r>
              <w:rPr>
                <w:spacing w:val="-2"/>
                <w:sz w:val="22"/>
              </w:rPr>
              <w:t>Satisfied</w:t>
            </w:r>
          </w:p>
        </w:tc>
        <w:tc>
          <w:tcPr>
            <w:tcW w:w="916" w:type="dxa"/>
          </w:tcPr>
          <w:p>
            <w:pPr>
              <w:pStyle w:val="TableParagraph"/>
              <w:ind w:right="181"/>
              <w:jc w:val="right"/>
              <w:rPr>
                <w:sz w:val="22"/>
              </w:rPr>
            </w:pPr>
            <w:r>
              <w:rPr>
                <w:spacing w:val="-10"/>
                <w:sz w:val="22"/>
              </w:rPr>
              <w:t>2</w:t>
            </w:r>
          </w:p>
        </w:tc>
      </w:tr>
      <w:tr>
        <w:trPr>
          <w:trHeight w:val="520" w:hRule="atLeast"/>
        </w:trPr>
        <w:tc>
          <w:tcPr>
            <w:tcW w:w="6036" w:type="dxa"/>
          </w:tcPr>
          <w:p>
            <w:pPr>
              <w:pStyle w:val="TableParagraph"/>
              <w:numPr>
                <w:ilvl w:val="0"/>
                <w:numId w:val="18"/>
              </w:numPr>
              <w:tabs>
                <w:tab w:pos="858" w:val="left" w:leader="none"/>
              </w:tabs>
              <w:spacing w:line="252" w:lineRule="exact" w:before="0" w:after="0"/>
              <w:ind w:left="858" w:right="187" w:hanging="360"/>
              <w:jc w:val="left"/>
              <w:rPr>
                <w:sz w:val="22"/>
              </w:rPr>
            </w:pPr>
            <w:r>
              <w:rPr>
                <w:color w:val="1F2023"/>
                <w:sz w:val="22"/>
              </w:rPr>
              <w:t>The</w:t>
            </w:r>
            <w:r>
              <w:rPr>
                <w:color w:val="1F2023"/>
                <w:spacing w:val="80"/>
                <w:sz w:val="22"/>
              </w:rPr>
              <w:t> </w:t>
            </w:r>
            <w:r>
              <w:rPr>
                <w:color w:val="1F2023"/>
                <w:sz w:val="22"/>
              </w:rPr>
              <w:t>school</w:t>
            </w:r>
            <w:r>
              <w:rPr>
                <w:color w:val="1F2023"/>
                <w:spacing w:val="80"/>
                <w:sz w:val="22"/>
              </w:rPr>
              <w:t> </w:t>
            </w:r>
            <w:r>
              <w:rPr>
                <w:color w:val="1F2023"/>
                <w:sz w:val="22"/>
              </w:rPr>
              <w:t>provides</w:t>
            </w:r>
            <w:r>
              <w:rPr>
                <w:color w:val="1F2023"/>
                <w:spacing w:val="80"/>
                <w:sz w:val="22"/>
              </w:rPr>
              <w:t> </w:t>
            </w:r>
            <w:r>
              <w:rPr>
                <w:color w:val="1F2023"/>
                <w:sz w:val="22"/>
              </w:rPr>
              <w:t>good</w:t>
            </w:r>
            <w:r>
              <w:rPr>
                <w:color w:val="1F2023"/>
                <w:spacing w:val="80"/>
                <w:sz w:val="22"/>
              </w:rPr>
              <w:t> </w:t>
            </w:r>
            <w:r>
              <w:rPr>
                <w:color w:val="1F2023"/>
                <w:sz w:val="22"/>
              </w:rPr>
              <w:t>sports</w:t>
            </w:r>
            <w:r>
              <w:rPr>
                <w:color w:val="1F2023"/>
                <w:spacing w:val="80"/>
                <w:sz w:val="22"/>
              </w:rPr>
              <w:t> </w:t>
            </w:r>
            <w:r>
              <w:rPr>
                <w:color w:val="1F2023"/>
                <w:sz w:val="22"/>
              </w:rPr>
              <w:t>and</w:t>
            </w:r>
            <w:r>
              <w:rPr>
                <w:color w:val="1F2023"/>
                <w:spacing w:val="80"/>
                <w:sz w:val="22"/>
              </w:rPr>
              <w:t> </w:t>
            </w:r>
            <w:r>
              <w:rPr>
                <w:color w:val="1F2023"/>
                <w:sz w:val="22"/>
              </w:rPr>
              <w:t>recreational </w:t>
            </w:r>
            <w:r>
              <w:rPr>
                <w:color w:val="1F2023"/>
                <w:spacing w:val="-2"/>
                <w:sz w:val="22"/>
              </w:rPr>
              <w:t>facilities.</w:t>
            </w:r>
          </w:p>
        </w:tc>
        <w:tc>
          <w:tcPr>
            <w:tcW w:w="827" w:type="dxa"/>
          </w:tcPr>
          <w:p>
            <w:pPr>
              <w:pStyle w:val="TableParagraph"/>
              <w:ind w:right="105"/>
              <w:jc w:val="right"/>
              <w:rPr>
                <w:sz w:val="22"/>
              </w:rPr>
            </w:pPr>
            <w:r>
              <w:rPr>
                <w:color w:val="000104"/>
                <w:spacing w:val="-4"/>
                <w:sz w:val="22"/>
              </w:rPr>
              <w:t>4.17</w:t>
            </w:r>
          </w:p>
        </w:tc>
        <w:tc>
          <w:tcPr>
            <w:tcW w:w="1643" w:type="dxa"/>
          </w:tcPr>
          <w:p>
            <w:pPr>
              <w:pStyle w:val="TableParagraph"/>
              <w:ind w:left="108"/>
              <w:rPr>
                <w:sz w:val="22"/>
              </w:rPr>
            </w:pPr>
            <w:r>
              <w:rPr>
                <w:spacing w:val="-2"/>
                <w:sz w:val="22"/>
              </w:rPr>
              <w:t>Satisfied</w:t>
            </w:r>
          </w:p>
        </w:tc>
        <w:tc>
          <w:tcPr>
            <w:tcW w:w="916" w:type="dxa"/>
          </w:tcPr>
          <w:p>
            <w:pPr>
              <w:pStyle w:val="TableParagraph"/>
              <w:ind w:right="181"/>
              <w:jc w:val="right"/>
              <w:rPr>
                <w:sz w:val="22"/>
              </w:rPr>
            </w:pPr>
            <w:r>
              <w:rPr>
                <w:spacing w:val="-10"/>
                <w:sz w:val="22"/>
              </w:rPr>
              <w:t>3</w:t>
            </w:r>
          </w:p>
        </w:tc>
      </w:tr>
      <w:tr>
        <w:trPr>
          <w:trHeight w:val="269" w:hRule="atLeast"/>
        </w:trPr>
        <w:tc>
          <w:tcPr>
            <w:tcW w:w="6036" w:type="dxa"/>
          </w:tcPr>
          <w:p>
            <w:pPr>
              <w:pStyle w:val="TableParagraph"/>
              <w:numPr>
                <w:ilvl w:val="0"/>
                <w:numId w:val="19"/>
              </w:numPr>
              <w:tabs>
                <w:tab w:pos="858" w:val="left" w:leader="none"/>
              </w:tabs>
              <w:spacing w:line="250" w:lineRule="exact" w:before="0" w:after="0"/>
              <w:ind w:left="858" w:right="0" w:hanging="360"/>
              <w:jc w:val="left"/>
              <w:rPr>
                <w:sz w:val="22"/>
              </w:rPr>
            </w:pPr>
            <w:r>
              <w:rPr>
                <w:color w:val="1F2023"/>
                <w:sz w:val="22"/>
              </w:rPr>
              <w:t>Classrooms,</w:t>
            </w:r>
            <w:r>
              <w:rPr>
                <w:color w:val="1F2023"/>
                <w:spacing w:val="-4"/>
                <w:sz w:val="22"/>
              </w:rPr>
              <w:t> </w:t>
            </w:r>
            <w:r>
              <w:rPr>
                <w:color w:val="1F2023"/>
                <w:sz w:val="22"/>
              </w:rPr>
              <w:t>chairs,</w:t>
            </w:r>
            <w:r>
              <w:rPr>
                <w:color w:val="1F2023"/>
                <w:spacing w:val="-2"/>
                <w:sz w:val="22"/>
              </w:rPr>
              <w:t> </w:t>
            </w:r>
            <w:r>
              <w:rPr>
                <w:color w:val="1F2023"/>
                <w:sz w:val="22"/>
              </w:rPr>
              <w:t>and</w:t>
            </w:r>
            <w:r>
              <w:rPr>
                <w:color w:val="1F2023"/>
                <w:spacing w:val="-2"/>
                <w:sz w:val="22"/>
              </w:rPr>
              <w:t> </w:t>
            </w:r>
            <w:r>
              <w:rPr>
                <w:color w:val="1F2023"/>
                <w:sz w:val="22"/>
              </w:rPr>
              <w:t>tables</w:t>
            </w:r>
            <w:r>
              <w:rPr>
                <w:color w:val="1F2023"/>
                <w:spacing w:val="-3"/>
                <w:sz w:val="22"/>
              </w:rPr>
              <w:t> </w:t>
            </w:r>
            <w:r>
              <w:rPr>
                <w:color w:val="1F2023"/>
                <w:sz w:val="22"/>
              </w:rPr>
              <w:t>are</w:t>
            </w:r>
            <w:r>
              <w:rPr>
                <w:color w:val="1F2023"/>
                <w:spacing w:val="-2"/>
                <w:sz w:val="22"/>
              </w:rPr>
              <w:t> adequate.</w:t>
            </w:r>
          </w:p>
        </w:tc>
        <w:tc>
          <w:tcPr>
            <w:tcW w:w="827" w:type="dxa"/>
          </w:tcPr>
          <w:p>
            <w:pPr>
              <w:pStyle w:val="TableParagraph"/>
              <w:spacing w:line="250" w:lineRule="exact"/>
              <w:ind w:right="105"/>
              <w:jc w:val="right"/>
              <w:rPr>
                <w:sz w:val="22"/>
              </w:rPr>
            </w:pPr>
            <w:r>
              <w:rPr>
                <w:color w:val="000104"/>
                <w:spacing w:val="-4"/>
                <w:sz w:val="22"/>
              </w:rPr>
              <w:t>4.05</w:t>
            </w:r>
          </w:p>
        </w:tc>
        <w:tc>
          <w:tcPr>
            <w:tcW w:w="1643" w:type="dxa"/>
          </w:tcPr>
          <w:p>
            <w:pPr>
              <w:pStyle w:val="TableParagraph"/>
              <w:spacing w:line="250" w:lineRule="exact"/>
              <w:ind w:left="108"/>
              <w:rPr>
                <w:sz w:val="22"/>
              </w:rPr>
            </w:pPr>
            <w:r>
              <w:rPr>
                <w:spacing w:val="-2"/>
                <w:sz w:val="22"/>
              </w:rPr>
              <w:t>Satisfied</w:t>
            </w:r>
          </w:p>
        </w:tc>
        <w:tc>
          <w:tcPr>
            <w:tcW w:w="916" w:type="dxa"/>
          </w:tcPr>
          <w:p>
            <w:pPr>
              <w:pStyle w:val="TableParagraph"/>
              <w:spacing w:line="250" w:lineRule="exact"/>
              <w:ind w:right="181"/>
              <w:jc w:val="right"/>
              <w:rPr>
                <w:sz w:val="22"/>
              </w:rPr>
            </w:pPr>
            <w:r>
              <w:rPr>
                <w:spacing w:val="-10"/>
                <w:sz w:val="22"/>
              </w:rPr>
              <w:t>4</w:t>
            </w:r>
          </w:p>
        </w:tc>
      </w:tr>
      <w:tr>
        <w:trPr>
          <w:trHeight w:val="276" w:hRule="atLeast"/>
        </w:trPr>
        <w:tc>
          <w:tcPr>
            <w:tcW w:w="6036" w:type="dxa"/>
          </w:tcPr>
          <w:p>
            <w:pPr>
              <w:pStyle w:val="TableParagraph"/>
              <w:numPr>
                <w:ilvl w:val="0"/>
                <w:numId w:val="20"/>
              </w:numPr>
              <w:tabs>
                <w:tab w:pos="858" w:val="left" w:leader="none"/>
              </w:tabs>
              <w:spacing w:line="256" w:lineRule="exact" w:before="0" w:after="0"/>
              <w:ind w:left="858" w:right="0" w:hanging="360"/>
              <w:jc w:val="left"/>
              <w:rPr>
                <w:sz w:val="22"/>
              </w:rPr>
            </w:pPr>
            <w:r>
              <w:rPr>
                <w:color w:val="1F2023"/>
                <w:sz w:val="22"/>
              </w:rPr>
              <w:t>The</w:t>
            </w:r>
            <w:r>
              <w:rPr>
                <w:color w:val="1F2023"/>
                <w:spacing w:val="-2"/>
                <w:sz w:val="22"/>
              </w:rPr>
              <w:t> </w:t>
            </w:r>
            <w:r>
              <w:rPr>
                <w:color w:val="1F2023"/>
                <w:sz w:val="22"/>
              </w:rPr>
              <w:t>comfort</w:t>
            </w:r>
            <w:r>
              <w:rPr>
                <w:color w:val="1F2023"/>
                <w:spacing w:val="-1"/>
                <w:sz w:val="22"/>
              </w:rPr>
              <w:t> </w:t>
            </w:r>
            <w:r>
              <w:rPr>
                <w:color w:val="1F2023"/>
                <w:sz w:val="22"/>
              </w:rPr>
              <w:t>rooms are</w:t>
            </w:r>
            <w:r>
              <w:rPr>
                <w:color w:val="1F2023"/>
                <w:spacing w:val="-1"/>
                <w:sz w:val="22"/>
              </w:rPr>
              <w:t> </w:t>
            </w:r>
            <w:r>
              <w:rPr>
                <w:color w:val="1F2023"/>
                <w:sz w:val="22"/>
              </w:rPr>
              <w:t>clean</w:t>
            </w:r>
            <w:r>
              <w:rPr>
                <w:color w:val="1F2023"/>
                <w:spacing w:val="-2"/>
                <w:sz w:val="22"/>
              </w:rPr>
              <w:t> </w:t>
            </w:r>
            <w:r>
              <w:rPr>
                <w:color w:val="1F2023"/>
                <w:sz w:val="22"/>
              </w:rPr>
              <w:t>and</w:t>
            </w:r>
            <w:r>
              <w:rPr>
                <w:color w:val="1F2023"/>
                <w:spacing w:val="-3"/>
                <w:sz w:val="22"/>
              </w:rPr>
              <w:t> </w:t>
            </w:r>
            <w:r>
              <w:rPr>
                <w:color w:val="1F2023"/>
                <w:sz w:val="22"/>
              </w:rPr>
              <w:t>safe to</w:t>
            </w:r>
            <w:r>
              <w:rPr>
                <w:color w:val="1F2023"/>
                <w:spacing w:val="-3"/>
                <w:sz w:val="22"/>
              </w:rPr>
              <w:t> </w:t>
            </w:r>
            <w:r>
              <w:rPr>
                <w:color w:val="1F2023"/>
                <w:spacing w:val="-4"/>
                <w:sz w:val="22"/>
              </w:rPr>
              <w:t>use.</w:t>
            </w:r>
          </w:p>
        </w:tc>
        <w:tc>
          <w:tcPr>
            <w:tcW w:w="827" w:type="dxa"/>
          </w:tcPr>
          <w:p>
            <w:pPr>
              <w:pStyle w:val="TableParagraph"/>
              <w:ind w:right="105"/>
              <w:jc w:val="right"/>
              <w:rPr>
                <w:sz w:val="22"/>
              </w:rPr>
            </w:pPr>
            <w:r>
              <w:rPr>
                <w:color w:val="000104"/>
                <w:spacing w:val="-4"/>
                <w:sz w:val="22"/>
              </w:rPr>
              <w:t>3.73</w:t>
            </w:r>
          </w:p>
        </w:tc>
        <w:tc>
          <w:tcPr>
            <w:tcW w:w="1643" w:type="dxa"/>
          </w:tcPr>
          <w:p>
            <w:pPr>
              <w:pStyle w:val="TableParagraph"/>
              <w:ind w:left="108"/>
              <w:rPr>
                <w:sz w:val="22"/>
              </w:rPr>
            </w:pPr>
            <w:r>
              <w:rPr>
                <w:spacing w:val="-2"/>
                <w:sz w:val="22"/>
              </w:rPr>
              <w:t>Satisfied</w:t>
            </w:r>
          </w:p>
        </w:tc>
        <w:tc>
          <w:tcPr>
            <w:tcW w:w="916" w:type="dxa"/>
          </w:tcPr>
          <w:p>
            <w:pPr>
              <w:pStyle w:val="TableParagraph"/>
              <w:ind w:right="181"/>
              <w:jc w:val="right"/>
              <w:rPr>
                <w:sz w:val="22"/>
              </w:rPr>
            </w:pPr>
            <w:r>
              <w:rPr>
                <w:spacing w:val="-10"/>
                <w:sz w:val="22"/>
              </w:rPr>
              <w:t>5</w:t>
            </w:r>
          </w:p>
        </w:tc>
      </w:tr>
      <w:tr>
        <w:trPr>
          <w:trHeight w:val="259" w:hRule="atLeast"/>
        </w:trPr>
        <w:tc>
          <w:tcPr>
            <w:tcW w:w="6036" w:type="dxa"/>
          </w:tcPr>
          <w:p>
            <w:pPr>
              <w:pStyle w:val="TableParagraph"/>
              <w:spacing w:line="240" w:lineRule="exact"/>
              <w:ind w:right="181"/>
              <w:jc w:val="right"/>
              <w:rPr>
                <w:b/>
                <w:sz w:val="22"/>
              </w:rPr>
            </w:pPr>
            <w:r>
              <w:rPr>
                <w:b/>
                <w:color w:val="1F2023"/>
                <w:sz w:val="22"/>
              </w:rPr>
              <w:t>Aggregate</w:t>
            </w:r>
            <w:r>
              <w:rPr>
                <w:b/>
                <w:color w:val="1F2023"/>
                <w:spacing w:val="1"/>
                <w:sz w:val="22"/>
              </w:rPr>
              <w:t> </w:t>
            </w:r>
            <w:r>
              <w:rPr>
                <w:b/>
                <w:color w:val="1F2023"/>
                <w:spacing w:val="-4"/>
                <w:sz w:val="22"/>
              </w:rPr>
              <w:t>Mean</w:t>
            </w:r>
          </w:p>
        </w:tc>
        <w:tc>
          <w:tcPr>
            <w:tcW w:w="827" w:type="dxa"/>
          </w:tcPr>
          <w:p>
            <w:pPr>
              <w:pStyle w:val="TableParagraph"/>
              <w:spacing w:line="240" w:lineRule="exact"/>
              <w:ind w:right="105"/>
              <w:jc w:val="right"/>
              <w:rPr>
                <w:b/>
                <w:sz w:val="22"/>
              </w:rPr>
            </w:pPr>
            <w:r>
              <w:rPr>
                <w:b/>
                <w:color w:val="000104"/>
                <w:spacing w:val="-4"/>
                <w:sz w:val="22"/>
              </w:rPr>
              <w:t>4.13</w:t>
            </w:r>
          </w:p>
        </w:tc>
        <w:tc>
          <w:tcPr>
            <w:tcW w:w="1643" w:type="dxa"/>
          </w:tcPr>
          <w:p>
            <w:pPr>
              <w:pStyle w:val="TableParagraph"/>
              <w:spacing w:line="240" w:lineRule="exact"/>
              <w:ind w:left="108"/>
              <w:rPr>
                <w:b/>
                <w:sz w:val="22"/>
              </w:rPr>
            </w:pPr>
            <w:r>
              <w:rPr>
                <w:b/>
                <w:spacing w:val="-2"/>
                <w:sz w:val="22"/>
              </w:rPr>
              <w:t>Satisfied</w:t>
            </w:r>
          </w:p>
        </w:tc>
        <w:tc>
          <w:tcPr>
            <w:tcW w:w="916" w:type="dxa"/>
          </w:tcPr>
          <w:p>
            <w:pPr>
              <w:pStyle w:val="TableParagraph"/>
              <w:rPr>
                <w:sz w:val="18"/>
              </w:rPr>
            </w:pPr>
          </w:p>
        </w:tc>
      </w:tr>
      <w:tr>
        <w:trPr>
          <w:trHeight w:val="253" w:hRule="atLeast"/>
        </w:trPr>
        <w:tc>
          <w:tcPr>
            <w:tcW w:w="6036" w:type="dxa"/>
          </w:tcPr>
          <w:p>
            <w:pPr>
              <w:pStyle w:val="TableParagraph"/>
              <w:spacing w:line="233" w:lineRule="exact"/>
              <w:ind w:left="138"/>
              <w:rPr>
                <w:b/>
                <w:sz w:val="22"/>
              </w:rPr>
            </w:pPr>
            <w:r>
              <w:rPr>
                <w:b/>
                <w:color w:val="1F2023"/>
                <w:sz w:val="22"/>
              </w:rPr>
              <w:t>E.</w:t>
            </w:r>
            <w:r>
              <w:rPr>
                <w:b/>
                <w:color w:val="1F2023"/>
                <w:spacing w:val="-3"/>
                <w:sz w:val="22"/>
              </w:rPr>
              <w:t> </w:t>
            </w:r>
            <w:r>
              <w:rPr>
                <w:b/>
                <w:color w:val="1F2023"/>
                <w:sz w:val="22"/>
              </w:rPr>
              <w:t>Student Support</w:t>
            </w:r>
            <w:r>
              <w:rPr>
                <w:b/>
                <w:color w:val="1F2023"/>
                <w:spacing w:val="-2"/>
                <w:sz w:val="22"/>
              </w:rPr>
              <w:t> </w:t>
            </w:r>
            <w:r>
              <w:rPr>
                <w:b/>
                <w:color w:val="1F2023"/>
                <w:sz w:val="22"/>
              </w:rPr>
              <w:t>Services</w:t>
            </w:r>
            <w:r>
              <w:rPr>
                <w:b/>
                <w:color w:val="1F2023"/>
                <w:spacing w:val="-1"/>
                <w:sz w:val="22"/>
              </w:rPr>
              <w:t> </w:t>
            </w:r>
            <w:r>
              <w:rPr>
                <w:b/>
                <w:color w:val="1F2023"/>
                <w:sz w:val="22"/>
              </w:rPr>
              <w:t>and</w:t>
            </w:r>
            <w:r>
              <w:rPr>
                <w:b/>
                <w:color w:val="1F2023"/>
                <w:spacing w:val="-1"/>
                <w:sz w:val="22"/>
              </w:rPr>
              <w:t> </w:t>
            </w:r>
            <w:r>
              <w:rPr>
                <w:b/>
                <w:color w:val="1F2023"/>
                <w:sz w:val="22"/>
              </w:rPr>
              <w:t>Extracurricular</w:t>
            </w:r>
            <w:r>
              <w:rPr>
                <w:b/>
                <w:color w:val="1F2023"/>
                <w:spacing w:val="-1"/>
                <w:sz w:val="22"/>
              </w:rPr>
              <w:t> </w:t>
            </w:r>
            <w:r>
              <w:rPr>
                <w:b/>
                <w:color w:val="1F2023"/>
                <w:spacing w:val="-2"/>
                <w:sz w:val="22"/>
              </w:rPr>
              <w:t>Activities</w:t>
            </w:r>
          </w:p>
        </w:tc>
        <w:tc>
          <w:tcPr>
            <w:tcW w:w="827" w:type="dxa"/>
          </w:tcPr>
          <w:p>
            <w:pPr>
              <w:pStyle w:val="TableParagraph"/>
              <w:rPr>
                <w:sz w:val="18"/>
              </w:rPr>
            </w:pPr>
          </w:p>
        </w:tc>
        <w:tc>
          <w:tcPr>
            <w:tcW w:w="1643" w:type="dxa"/>
          </w:tcPr>
          <w:p>
            <w:pPr>
              <w:pStyle w:val="TableParagraph"/>
              <w:rPr>
                <w:sz w:val="18"/>
              </w:rPr>
            </w:pPr>
          </w:p>
        </w:tc>
        <w:tc>
          <w:tcPr>
            <w:tcW w:w="916" w:type="dxa"/>
          </w:tcPr>
          <w:p>
            <w:pPr>
              <w:pStyle w:val="TableParagraph"/>
              <w:rPr>
                <w:sz w:val="18"/>
              </w:rPr>
            </w:pPr>
          </w:p>
        </w:tc>
      </w:tr>
      <w:tr>
        <w:trPr>
          <w:trHeight w:val="522" w:hRule="atLeast"/>
        </w:trPr>
        <w:tc>
          <w:tcPr>
            <w:tcW w:w="6036" w:type="dxa"/>
          </w:tcPr>
          <w:p>
            <w:pPr>
              <w:pStyle w:val="TableParagraph"/>
              <w:numPr>
                <w:ilvl w:val="0"/>
                <w:numId w:val="21"/>
              </w:numPr>
              <w:tabs>
                <w:tab w:pos="858" w:val="left" w:leader="none"/>
              </w:tabs>
              <w:spacing w:line="250" w:lineRule="atLeast" w:before="0" w:after="0"/>
              <w:ind w:left="858" w:right="669" w:hanging="360"/>
              <w:jc w:val="left"/>
              <w:rPr>
                <w:sz w:val="22"/>
              </w:rPr>
            </w:pPr>
            <w:r>
              <w:rPr>
                <w:color w:val="1F2023"/>
                <w:sz w:val="22"/>
              </w:rPr>
              <w:t>Guidance</w:t>
            </w:r>
            <w:r>
              <w:rPr>
                <w:color w:val="1F2023"/>
                <w:spacing w:val="-7"/>
                <w:sz w:val="22"/>
              </w:rPr>
              <w:t> </w:t>
            </w:r>
            <w:r>
              <w:rPr>
                <w:color w:val="1F2023"/>
                <w:sz w:val="22"/>
              </w:rPr>
              <w:t>counseling</w:t>
            </w:r>
            <w:r>
              <w:rPr>
                <w:color w:val="1F2023"/>
                <w:spacing w:val="-9"/>
                <w:sz w:val="22"/>
              </w:rPr>
              <w:t> </w:t>
            </w:r>
            <w:r>
              <w:rPr>
                <w:color w:val="1F2023"/>
                <w:sz w:val="22"/>
              </w:rPr>
              <w:t>and</w:t>
            </w:r>
            <w:r>
              <w:rPr>
                <w:color w:val="1F2023"/>
                <w:spacing w:val="-6"/>
                <w:sz w:val="22"/>
              </w:rPr>
              <w:t> </w:t>
            </w:r>
            <w:r>
              <w:rPr>
                <w:color w:val="1F2023"/>
                <w:sz w:val="22"/>
              </w:rPr>
              <w:t>mental</w:t>
            </w:r>
            <w:r>
              <w:rPr>
                <w:color w:val="1F2023"/>
                <w:spacing w:val="-7"/>
                <w:sz w:val="22"/>
              </w:rPr>
              <w:t> </w:t>
            </w:r>
            <w:r>
              <w:rPr>
                <w:color w:val="1F2023"/>
                <w:sz w:val="22"/>
              </w:rPr>
              <w:t>health</w:t>
            </w:r>
            <w:r>
              <w:rPr>
                <w:color w:val="1F2023"/>
                <w:spacing w:val="-8"/>
                <w:sz w:val="22"/>
              </w:rPr>
              <w:t> </w:t>
            </w:r>
            <w:r>
              <w:rPr>
                <w:color w:val="1F2023"/>
                <w:sz w:val="22"/>
              </w:rPr>
              <w:t>support</w:t>
            </w:r>
            <w:r>
              <w:rPr>
                <w:color w:val="1F2023"/>
                <w:spacing w:val="-7"/>
                <w:sz w:val="22"/>
              </w:rPr>
              <w:t> </w:t>
            </w:r>
            <w:r>
              <w:rPr>
                <w:color w:val="1F2023"/>
                <w:sz w:val="22"/>
              </w:rPr>
              <w:t>are available when needed.</w:t>
            </w:r>
          </w:p>
        </w:tc>
        <w:tc>
          <w:tcPr>
            <w:tcW w:w="827" w:type="dxa"/>
          </w:tcPr>
          <w:p>
            <w:pPr>
              <w:pStyle w:val="TableParagraph"/>
              <w:ind w:right="105"/>
              <w:jc w:val="right"/>
              <w:rPr>
                <w:sz w:val="22"/>
              </w:rPr>
            </w:pPr>
            <w:r>
              <w:rPr>
                <w:color w:val="000104"/>
                <w:spacing w:val="-4"/>
                <w:sz w:val="22"/>
              </w:rPr>
              <w:t>4.32</w:t>
            </w:r>
          </w:p>
        </w:tc>
        <w:tc>
          <w:tcPr>
            <w:tcW w:w="1643" w:type="dxa"/>
          </w:tcPr>
          <w:p>
            <w:pPr>
              <w:pStyle w:val="TableParagraph"/>
              <w:ind w:left="108"/>
              <w:rPr>
                <w:sz w:val="22"/>
              </w:rPr>
            </w:pPr>
            <w:r>
              <w:rPr>
                <w:sz w:val="22"/>
              </w:rPr>
              <w:t>Very</w:t>
            </w:r>
            <w:r>
              <w:rPr>
                <w:spacing w:val="-5"/>
                <w:sz w:val="22"/>
              </w:rPr>
              <w:t> </w:t>
            </w:r>
            <w:r>
              <w:rPr>
                <w:spacing w:val="-2"/>
                <w:sz w:val="22"/>
              </w:rPr>
              <w:t>Satisfied</w:t>
            </w:r>
          </w:p>
        </w:tc>
        <w:tc>
          <w:tcPr>
            <w:tcW w:w="916" w:type="dxa"/>
          </w:tcPr>
          <w:p>
            <w:pPr>
              <w:pStyle w:val="TableParagraph"/>
              <w:ind w:right="181"/>
              <w:jc w:val="right"/>
              <w:rPr>
                <w:sz w:val="22"/>
              </w:rPr>
            </w:pPr>
            <w:r>
              <w:rPr>
                <w:spacing w:val="-10"/>
                <w:sz w:val="22"/>
              </w:rPr>
              <w:t>1</w:t>
            </w:r>
          </w:p>
        </w:tc>
      </w:tr>
      <w:tr>
        <w:trPr>
          <w:trHeight w:val="521" w:hRule="atLeast"/>
        </w:trPr>
        <w:tc>
          <w:tcPr>
            <w:tcW w:w="6036" w:type="dxa"/>
          </w:tcPr>
          <w:p>
            <w:pPr>
              <w:pStyle w:val="TableParagraph"/>
              <w:numPr>
                <w:ilvl w:val="0"/>
                <w:numId w:val="22"/>
              </w:numPr>
              <w:tabs>
                <w:tab w:pos="858" w:val="left" w:leader="none"/>
              </w:tabs>
              <w:spacing w:line="252" w:lineRule="exact" w:before="0" w:after="0"/>
              <w:ind w:left="858" w:right="981" w:hanging="360"/>
              <w:jc w:val="left"/>
              <w:rPr>
                <w:sz w:val="22"/>
              </w:rPr>
            </w:pPr>
            <w:r>
              <w:rPr>
                <w:color w:val="1F2023"/>
                <w:sz w:val="22"/>
              </w:rPr>
              <w:t>I</w:t>
            </w:r>
            <w:r>
              <w:rPr>
                <w:color w:val="1F2023"/>
                <w:spacing w:val="-4"/>
                <w:sz w:val="22"/>
              </w:rPr>
              <w:t> </w:t>
            </w:r>
            <w:r>
              <w:rPr>
                <w:color w:val="1F2023"/>
                <w:sz w:val="22"/>
              </w:rPr>
              <w:t>am</w:t>
            </w:r>
            <w:r>
              <w:rPr>
                <w:color w:val="1F2023"/>
                <w:spacing w:val="-10"/>
                <w:sz w:val="22"/>
              </w:rPr>
              <w:t> </w:t>
            </w:r>
            <w:r>
              <w:rPr>
                <w:color w:val="1F2023"/>
                <w:sz w:val="22"/>
              </w:rPr>
              <w:t>encouraged</w:t>
            </w:r>
            <w:r>
              <w:rPr>
                <w:color w:val="1F2023"/>
                <w:spacing w:val="-6"/>
                <w:sz w:val="22"/>
              </w:rPr>
              <w:t> </w:t>
            </w:r>
            <w:r>
              <w:rPr>
                <w:color w:val="1F2023"/>
                <w:sz w:val="22"/>
              </w:rPr>
              <w:t>to</w:t>
            </w:r>
            <w:r>
              <w:rPr>
                <w:color w:val="1F2023"/>
                <w:spacing w:val="-7"/>
                <w:sz w:val="22"/>
              </w:rPr>
              <w:t> </w:t>
            </w:r>
            <w:r>
              <w:rPr>
                <w:color w:val="1F2023"/>
                <w:sz w:val="22"/>
              </w:rPr>
              <w:t>join</w:t>
            </w:r>
            <w:r>
              <w:rPr>
                <w:color w:val="1F2023"/>
                <w:spacing w:val="-5"/>
                <w:sz w:val="22"/>
              </w:rPr>
              <w:t> </w:t>
            </w:r>
            <w:r>
              <w:rPr>
                <w:color w:val="1F2023"/>
                <w:sz w:val="22"/>
              </w:rPr>
              <w:t>clubs,</w:t>
            </w:r>
            <w:r>
              <w:rPr>
                <w:color w:val="1F2023"/>
                <w:spacing w:val="-4"/>
                <w:sz w:val="22"/>
              </w:rPr>
              <w:t> </w:t>
            </w:r>
            <w:r>
              <w:rPr>
                <w:color w:val="1F2023"/>
                <w:sz w:val="22"/>
              </w:rPr>
              <w:t>organizations,</w:t>
            </w:r>
            <w:r>
              <w:rPr>
                <w:color w:val="1F2023"/>
                <w:spacing w:val="-7"/>
                <w:sz w:val="22"/>
              </w:rPr>
              <w:t> </w:t>
            </w:r>
            <w:r>
              <w:rPr>
                <w:color w:val="1F2023"/>
                <w:sz w:val="22"/>
              </w:rPr>
              <w:t>or leadership training.</w:t>
            </w:r>
          </w:p>
        </w:tc>
        <w:tc>
          <w:tcPr>
            <w:tcW w:w="827" w:type="dxa"/>
          </w:tcPr>
          <w:p>
            <w:pPr>
              <w:pStyle w:val="TableParagraph"/>
              <w:spacing w:line="253" w:lineRule="exact"/>
              <w:ind w:right="105"/>
              <w:jc w:val="right"/>
              <w:rPr>
                <w:sz w:val="22"/>
              </w:rPr>
            </w:pPr>
            <w:r>
              <w:rPr>
                <w:color w:val="000104"/>
                <w:spacing w:val="-4"/>
                <w:sz w:val="22"/>
              </w:rPr>
              <w:t>4.26</w:t>
            </w:r>
          </w:p>
        </w:tc>
        <w:tc>
          <w:tcPr>
            <w:tcW w:w="1643" w:type="dxa"/>
          </w:tcPr>
          <w:p>
            <w:pPr>
              <w:pStyle w:val="TableParagraph"/>
              <w:spacing w:line="253" w:lineRule="exact"/>
              <w:ind w:left="108"/>
              <w:rPr>
                <w:sz w:val="22"/>
              </w:rPr>
            </w:pPr>
            <w:r>
              <w:rPr>
                <w:sz w:val="22"/>
              </w:rPr>
              <w:t>Very</w:t>
            </w:r>
            <w:r>
              <w:rPr>
                <w:spacing w:val="-5"/>
                <w:sz w:val="22"/>
              </w:rPr>
              <w:t> </w:t>
            </w:r>
            <w:r>
              <w:rPr>
                <w:spacing w:val="-2"/>
                <w:sz w:val="22"/>
              </w:rPr>
              <w:t>Satisfied</w:t>
            </w:r>
          </w:p>
        </w:tc>
        <w:tc>
          <w:tcPr>
            <w:tcW w:w="916" w:type="dxa"/>
          </w:tcPr>
          <w:p>
            <w:pPr>
              <w:pStyle w:val="TableParagraph"/>
              <w:spacing w:line="253" w:lineRule="exact"/>
              <w:ind w:right="181"/>
              <w:jc w:val="right"/>
              <w:rPr>
                <w:sz w:val="22"/>
              </w:rPr>
            </w:pPr>
            <w:r>
              <w:rPr>
                <w:spacing w:val="-10"/>
                <w:sz w:val="22"/>
              </w:rPr>
              <w:t>2</w:t>
            </w:r>
          </w:p>
        </w:tc>
      </w:tr>
      <w:tr>
        <w:trPr>
          <w:trHeight w:val="268" w:hRule="atLeast"/>
        </w:trPr>
        <w:tc>
          <w:tcPr>
            <w:tcW w:w="6036" w:type="dxa"/>
          </w:tcPr>
          <w:p>
            <w:pPr>
              <w:pStyle w:val="TableParagraph"/>
              <w:numPr>
                <w:ilvl w:val="0"/>
                <w:numId w:val="23"/>
              </w:numPr>
              <w:tabs>
                <w:tab w:pos="858" w:val="left" w:leader="none"/>
              </w:tabs>
              <w:spacing w:line="248" w:lineRule="exact" w:before="0" w:after="0"/>
              <w:ind w:left="858" w:right="0" w:hanging="360"/>
              <w:jc w:val="left"/>
              <w:rPr>
                <w:sz w:val="22"/>
              </w:rPr>
            </w:pPr>
            <w:r>
              <w:rPr>
                <w:color w:val="1F2023"/>
                <w:sz w:val="22"/>
              </w:rPr>
              <w:t>I</w:t>
            </w:r>
            <w:r>
              <w:rPr>
                <w:color w:val="1F2023"/>
                <w:spacing w:val="-1"/>
                <w:sz w:val="22"/>
              </w:rPr>
              <w:t> </w:t>
            </w:r>
            <w:r>
              <w:rPr>
                <w:color w:val="1F2023"/>
                <w:sz w:val="22"/>
              </w:rPr>
              <w:t>have</w:t>
            </w:r>
            <w:r>
              <w:rPr>
                <w:color w:val="1F2023"/>
                <w:spacing w:val="-1"/>
                <w:sz w:val="22"/>
              </w:rPr>
              <w:t> </w:t>
            </w:r>
            <w:r>
              <w:rPr>
                <w:color w:val="1F2023"/>
                <w:sz w:val="22"/>
              </w:rPr>
              <w:t>access</w:t>
            </w:r>
            <w:r>
              <w:rPr>
                <w:color w:val="1F2023"/>
                <w:spacing w:val="-2"/>
                <w:sz w:val="22"/>
              </w:rPr>
              <w:t> </w:t>
            </w:r>
            <w:r>
              <w:rPr>
                <w:color w:val="1F2023"/>
                <w:sz w:val="22"/>
              </w:rPr>
              <w:t>to</w:t>
            </w:r>
            <w:r>
              <w:rPr>
                <w:color w:val="1F2023"/>
                <w:spacing w:val="-2"/>
                <w:sz w:val="22"/>
              </w:rPr>
              <w:t> </w:t>
            </w:r>
            <w:r>
              <w:rPr>
                <w:color w:val="1F2023"/>
                <w:sz w:val="22"/>
              </w:rPr>
              <w:t>sports,</w:t>
            </w:r>
            <w:r>
              <w:rPr>
                <w:color w:val="1F2023"/>
                <w:spacing w:val="-2"/>
                <w:sz w:val="22"/>
              </w:rPr>
              <w:t> </w:t>
            </w:r>
            <w:r>
              <w:rPr>
                <w:color w:val="1F2023"/>
                <w:sz w:val="22"/>
              </w:rPr>
              <w:t>arts,</w:t>
            </w:r>
            <w:r>
              <w:rPr>
                <w:color w:val="1F2023"/>
                <w:spacing w:val="-1"/>
                <w:sz w:val="22"/>
              </w:rPr>
              <w:t> </w:t>
            </w:r>
            <w:r>
              <w:rPr>
                <w:color w:val="1F2023"/>
                <w:sz w:val="22"/>
              </w:rPr>
              <w:t>and</w:t>
            </w:r>
            <w:r>
              <w:rPr>
                <w:color w:val="1F2023"/>
                <w:spacing w:val="-3"/>
                <w:sz w:val="22"/>
              </w:rPr>
              <w:t> </w:t>
            </w:r>
            <w:r>
              <w:rPr>
                <w:color w:val="1F2023"/>
                <w:sz w:val="22"/>
              </w:rPr>
              <w:t>cultural</w:t>
            </w:r>
            <w:r>
              <w:rPr>
                <w:color w:val="1F2023"/>
                <w:spacing w:val="-1"/>
                <w:sz w:val="22"/>
              </w:rPr>
              <w:t> </w:t>
            </w:r>
            <w:r>
              <w:rPr>
                <w:color w:val="1F2023"/>
                <w:spacing w:val="-2"/>
                <w:sz w:val="22"/>
              </w:rPr>
              <w:t>activities.</w:t>
            </w:r>
          </w:p>
        </w:tc>
        <w:tc>
          <w:tcPr>
            <w:tcW w:w="827" w:type="dxa"/>
          </w:tcPr>
          <w:p>
            <w:pPr>
              <w:pStyle w:val="TableParagraph"/>
              <w:spacing w:line="249" w:lineRule="exact"/>
              <w:ind w:right="105"/>
              <w:jc w:val="right"/>
              <w:rPr>
                <w:sz w:val="22"/>
              </w:rPr>
            </w:pPr>
            <w:r>
              <w:rPr>
                <w:color w:val="000104"/>
                <w:spacing w:val="-4"/>
                <w:sz w:val="22"/>
              </w:rPr>
              <w:t>4.25</w:t>
            </w:r>
          </w:p>
        </w:tc>
        <w:tc>
          <w:tcPr>
            <w:tcW w:w="1643" w:type="dxa"/>
          </w:tcPr>
          <w:p>
            <w:pPr>
              <w:pStyle w:val="TableParagraph"/>
              <w:spacing w:line="249" w:lineRule="exact"/>
              <w:ind w:left="108"/>
              <w:rPr>
                <w:sz w:val="22"/>
              </w:rPr>
            </w:pPr>
            <w:r>
              <w:rPr>
                <w:sz w:val="22"/>
              </w:rPr>
              <w:t>Very</w:t>
            </w:r>
            <w:r>
              <w:rPr>
                <w:spacing w:val="-5"/>
                <w:sz w:val="22"/>
              </w:rPr>
              <w:t> </w:t>
            </w:r>
            <w:r>
              <w:rPr>
                <w:spacing w:val="-2"/>
                <w:sz w:val="22"/>
              </w:rPr>
              <w:t>Satisfied</w:t>
            </w:r>
          </w:p>
        </w:tc>
        <w:tc>
          <w:tcPr>
            <w:tcW w:w="916" w:type="dxa"/>
          </w:tcPr>
          <w:p>
            <w:pPr>
              <w:pStyle w:val="TableParagraph"/>
              <w:spacing w:line="249" w:lineRule="exact"/>
              <w:ind w:right="181"/>
              <w:jc w:val="right"/>
              <w:rPr>
                <w:sz w:val="22"/>
              </w:rPr>
            </w:pPr>
            <w:r>
              <w:rPr>
                <w:spacing w:val="-10"/>
                <w:sz w:val="22"/>
              </w:rPr>
              <w:t>3</w:t>
            </w:r>
          </w:p>
        </w:tc>
      </w:tr>
      <w:tr>
        <w:trPr>
          <w:trHeight w:val="522" w:hRule="atLeast"/>
        </w:trPr>
        <w:tc>
          <w:tcPr>
            <w:tcW w:w="6036" w:type="dxa"/>
          </w:tcPr>
          <w:p>
            <w:pPr>
              <w:pStyle w:val="TableParagraph"/>
              <w:numPr>
                <w:ilvl w:val="0"/>
                <w:numId w:val="24"/>
              </w:numPr>
              <w:tabs>
                <w:tab w:pos="858" w:val="left" w:leader="none"/>
              </w:tabs>
              <w:spacing w:line="254" w:lineRule="exact" w:before="0" w:after="0"/>
              <w:ind w:left="858" w:right="426" w:hanging="360"/>
              <w:jc w:val="left"/>
              <w:rPr>
                <w:sz w:val="22"/>
              </w:rPr>
            </w:pPr>
            <w:r>
              <w:rPr>
                <w:color w:val="1F2023"/>
                <w:sz w:val="22"/>
              </w:rPr>
              <w:t>Academic</w:t>
            </w:r>
            <w:r>
              <w:rPr>
                <w:color w:val="1F2023"/>
                <w:spacing w:val="-6"/>
                <w:sz w:val="22"/>
              </w:rPr>
              <w:t> </w:t>
            </w:r>
            <w:r>
              <w:rPr>
                <w:color w:val="1F2023"/>
                <w:sz w:val="22"/>
              </w:rPr>
              <w:t>tutoring</w:t>
            </w:r>
            <w:r>
              <w:rPr>
                <w:color w:val="1F2023"/>
                <w:spacing w:val="-9"/>
                <w:sz w:val="22"/>
              </w:rPr>
              <w:t> </w:t>
            </w:r>
            <w:r>
              <w:rPr>
                <w:color w:val="1F2023"/>
                <w:sz w:val="22"/>
              </w:rPr>
              <w:t>or</w:t>
            </w:r>
            <w:r>
              <w:rPr>
                <w:color w:val="1F2023"/>
                <w:spacing w:val="-8"/>
                <w:sz w:val="22"/>
              </w:rPr>
              <w:t> </w:t>
            </w:r>
            <w:r>
              <w:rPr>
                <w:color w:val="1F2023"/>
                <w:sz w:val="22"/>
              </w:rPr>
              <w:t>remedial</w:t>
            </w:r>
            <w:r>
              <w:rPr>
                <w:color w:val="1F2023"/>
                <w:spacing w:val="-6"/>
                <w:sz w:val="22"/>
              </w:rPr>
              <w:t> </w:t>
            </w:r>
            <w:r>
              <w:rPr>
                <w:color w:val="1F2023"/>
                <w:sz w:val="22"/>
              </w:rPr>
              <w:t>programs</w:t>
            </w:r>
            <w:r>
              <w:rPr>
                <w:color w:val="1F2023"/>
                <w:spacing w:val="-6"/>
                <w:sz w:val="22"/>
              </w:rPr>
              <w:t> </w:t>
            </w:r>
            <w:r>
              <w:rPr>
                <w:color w:val="1F2023"/>
                <w:sz w:val="22"/>
              </w:rPr>
              <w:t>are</w:t>
            </w:r>
            <w:r>
              <w:rPr>
                <w:color w:val="1F2023"/>
                <w:spacing w:val="-8"/>
                <w:sz w:val="22"/>
              </w:rPr>
              <w:t> </w:t>
            </w:r>
            <w:r>
              <w:rPr>
                <w:color w:val="1F2023"/>
                <w:sz w:val="22"/>
              </w:rPr>
              <w:t>provided when necessary.</w:t>
            </w:r>
          </w:p>
        </w:tc>
        <w:tc>
          <w:tcPr>
            <w:tcW w:w="827" w:type="dxa"/>
          </w:tcPr>
          <w:p>
            <w:pPr>
              <w:pStyle w:val="TableParagraph"/>
              <w:spacing w:line="252" w:lineRule="exact"/>
              <w:ind w:right="105"/>
              <w:jc w:val="right"/>
              <w:rPr>
                <w:sz w:val="22"/>
              </w:rPr>
            </w:pPr>
            <w:r>
              <w:rPr>
                <w:color w:val="000104"/>
                <w:spacing w:val="-4"/>
                <w:sz w:val="22"/>
              </w:rPr>
              <w:t>4.14</w:t>
            </w:r>
          </w:p>
        </w:tc>
        <w:tc>
          <w:tcPr>
            <w:tcW w:w="1643" w:type="dxa"/>
          </w:tcPr>
          <w:p>
            <w:pPr>
              <w:pStyle w:val="TableParagraph"/>
              <w:spacing w:line="252" w:lineRule="exact"/>
              <w:ind w:left="108"/>
              <w:rPr>
                <w:sz w:val="22"/>
              </w:rPr>
            </w:pPr>
            <w:r>
              <w:rPr>
                <w:spacing w:val="-2"/>
                <w:sz w:val="22"/>
              </w:rPr>
              <w:t>Satisfied</w:t>
            </w:r>
          </w:p>
        </w:tc>
        <w:tc>
          <w:tcPr>
            <w:tcW w:w="916" w:type="dxa"/>
          </w:tcPr>
          <w:p>
            <w:pPr>
              <w:pStyle w:val="TableParagraph"/>
              <w:spacing w:line="252" w:lineRule="exact"/>
              <w:ind w:right="181"/>
              <w:jc w:val="right"/>
              <w:rPr>
                <w:sz w:val="22"/>
              </w:rPr>
            </w:pPr>
            <w:r>
              <w:rPr>
                <w:spacing w:val="-10"/>
                <w:sz w:val="22"/>
              </w:rPr>
              <w:t>4</w:t>
            </w:r>
          </w:p>
        </w:tc>
      </w:tr>
      <w:tr>
        <w:trPr>
          <w:trHeight w:val="529" w:hRule="atLeast"/>
        </w:trPr>
        <w:tc>
          <w:tcPr>
            <w:tcW w:w="6036" w:type="dxa"/>
          </w:tcPr>
          <w:p>
            <w:pPr>
              <w:pStyle w:val="TableParagraph"/>
              <w:numPr>
                <w:ilvl w:val="0"/>
                <w:numId w:val="25"/>
              </w:numPr>
              <w:tabs>
                <w:tab w:pos="858" w:val="left" w:leader="none"/>
              </w:tabs>
              <w:spacing w:line="250" w:lineRule="atLeast" w:before="0" w:after="0"/>
              <w:ind w:left="858" w:right="699" w:hanging="360"/>
              <w:jc w:val="left"/>
              <w:rPr>
                <w:sz w:val="22"/>
              </w:rPr>
            </w:pPr>
            <w:r>
              <w:rPr>
                <w:color w:val="1F2023"/>
                <w:sz w:val="22"/>
              </w:rPr>
              <w:t>The</w:t>
            </w:r>
            <w:r>
              <w:rPr>
                <w:color w:val="1F2023"/>
                <w:spacing w:val="-5"/>
                <w:sz w:val="22"/>
              </w:rPr>
              <w:t> </w:t>
            </w:r>
            <w:r>
              <w:rPr>
                <w:color w:val="1F2023"/>
                <w:sz w:val="22"/>
              </w:rPr>
              <w:t>school</w:t>
            </w:r>
            <w:r>
              <w:rPr>
                <w:color w:val="1F2023"/>
                <w:spacing w:val="-6"/>
                <w:sz w:val="22"/>
              </w:rPr>
              <w:t> </w:t>
            </w:r>
            <w:r>
              <w:rPr>
                <w:color w:val="1F2023"/>
                <w:sz w:val="22"/>
              </w:rPr>
              <w:t>recognizes</w:t>
            </w:r>
            <w:r>
              <w:rPr>
                <w:color w:val="1F2023"/>
                <w:spacing w:val="-7"/>
                <w:sz w:val="22"/>
              </w:rPr>
              <w:t> </w:t>
            </w:r>
            <w:r>
              <w:rPr>
                <w:color w:val="1F2023"/>
                <w:sz w:val="22"/>
              </w:rPr>
              <w:t>and</w:t>
            </w:r>
            <w:r>
              <w:rPr>
                <w:color w:val="1F2023"/>
                <w:spacing w:val="-4"/>
                <w:sz w:val="22"/>
              </w:rPr>
              <w:t> </w:t>
            </w:r>
            <w:r>
              <w:rPr>
                <w:color w:val="1F2023"/>
                <w:sz w:val="22"/>
              </w:rPr>
              <w:t>supports</w:t>
            </w:r>
            <w:r>
              <w:rPr>
                <w:color w:val="1F2023"/>
                <w:spacing w:val="-4"/>
                <w:sz w:val="22"/>
              </w:rPr>
              <w:t> </w:t>
            </w:r>
            <w:r>
              <w:rPr>
                <w:color w:val="1F2023"/>
                <w:sz w:val="22"/>
              </w:rPr>
              <w:t>my</w:t>
            </w:r>
            <w:r>
              <w:rPr>
                <w:color w:val="1F2023"/>
                <w:spacing w:val="-11"/>
                <w:sz w:val="22"/>
              </w:rPr>
              <w:t> </w:t>
            </w:r>
            <w:r>
              <w:rPr>
                <w:color w:val="1F2023"/>
                <w:sz w:val="22"/>
              </w:rPr>
              <w:t>talents</w:t>
            </w:r>
            <w:r>
              <w:rPr>
                <w:color w:val="1F2023"/>
                <w:spacing w:val="-4"/>
                <w:sz w:val="22"/>
              </w:rPr>
              <w:t> </w:t>
            </w:r>
            <w:r>
              <w:rPr>
                <w:color w:val="1F2023"/>
                <w:sz w:val="22"/>
              </w:rPr>
              <w:t>and </w:t>
            </w:r>
            <w:r>
              <w:rPr>
                <w:color w:val="1F2023"/>
                <w:spacing w:val="-2"/>
                <w:sz w:val="22"/>
              </w:rPr>
              <w:t>achievements.</w:t>
            </w:r>
          </w:p>
        </w:tc>
        <w:tc>
          <w:tcPr>
            <w:tcW w:w="827" w:type="dxa"/>
          </w:tcPr>
          <w:p>
            <w:pPr>
              <w:pStyle w:val="TableParagraph"/>
              <w:spacing w:line="253" w:lineRule="exact"/>
              <w:ind w:right="105"/>
              <w:jc w:val="right"/>
              <w:rPr>
                <w:sz w:val="22"/>
              </w:rPr>
            </w:pPr>
            <w:r>
              <w:rPr>
                <w:color w:val="000104"/>
                <w:spacing w:val="-4"/>
                <w:sz w:val="22"/>
              </w:rPr>
              <w:t>4.10</w:t>
            </w:r>
          </w:p>
        </w:tc>
        <w:tc>
          <w:tcPr>
            <w:tcW w:w="1643" w:type="dxa"/>
          </w:tcPr>
          <w:p>
            <w:pPr>
              <w:pStyle w:val="TableParagraph"/>
              <w:spacing w:line="253" w:lineRule="exact"/>
              <w:ind w:left="108"/>
              <w:rPr>
                <w:sz w:val="22"/>
              </w:rPr>
            </w:pPr>
            <w:r>
              <w:rPr>
                <w:spacing w:val="-2"/>
                <w:sz w:val="22"/>
              </w:rPr>
              <w:t>Satisfied</w:t>
            </w:r>
          </w:p>
        </w:tc>
        <w:tc>
          <w:tcPr>
            <w:tcW w:w="916" w:type="dxa"/>
          </w:tcPr>
          <w:p>
            <w:pPr>
              <w:pStyle w:val="TableParagraph"/>
              <w:spacing w:line="253" w:lineRule="exact"/>
              <w:ind w:right="181"/>
              <w:jc w:val="right"/>
              <w:rPr>
                <w:sz w:val="22"/>
              </w:rPr>
            </w:pPr>
            <w:r>
              <w:rPr>
                <w:spacing w:val="-10"/>
                <w:sz w:val="22"/>
              </w:rPr>
              <w:t>5</w:t>
            </w:r>
          </w:p>
        </w:tc>
      </w:tr>
      <w:tr>
        <w:trPr>
          <w:trHeight w:val="253" w:hRule="atLeast"/>
        </w:trPr>
        <w:tc>
          <w:tcPr>
            <w:tcW w:w="6036" w:type="dxa"/>
            <w:tcBorders>
              <w:bottom w:val="single" w:sz="4" w:space="0" w:color="7E7E7E"/>
            </w:tcBorders>
          </w:tcPr>
          <w:p>
            <w:pPr>
              <w:pStyle w:val="TableParagraph"/>
              <w:spacing w:line="233" w:lineRule="exact"/>
              <w:ind w:right="181"/>
              <w:jc w:val="right"/>
              <w:rPr>
                <w:b/>
                <w:sz w:val="22"/>
              </w:rPr>
            </w:pPr>
            <w:r>
              <w:rPr>
                <w:b/>
                <w:color w:val="1F2023"/>
                <w:sz w:val="22"/>
              </w:rPr>
              <w:t>Aggregate</w:t>
            </w:r>
            <w:r>
              <w:rPr>
                <w:b/>
                <w:color w:val="1F2023"/>
                <w:spacing w:val="1"/>
                <w:sz w:val="22"/>
              </w:rPr>
              <w:t> </w:t>
            </w:r>
            <w:r>
              <w:rPr>
                <w:b/>
                <w:color w:val="1F2023"/>
                <w:spacing w:val="-4"/>
                <w:sz w:val="22"/>
              </w:rPr>
              <w:t>Mean</w:t>
            </w:r>
          </w:p>
        </w:tc>
        <w:tc>
          <w:tcPr>
            <w:tcW w:w="827" w:type="dxa"/>
            <w:tcBorders>
              <w:bottom w:val="single" w:sz="4" w:space="0" w:color="7E7E7E"/>
            </w:tcBorders>
          </w:tcPr>
          <w:p>
            <w:pPr>
              <w:pStyle w:val="TableParagraph"/>
              <w:spacing w:line="233" w:lineRule="exact"/>
              <w:ind w:right="105"/>
              <w:jc w:val="right"/>
              <w:rPr>
                <w:b/>
                <w:sz w:val="22"/>
              </w:rPr>
            </w:pPr>
            <w:r>
              <w:rPr>
                <w:b/>
                <w:color w:val="000104"/>
                <w:spacing w:val="-4"/>
                <w:sz w:val="22"/>
              </w:rPr>
              <w:t>4.21</w:t>
            </w:r>
          </w:p>
        </w:tc>
        <w:tc>
          <w:tcPr>
            <w:tcW w:w="1643" w:type="dxa"/>
            <w:tcBorders>
              <w:bottom w:val="single" w:sz="4" w:space="0" w:color="7E7E7E"/>
            </w:tcBorders>
          </w:tcPr>
          <w:p>
            <w:pPr>
              <w:pStyle w:val="TableParagraph"/>
              <w:spacing w:line="233" w:lineRule="exact"/>
              <w:ind w:left="108"/>
              <w:rPr>
                <w:b/>
                <w:sz w:val="22"/>
              </w:rPr>
            </w:pPr>
            <w:r>
              <w:rPr>
                <w:b/>
                <w:sz w:val="22"/>
              </w:rPr>
              <w:t>Very </w:t>
            </w:r>
            <w:r>
              <w:rPr>
                <w:b/>
                <w:spacing w:val="-2"/>
                <w:sz w:val="22"/>
              </w:rPr>
              <w:t>Satisfied</w:t>
            </w:r>
          </w:p>
        </w:tc>
        <w:tc>
          <w:tcPr>
            <w:tcW w:w="916" w:type="dxa"/>
            <w:tcBorders>
              <w:bottom w:val="single" w:sz="4" w:space="0" w:color="7E7E7E"/>
            </w:tcBorders>
          </w:tcPr>
          <w:p>
            <w:pPr>
              <w:pStyle w:val="TableParagraph"/>
              <w:rPr>
                <w:sz w:val="18"/>
              </w:rPr>
            </w:pPr>
          </w:p>
        </w:tc>
      </w:tr>
    </w:tbl>
    <w:p>
      <w:pPr>
        <w:pStyle w:val="TableParagraph"/>
        <w:spacing w:after="0"/>
        <w:rPr>
          <w:sz w:val="18"/>
        </w:rPr>
        <w:sectPr>
          <w:pgSz w:w="12240" w:h="15840"/>
          <w:pgMar w:header="98" w:footer="938" w:top="1340" w:bottom="1160" w:left="720" w:right="1080"/>
        </w:sectPr>
      </w:pPr>
    </w:p>
    <w:p>
      <w:pPr>
        <w:pStyle w:val="BodyText"/>
        <w:spacing w:before="104"/>
        <w:ind w:right="361" w:firstLine="720"/>
      </w:pPr>
      <w:r>
        <w:rPr/>
        <w:t>Table 2 presents the level of student satisfaction in the Elementary Department of UCLM across five areas: teacher quality and instruction delivery, curriculum and academic workload, learning environment and peer interaction, school facilities and resources, and student support services and extracurricular activities.</w:t>
      </w:r>
    </w:p>
    <w:p>
      <w:pPr>
        <w:pStyle w:val="BodyText"/>
        <w:ind w:right="358" w:firstLine="720"/>
      </w:pPr>
      <w:r>
        <w:rPr/>
        <w:t>For Teacher Quality and Instruction Delivery, the highest-rated indicators were teachers treating students</w:t>
      </w:r>
      <w:r>
        <w:rPr>
          <w:spacing w:val="-4"/>
        </w:rPr>
        <w:t> </w:t>
      </w:r>
      <w:r>
        <w:rPr/>
        <w:t>with</w:t>
      </w:r>
      <w:r>
        <w:rPr>
          <w:spacing w:val="-5"/>
        </w:rPr>
        <w:t> </w:t>
      </w:r>
      <w:r>
        <w:rPr/>
        <w:t>respect</w:t>
      </w:r>
      <w:r>
        <w:rPr>
          <w:spacing w:val="-4"/>
        </w:rPr>
        <w:t> </w:t>
      </w:r>
      <w:r>
        <w:rPr/>
        <w:t>and</w:t>
      </w:r>
      <w:r>
        <w:rPr>
          <w:spacing w:val="-3"/>
        </w:rPr>
        <w:t> </w:t>
      </w:r>
      <w:r>
        <w:rPr/>
        <w:t>responding</w:t>
      </w:r>
      <w:r>
        <w:rPr>
          <w:spacing w:val="-5"/>
        </w:rPr>
        <w:t> </w:t>
      </w:r>
      <w:r>
        <w:rPr/>
        <w:t>to</w:t>
      </w:r>
      <w:r>
        <w:rPr>
          <w:spacing w:val="-5"/>
        </w:rPr>
        <w:t> </w:t>
      </w:r>
      <w:r>
        <w:rPr/>
        <w:t>student</w:t>
      </w:r>
      <w:r>
        <w:rPr>
          <w:spacing w:val="-2"/>
        </w:rPr>
        <w:t> </w:t>
      </w:r>
      <w:r>
        <w:rPr/>
        <w:t>concerns,</w:t>
      </w:r>
      <w:r>
        <w:rPr>
          <w:spacing w:val="-2"/>
        </w:rPr>
        <w:t> </w:t>
      </w:r>
      <w:r>
        <w:rPr/>
        <w:t>both</w:t>
      </w:r>
      <w:r>
        <w:rPr>
          <w:spacing w:val="-5"/>
        </w:rPr>
        <w:t> </w:t>
      </w:r>
      <w:r>
        <w:rPr/>
        <w:t>with</w:t>
      </w:r>
      <w:r>
        <w:rPr>
          <w:spacing w:val="-7"/>
        </w:rPr>
        <w:t> </w:t>
      </w:r>
      <w:r>
        <w:rPr/>
        <w:t>a mean</w:t>
      </w:r>
      <w:r>
        <w:rPr>
          <w:spacing w:val="-2"/>
        </w:rPr>
        <w:t> </w:t>
      </w:r>
      <w:r>
        <w:rPr/>
        <w:t>of</w:t>
      </w:r>
      <w:r>
        <w:rPr>
          <w:spacing w:val="-2"/>
        </w:rPr>
        <w:t> </w:t>
      </w:r>
      <w:r>
        <w:rPr/>
        <w:t>4.32,</w:t>
      </w:r>
      <w:r>
        <w:rPr>
          <w:spacing w:val="-4"/>
        </w:rPr>
        <w:t> </w:t>
      </w:r>
      <w:r>
        <w:rPr/>
        <w:t>which</w:t>
      </w:r>
      <w:r>
        <w:rPr>
          <w:spacing w:val="-6"/>
        </w:rPr>
        <w:t> </w:t>
      </w:r>
      <w:r>
        <w:rPr/>
        <w:t>was</w:t>
      </w:r>
      <w:r>
        <w:rPr>
          <w:spacing w:val="-2"/>
        </w:rPr>
        <w:t> </w:t>
      </w:r>
      <w:r>
        <w:rPr/>
        <w:t>interpreted as </w:t>
      </w:r>
      <w:r>
        <w:rPr>
          <w:i/>
        </w:rPr>
        <w:t>Very</w:t>
      </w:r>
      <w:r>
        <w:rPr>
          <w:i/>
          <w:spacing w:val="-1"/>
        </w:rPr>
        <w:t> </w:t>
      </w:r>
      <w:r>
        <w:rPr>
          <w:i/>
        </w:rPr>
        <w:t>Satisfied</w:t>
      </w:r>
      <w:r>
        <w:rPr/>
        <w:t>.</w:t>
      </w:r>
      <w:r>
        <w:rPr>
          <w:spacing w:val="-1"/>
        </w:rPr>
        <w:t> </w:t>
      </w:r>
      <w:r>
        <w:rPr/>
        <w:t>The</w:t>
      </w:r>
      <w:r>
        <w:rPr>
          <w:spacing w:val="-2"/>
        </w:rPr>
        <w:t> </w:t>
      </w:r>
      <w:r>
        <w:rPr/>
        <w:t>lowest indicator</w:t>
      </w:r>
      <w:r>
        <w:rPr>
          <w:spacing w:val="-1"/>
        </w:rPr>
        <w:t> </w:t>
      </w:r>
      <w:r>
        <w:rPr/>
        <w:t>in</w:t>
      </w:r>
      <w:r>
        <w:rPr>
          <w:spacing w:val="-2"/>
        </w:rPr>
        <w:t> </w:t>
      </w:r>
      <w:r>
        <w:rPr/>
        <w:t>this</w:t>
      </w:r>
      <w:r>
        <w:rPr>
          <w:spacing w:val="-3"/>
        </w:rPr>
        <w:t> </w:t>
      </w:r>
      <w:r>
        <w:rPr/>
        <w:t>area was</w:t>
      </w:r>
      <w:r>
        <w:rPr>
          <w:spacing w:val="-1"/>
        </w:rPr>
        <w:t> </w:t>
      </w:r>
      <w:r>
        <w:rPr/>
        <w:t>fairness</w:t>
      </w:r>
      <w:r>
        <w:rPr>
          <w:spacing w:val="-1"/>
        </w:rPr>
        <w:t> </w:t>
      </w:r>
      <w:r>
        <w:rPr/>
        <w:t>in grading and</w:t>
      </w:r>
      <w:r>
        <w:rPr>
          <w:spacing w:val="-1"/>
        </w:rPr>
        <w:t> </w:t>
      </w:r>
      <w:r>
        <w:rPr/>
        <w:t>assessment,</w:t>
      </w:r>
      <w:r>
        <w:rPr>
          <w:spacing w:val="-1"/>
        </w:rPr>
        <w:t> </w:t>
      </w:r>
      <w:r>
        <w:rPr/>
        <w:t>with a mean of 4.08, interpreted as </w:t>
      </w:r>
      <w:r>
        <w:rPr>
          <w:i/>
        </w:rPr>
        <w:t>Satisfied</w:t>
      </w:r>
      <w:r>
        <w:rPr/>
        <w:t>.</w:t>
      </w:r>
    </w:p>
    <w:p>
      <w:pPr>
        <w:pStyle w:val="BodyText"/>
        <w:spacing w:before="1"/>
        <w:ind w:right="357" w:firstLine="720"/>
      </w:pPr>
      <w:r>
        <w:rPr/>
        <w:t>In</w:t>
      </w:r>
      <w:r>
        <w:rPr>
          <w:spacing w:val="-14"/>
        </w:rPr>
        <w:t> </w:t>
      </w:r>
      <w:r>
        <w:rPr/>
        <w:t>terms</w:t>
      </w:r>
      <w:r>
        <w:rPr>
          <w:spacing w:val="-14"/>
        </w:rPr>
        <w:t> </w:t>
      </w:r>
      <w:r>
        <w:rPr/>
        <w:t>of</w:t>
      </w:r>
      <w:r>
        <w:rPr>
          <w:spacing w:val="-14"/>
        </w:rPr>
        <w:t> </w:t>
      </w:r>
      <w:r>
        <w:rPr/>
        <w:t>Curriculum</w:t>
      </w:r>
      <w:r>
        <w:rPr>
          <w:spacing w:val="-13"/>
        </w:rPr>
        <w:t> </w:t>
      </w:r>
      <w:r>
        <w:rPr/>
        <w:t>and</w:t>
      </w:r>
      <w:r>
        <w:rPr>
          <w:spacing w:val="-14"/>
        </w:rPr>
        <w:t> </w:t>
      </w:r>
      <w:r>
        <w:rPr/>
        <w:t>Academic</w:t>
      </w:r>
      <w:r>
        <w:rPr>
          <w:spacing w:val="-14"/>
        </w:rPr>
        <w:t> </w:t>
      </w:r>
      <w:r>
        <w:rPr/>
        <w:t>Workload,</w:t>
      </w:r>
      <w:r>
        <w:rPr>
          <w:spacing w:val="-14"/>
        </w:rPr>
        <w:t> </w:t>
      </w:r>
      <w:r>
        <w:rPr/>
        <w:t>the</w:t>
      </w:r>
      <w:r>
        <w:rPr>
          <w:spacing w:val="-13"/>
        </w:rPr>
        <w:t> </w:t>
      </w:r>
      <w:r>
        <w:rPr/>
        <w:t>highest</w:t>
      </w:r>
      <w:r>
        <w:rPr>
          <w:spacing w:val="-14"/>
        </w:rPr>
        <w:t> </w:t>
      </w:r>
      <w:r>
        <w:rPr/>
        <w:t>satisfaction</w:t>
      </w:r>
      <w:r>
        <w:rPr>
          <w:spacing w:val="-14"/>
        </w:rPr>
        <w:t> </w:t>
      </w:r>
      <w:r>
        <w:rPr/>
        <w:t>was</w:t>
      </w:r>
      <w:r>
        <w:rPr>
          <w:spacing w:val="-14"/>
        </w:rPr>
        <w:t> </w:t>
      </w:r>
      <w:r>
        <w:rPr/>
        <w:t>given</w:t>
      </w:r>
      <w:r>
        <w:rPr>
          <w:spacing w:val="-13"/>
        </w:rPr>
        <w:t> </w:t>
      </w:r>
      <w:r>
        <w:rPr/>
        <w:t>to</w:t>
      </w:r>
      <w:r>
        <w:rPr>
          <w:spacing w:val="-14"/>
        </w:rPr>
        <w:t> </w:t>
      </w:r>
      <w:r>
        <w:rPr/>
        <w:t>the</w:t>
      </w:r>
      <w:r>
        <w:rPr>
          <w:spacing w:val="-14"/>
        </w:rPr>
        <w:t> </w:t>
      </w:r>
      <w:r>
        <w:rPr/>
        <w:t>relevance and</w:t>
      </w:r>
      <w:r>
        <w:rPr>
          <w:spacing w:val="-12"/>
        </w:rPr>
        <w:t> </w:t>
      </w:r>
      <w:r>
        <w:rPr/>
        <w:t>usefulness</w:t>
      </w:r>
      <w:r>
        <w:rPr>
          <w:spacing w:val="-12"/>
        </w:rPr>
        <w:t> </w:t>
      </w:r>
      <w:r>
        <w:rPr/>
        <w:t>of</w:t>
      </w:r>
      <w:r>
        <w:rPr>
          <w:spacing w:val="-14"/>
        </w:rPr>
        <w:t> </w:t>
      </w:r>
      <w:r>
        <w:rPr/>
        <w:t>subjects,</w:t>
      </w:r>
      <w:r>
        <w:rPr>
          <w:spacing w:val="-11"/>
        </w:rPr>
        <w:t> </w:t>
      </w:r>
      <w:r>
        <w:rPr/>
        <w:t>with</w:t>
      </w:r>
      <w:r>
        <w:rPr>
          <w:spacing w:val="-13"/>
        </w:rPr>
        <w:t> </w:t>
      </w:r>
      <w:r>
        <w:rPr/>
        <w:t>a</w:t>
      </w:r>
      <w:r>
        <w:rPr>
          <w:spacing w:val="-12"/>
        </w:rPr>
        <w:t> </w:t>
      </w:r>
      <w:r>
        <w:rPr/>
        <w:t>mean</w:t>
      </w:r>
      <w:r>
        <w:rPr>
          <w:spacing w:val="-12"/>
        </w:rPr>
        <w:t> </w:t>
      </w:r>
      <w:r>
        <w:rPr/>
        <w:t>of</w:t>
      </w:r>
      <w:r>
        <w:rPr>
          <w:spacing w:val="-12"/>
        </w:rPr>
        <w:t> </w:t>
      </w:r>
      <w:r>
        <w:rPr/>
        <w:t>4.20,</w:t>
      </w:r>
      <w:r>
        <w:rPr>
          <w:spacing w:val="-12"/>
        </w:rPr>
        <w:t> </w:t>
      </w:r>
      <w:r>
        <w:rPr/>
        <w:t>interpreted</w:t>
      </w:r>
      <w:r>
        <w:rPr>
          <w:spacing w:val="-12"/>
        </w:rPr>
        <w:t> </w:t>
      </w:r>
      <w:r>
        <w:rPr/>
        <w:t>as</w:t>
      </w:r>
      <w:r>
        <w:rPr>
          <w:spacing w:val="-8"/>
        </w:rPr>
        <w:t> </w:t>
      </w:r>
      <w:r>
        <w:rPr>
          <w:i/>
        </w:rPr>
        <w:t>Satisfied</w:t>
      </w:r>
      <w:r>
        <w:rPr/>
        <w:t>.</w:t>
      </w:r>
      <w:r>
        <w:rPr>
          <w:spacing w:val="-12"/>
        </w:rPr>
        <w:t> </w:t>
      </w:r>
      <w:r>
        <w:rPr/>
        <w:t>The</w:t>
      </w:r>
      <w:r>
        <w:rPr>
          <w:spacing w:val="-13"/>
        </w:rPr>
        <w:t> </w:t>
      </w:r>
      <w:r>
        <w:rPr/>
        <w:t>lowest</w:t>
      </w:r>
      <w:r>
        <w:rPr>
          <w:spacing w:val="-12"/>
        </w:rPr>
        <w:t> </w:t>
      </w:r>
      <w:r>
        <w:rPr/>
        <w:t>was</w:t>
      </w:r>
      <w:r>
        <w:rPr>
          <w:spacing w:val="-12"/>
        </w:rPr>
        <w:t> </w:t>
      </w:r>
      <w:r>
        <w:rPr/>
        <w:t>the</w:t>
      </w:r>
      <w:r>
        <w:rPr>
          <w:spacing w:val="-14"/>
        </w:rPr>
        <w:t> </w:t>
      </w:r>
      <w:r>
        <w:rPr/>
        <w:t>appropriateness of the academic workload, with a mean of 3.93, interpreted as </w:t>
      </w:r>
      <w:r>
        <w:rPr>
          <w:i/>
        </w:rPr>
        <w:t>Satisfied</w:t>
      </w:r>
      <w:r>
        <w:rPr/>
        <w:t>.</w:t>
      </w:r>
    </w:p>
    <w:p>
      <w:pPr>
        <w:pStyle w:val="BodyText"/>
        <w:ind w:right="355" w:firstLine="720"/>
      </w:pPr>
      <w:r>
        <w:rPr/>
        <w:t>For Learning Environment and Peer Interaction, the highest rating was given to opportunities to work with others in groups, with a mean of 4.13, interpreted as </w:t>
      </w:r>
      <w:r>
        <w:rPr>
          <w:i/>
        </w:rPr>
        <w:t>Satisfied</w:t>
      </w:r>
      <w:r>
        <w:rPr/>
        <w:t>. The lowest was the school's protection from bullying and discrimination, with a mean of 3.94, which is also interpreted as </w:t>
      </w:r>
      <w:r>
        <w:rPr>
          <w:i/>
        </w:rPr>
        <w:t>'Satisfied</w:t>
      </w:r>
      <w:r>
        <w:rPr/>
        <w:t>'.</w:t>
      </w:r>
    </w:p>
    <w:p>
      <w:pPr>
        <w:pStyle w:val="BodyText"/>
        <w:ind w:right="356" w:firstLine="720"/>
      </w:pPr>
      <w:r>
        <w:rPr/>
        <w:t>Regarding School Facilities and Resources, the accessibility of the library, laboratories, and technology</w:t>
      </w:r>
      <w:r>
        <w:rPr>
          <w:spacing w:val="-2"/>
        </w:rPr>
        <w:t> </w:t>
      </w:r>
      <w:r>
        <w:rPr/>
        <w:t>resources received the highest mean of 4.35, interpreted as </w:t>
      </w:r>
      <w:r>
        <w:rPr>
          <w:i/>
        </w:rPr>
        <w:t>'Very Satisfied</w:t>
      </w:r>
      <w:r>
        <w:rPr/>
        <w:t>'. The lowest in this area was the cleanliness and safety of the comfort rooms, with a mean of 3.73, interpreted as </w:t>
      </w:r>
      <w:r>
        <w:rPr>
          <w:i/>
        </w:rPr>
        <w:t>'Satisfied</w:t>
      </w:r>
      <w:r>
        <w:rPr/>
        <w:t>'.</w:t>
      </w:r>
    </w:p>
    <w:p>
      <w:pPr>
        <w:pStyle w:val="BodyText"/>
        <w:ind w:right="354" w:firstLine="720"/>
      </w:pPr>
      <w:r>
        <w:rPr/>
        <w:t>Lastly, for Student Support Services and Extracurricular Activities, the availability of guidance, counseling, and mental health</w:t>
      </w:r>
      <w:r>
        <w:rPr>
          <w:spacing w:val="-1"/>
        </w:rPr>
        <w:t> </w:t>
      </w:r>
      <w:r>
        <w:rPr/>
        <w:t>support received the highest</w:t>
      </w:r>
      <w:r>
        <w:rPr>
          <w:spacing w:val="-2"/>
        </w:rPr>
        <w:t> </w:t>
      </w:r>
      <w:r>
        <w:rPr/>
        <w:t>rating with a mean of 4.32,</w:t>
      </w:r>
      <w:r>
        <w:rPr>
          <w:spacing w:val="-2"/>
        </w:rPr>
        <w:t> </w:t>
      </w:r>
      <w:r>
        <w:rPr/>
        <w:t>interpreted as </w:t>
      </w:r>
      <w:r>
        <w:rPr>
          <w:i/>
        </w:rPr>
        <w:t>Very Satisfied</w:t>
      </w:r>
      <w:r>
        <w:rPr/>
        <w:t>. The lowest, although still positive, was the school’s recognition and support for student talents and achievements, with a mean of 4.10, interpreted as </w:t>
      </w:r>
      <w:r>
        <w:rPr>
          <w:i/>
        </w:rPr>
        <w:t>Satisfied</w:t>
      </w:r>
      <w:r>
        <w:rPr/>
        <w:t>.</w:t>
      </w:r>
    </w:p>
    <w:p>
      <w:pPr>
        <w:pStyle w:val="BodyText"/>
        <w:ind w:right="355" w:firstLine="720"/>
      </w:pPr>
      <w:r>
        <w:rPr/>
        <w:t>Overall, the aggregate means reveal that students are </w:t>
      </w:r>
      <w:r>
        <w:rPr>
          <w:i/>
        </w:rPr>
        <w:t>Very Satisfied </w:t>
      </w:r>
      <w:r>
        <w:rPr/>
        <w:t>with teacher quality and instruction delivery, with a mean of 4.21, and student support services and extracurricular activities also got a mean of 4.21. Meanwhile, they are </w:t>
      </w:r>
      <w:r>
        <w:rPr>
          <w:i/>
        </w:rPr>
        <w:t>Satisfied </w:t>
      </w:r>
      <w:r>
        <w:rPr/>
        <w:t>with the curriculum and academic workload, corresponding to a mean of 4.08, the learning environment and peer interaction, with a mean of 4.03, and the school facilities and resources, with a mean of 4.13. These findings suggest that UCLM excels in fostering high-quality teaching and strong support services. At the same time, attention is needed in managing academic workload and improving basic facilities such as comfort rooms.</w:t>
      </w:r>
    </w:p>
    <w:p>
      <w:pPr>
        <w:pStyle w:val="BodyText"/>
        <w:spacing w:before="1"/>
        <w:ind w:right="359" w:firstLine="720"/>
      </w:pPr>
      <w:r>
        <w:rPr/>
        <w:t>The results suggest that students highly</w:t>
      </w:r>
      <w:r>
        <w:rPr>
          <w:spacing w:val="-2"/>
        </w:rPr>
        <w:t> </w:t>
      </w:r>
      <w:r>
        <w:rPr/>
        <w:t>value teachers who are respectful and responsive, as well as accessible</w:t>
      </w:r>
      <w:r>
        <w:rPr>
          <w:spacing w:val="-2"/>
        </w:rPr>
        <w:t> </w:t>
      </w:r>
      <w:r>
        <w:rPr/>
        <w:t>learning</w:t>
      </w:r>
      <w:r>
        <w:rPr>
          <w:spacing w:val="-1"/>
        </w:rPr>
        <w:t> </w:t>
      </w:r>
      <w:r>
        <w:rPr/>
        <w:t>facilities and strong mental health</w:t>
      </w:r>
      <w:r>
        <w:rPr>
          <w:spacing w:val="-1"/>
        </w:rPr>
        <w:t> </w:t>
      </w:r>
      <w:r>
        <w:rPr/>
        <w:t>and extracurricular support, all of</w:t>
      </w:r>
      <w:r>
        <w:rPr>
          <w:spacing w:val="-2"/>
        </w:rPr>
        <w:t> </w:t>
      </w:r>
      <w:r>
        <w:rPr/>
        <w:t>which enhance overall satisfaction and engagement. However, the relatively lower ratings in workload management, bullying prevention, and maintenance of school facilities highlight areas where the institution can focus improvement efforts.</w:t>
      </w:r>
      <w:r>
        <w:rPr>
          <w:spacing w:val="-2"/>
        </w:rPr>
        <w:t> </w:t>
      </w:r>
      <w:r>
        <w:rPr/>
        <w:t>Addressing</w:t>
      </w:r>
      <w:r>
        <w:rPr>
          <w:spacing w:val="-3"/>
        </w:rPr>
        <w:t> </w:t>
      </w:r>
      <w:r>
        <w:rPr/>
        <w:t>these</w:t>
      </w:r>
      <w:r>
        <w:rPr>
          <w:spacing w:val="-2"/>
        </w:rPr>
        <w:t> </w:t>
      </w:r>
      <w:r>
        <w:rPr/>
        <w:t>aspects may</w:t>
      </w:r>
      <w:r>
        <w:rPr>
          <w:spacing w:val="-7"/>
        </w:rPr>
        <w:t> </w:t>
      </w:r>
      <w:r>
        <w:rPr/>
        <w:t>lead to</w:t>
      </w:r>
      <w:r>
        <w:rPr>
          <w:spacing w:val="-3"/>
        </w:rPr>
        <w:t> </w:t>
      </w:r>
      <w:r>
        <w:rPr/>
        <w:t>stronger</w:t>
      </w:r>
      <w:r>
        <w:rPr>
          <w:spacing w:val="-2"/>
        </w:rPr>
        <w:t> </w:t>
      </w:r>
      <w:r>
        <w:rPr/>
        <w:t>retention</w:t>
      </w:r>
      <w:r>
        <w:rPr>
          <w:spacing w:val="-3"/>
        </w:rPr>
        <w:t> </w:t>
      </w:r>
      <w:r>
        <w:rPr/>
        <w:t>rates,</w:t>
      </w:r>
      <w:r>
        <w:rPr>
          <w:spacing w:val="-2"/>
        </w:rPr>
        <w:t> </w:t>
      </w:r>
      <w:r>
        <w:rPr/>
        <w:t>increased</w:t>
      </w:r>
      <w:r>
        <w:rPr>
          <w:spacing w:val="-1"/>
        </w:rPr>
        <w:t> </w:t>
      </w:r>
      <w:r>
        <w:rPr/>
        <w:t>student</w:t>
      </w:r>
      <w:r>
        <w:rPr>
          <w:spacing w:val="-2"/>
        </w:rPr>
        <w:t> </w:t>
      </w:r>
      <w:r>
        <w:rPr/>
        <w:t>well being, and a more supportive school climate conducive to both academic and personal growth.</w:t>
      </w:r>
    </w:p>
    <w:p>
      <w:pPr>
        <w:pStyle w:val="BodyText"/>
        <w:ind w:right="355" w:firstLine="720"/>
      </w:pPr>
      <w:r>
        <w:rPr/>
        <w:t>Recent</w:t>
      </w:r>
      <w:r>
        <w:rPr>
          <w:spacing w:val="-8"/>
        </w:rPr>
        <w:t> </w:t>
      </w:r>
      <w:r>
        <w:rPr/>
        <w:t>studies</w:t>
      </w:r>
      <w:r>
        <w:rPr>
          <w:spacing w:val="-10"/>
        </w:rPr>
        <w:t> </w:t>
      </w:r>
      <w:r>
        <w:rPr/>
        <w:t>reinforce</w:t>
      </w:r>
      <w:r>
        <w:rPr>
          <w:spacing w:val="-8"/>
        </w:rPr>
        <w:t> </w:t>
      </w:r>
      <w:r>
        <w:rPr/>
        <w:t>these</w:t>
      </w:r>
      <w:r>
        <w:rPr>
          <w:spacing w:val="-10"/>
        </w:rPr>
        <w:t> </w:t>
      </w:r>
      <w:r>
        <w:rPr/>
        <w:t>findings.</w:t>
      </w:r>
      <w:r>
        <w:rPr>
          <w:spacing w:val="-9"/>
        </w:rPr>
        <w:t> </w:t>
      </w:r>
      <w:r>
        <w:rPr/>
        <w:t>Teacher</w:t>
      </w:r>
      <w:r>
        <w:rPr>
          <w:spacing w:val="-8"/>
        </w:rPr>
        <w:t> </w:t>
      </w:r>
      <w:r>
        <w:rPr/>
        <w:t>quality</w:t>
      </w:r>
      <w:r>
        <w:rPr>
          <w:spacing w:val="-14"/>
        </w:rPr>
        <w:t> </w:t>
      </w:r>
      <w:r>
        <w:rPr/>
        <w:t>and</w:t>
      </w:r>
      <w:r>
        <w:rPr>
          <w:spacing w:val="-2"/>
        </w:rPr>
        <w:t> </w:t>
      </w:r>
      <w:r>
        <w:rPr/>
        <w:t>responsiveness</w:t>
      </w:r>
      <w:r>
        <w:rPr>
          <w:spacing w:val="-8"/>
        </w:rPr>
        <w:t> </w:t>
      </w:r>
      <w:r>
        <w:rPr/>
        <w:t>are</w:t>
      </w:r>
      <w:r>
        <w:rPr>
          <w:spacing w:val="-8"/>
        </w:rPr>
        <w:t> </w:t>
      </w:r>
      <w:r>
        <w:rPr/>
        <w:t>strongly</w:t>
      </w:r>
      <w:r>
        <w:rPr>
          <w:spacing w:val="-14"/>
        </w:rPr>
        <w:t> </w:t>
      </w:r>
      <w:r>
        <w:rPr/>
        <w:t>associated with student satisfaction and academic achievement, as highlighted by García and Weiss (2020), who emphasized the importance of respectful interactions between teachers and students in fostering engagement.</w:t>
      </w:r>
      <w:r>
        <w:rPr>
          <w:spacing w:val="-8"/>
        </w:rPr>
        <w:t> </w:t>
      </w:r>
      <w:r>
        <w:rPr/>
        <w:t>Similarly,</w:t>
      </w:r>
      <w:r>
        <w:rPr>
          <w:spacing w:val="-3"/>
        </w:rPr>
        <w:t> </w:t>
      </w:r>
      <w:r>
        <w:rPr/>
        <w:t>Wang</w:t>
      </w:r>
      <w:r>
        <w:rPr>
          <w:spacing w:val="-8"/>
        </w:rPr>
        <w:t> </w:t>
      </w:r>
      <w:r>
        <w:rPr/>
        <w:t>et</w:t>
      </w:r>
      <w:r>
        <w:rPr>
          <w:spacing w:val="-8"/>
        </w:rPr>
        <w:t> </w:t>
      </w:r>
      <w:r>
        <w:rPr/>
        <w:t>al.</w:t>
      </w:r>
      <w:r>
        <w:rPr>
          <w:spacing w:val="-10"/>
        </w:rPr>
        <w:t> </w:t>
      </w:r>
      <w:r>
        <w:rPr/>
        <w:t>(2021)</w:t>
      </w:r>
      <w:r>
        <w:rPr>
          <w:spacing w:val="-10"/>
        </w:rPr>
        <w:t> </w:t>
      </w:r>
      <w:r>
        <w:rPr/>
        <w:t>found</w:t>
      </w:r>
      <w:r>
        <w:rPr>
          <w:spacing w:val="-9"/>
        </w:rPr>
        <w:t> </w:t>
      </w:r>
      <w:r>
        <w:rPr/>
        <w:t>that</w:t>
      </w:r>
      <w:r>
        <w:rPr>
          <w:spacing w:val="-9"/>
        </w:rPr>
        <w:t> </w:t>
      </w:r>
      <w:r>
        <w:rPr/>
        <w:t>fair</w:t>
      </w:r>
      <w:r>
        <w:rPr>
          <w:spacing w:val="-8"/>
        </w:rPr>
        <w:t> </w:t>
      </w:r>
      <w:r>
        <w:rPr/>
        <w:t>grading</w:t>
      </w:r>
      <w:r>
        <w:rPr>
          <w:spacing w:val="-10"/>
        </w:rPr>
        <w:t> </w:t>
      </w:r>
      <w:r>
        <w:rPr/>
        <w:t>and</w:t>
      </w:r>
      <w:r>
        <w:rPr>
          <w:spacing w:val="-10"/>
        </w:rPr>
        <w:t> </w:t>
      </w:r>
      <w:r>
        <w:rPr/>
        <w:t>precise</w:t>
      </w:r>
      <w:r>
        <w:rPr>
          <w:spacing w:val="-10"/>
        </w:rPr>
        <w:t> </w:t>
      </w:r>
      <w:r>
        <w:rPr/>
        <w:t>instructional</w:t>
      </w:r>
      <w:r>
        <w:rPr>
          <w:spacing w:val="-9"/>
        </w:rPr>
        <w:t> </w:t>
      </w:r>
      <w:r>
        <w:rPr/>
        <w:t>delivery</w:t>
      </w:r>
      <w:r>
        <w:rPr>
          <w:spacing w:val="-13"/>
        </w:rPr>
        <w:t> </w:t>
      </w:r>
      <w:r>
        <w:rPr/>
        <w:t>remain critical factors for student trust in the educational system.</w:t>
      </w:r>
    </w:p>
    <w:p>
      <w:pPr>
        <w:pStyle w:val="BodyText"/>
        <w:ind w:right="361" w:firstLine="720"/>
      </w:pPr>
      <w:r>
        <w:rPr/>
        <w:t>In terms of curriculum and workload, research by Castillo et al. (2021) revealed that balancing academic rigor with age-appropriate learning activities prevents student stress and promotes motivation. Regarding</w:t>
      </w:r>
      <w:r>
        <w:rPr>
          <w:spacing w:val="-3"/>
        </w:rPr>
        <w:t> </w:t>
      </w:r>
      <w:r>
        <w:rPr/>
        <w:t>peer</w:t>
      </w:r>
      <w:r>
        <w:rPr>
          <w:spacing w:val="-3"/>
        </w:rPr>
        <w:t> </w:t>
      </w:r>
      <w:r>
        <w:rPr/>
        <w:t>interaction,</w:t>
      </w:r>
      <w:r>
        <w:rPr>
          <w:spacing w:val="-3"/>
        </w:rPr>
        <w:t> </w:t>
      </w:r>
      <w:r>
        <w:rPr/>
        <w:t>the</w:t>
      </w:r>
      <w:r>
        <w:rPr>
          <w:spacing w:val="-2"/>
        </w:rPr>
        <w:t> </w:t>
      </w:r>
      <w:r>
        <w:rPr/>
        <w:t>importance</w:t>
      </w:r>
      <w:r>
        <w:rPr>
          <w:spacing w:val="-2"/>
        </w:rPr>
        <w:t> </w:t>
      </w:r>
      <w:r>
        <w:rPr/>
        <w:t>of</w:t>
      </w:r>
      <w:r>
        <w:rPr>
          <w:spacing w:val="-2"/>
        </w:rPr>
        <w:t> </w:t>
      </w:r>
      <w:r>
        <w:rPr/>
        <w:t>a</w:t>
      </w:r>
      <w:r>
        <w:rPr>
          <w:spacing w:val="-2"/>
        </w:rPr>
        <w:t> </w:t>
      </w:r>
      <w:r>
        <w:rPr/>
        <w:t>safe</w:t>
      </w:r>
      <w:r>
        <w:rPr>
          <w:spacing w:val="-2"/>
        </w:rPr>
        <w:t> </w:t>
      </w:r>
      <w:r>
        <w:rPr/>
        <w:t>and</w:t>
      </w:r>
      <w:r>
        <w:rPr>
          <w:spacing w:val="-2"/>
        </w:rPr>
        <w:t> </w:t>
      </w:r>
      <w:r>
        <w:rPr/>
        <w:t>inclusive</w:t>
      </w:r>
      <w:r>
        <w:rPr>
          <w:spacing w:val="-3"/>
        </w:rPr>
        <w:t> </w:t>
      </w:r>
      <w:r>
        <w:rPr/>
        <w:t>learning</w:t>
      </w:r>
      <w:r>
        <w:rPr>
          <w:spacing w:val="-3"/>
        </w:rPr>
        <w:t> </w:t>
      </w:r>
      <w:r>
        <w:rPr/>
        <w:t>environment is</w:t>
      </w:r>
      <w:r>
        <w:rPr>
          <w:spacing w:val="-3"/>
        </w:rPr>
        <w:t> </w:t>
      </w:r>
      <w:r>
        <w:rPr/>
        <w:t>underscored</w:t>
      </w:r>
      <w:r>
        <w:rPr>
          <w:spacing w:val="-2"/>
        </w:rPr>
        <w:t> </w:t>
      </w:r>
      <w:r>
        <w:rPr/>
        <w:t>by the UNESCO Global Report on Bullying (2021), which confirms that school protection against bullying directly affects students' sense of belonging and overall satisfaction.</w:t>
      </w:r>
    </w:p>
    <w:p>
      <w:pPr>
        <w:pStyle w:val="BodyText"/>
        <w:spacing w:before="1"/>
        <w:ind w:right="353" w:firstLine="720"/>
      </w:pPr>
      <w:r>
        <w:rPr/>
        <w:t>Moreover,</w:t>
      </w:r>
      <w:r>
        <w:rPr>
          <w:spacing w:val="-5"/>
        </w:rPr>
        <w:t> </w:t>
      </w:r>
      <w:r>
        <w:rPr/>
        <w:t>access</w:t>
      </w:r>
      <w:r>
        <w:rPr>
          <w:spacing w:val="-5"/>
        </w:rPr>
        <w:t> </w:t>
      </w:r>
      <w:r>
        <w:rPr/>
        <w:t>to</w:t>
      </w:r>
      <w:r>
        <w:rPr>
          <w:spacing w:val="-6"/>
        </w:rPr>
        <w:t> </w:t>
      </w:r>
      <w:r>
        <w:rPr/>
        <w:t>facilities</w:t>
      </w:r>
      <w:r>
        <w:rPr>
          <w:spacing w:val="-5"/>
        </w:rPr>
        <w:t> </w:t>
      </w:r>
      <w:r>
        <w:rPr/>
        <w:t>and</w:t>
      </w:r>
      <w:r>
        <w:rPr>
          <w:spacing w:val="-5"/>
        </w:rPr>
        <w:t> </w:t>
      </w:r>
      <w:r>
        <w:rPr/>
        <w:t>resources,</w:t>
      </w:r>
      <w:r>
        <w:rPr>
          <w:spacing w:val="-5"/>
        </w:rPr>
        <w:t> </w:t>
      </w:r>
      <w:r>
        <w:rPr/>
        <w:t>especially</w:t>
      </w:r>
      <w:r>
        <w:rPr>
          <w:spacing w:val="-12"/>
        </w:rPr>
        <w:t> </w:t>
      </w:r>
      <w:r>
        <w:rPr/>
        <w:t>libraries</w:t>
      </w:r>
      <w:r>
        <w:rPr>
          <w:spacing w:val="-5"/>
        </w:rPr>
        <w:t> </w:t>
      </w:r>
      <w:r>
        <w:rPr/>
        <w:t>and</w:t>
      </w:r>
      <w:r>
        <w:rPr>
          <w:spacing w:val="-7"/>
        </w:rPr>
        <w:t> </w:t>
      </w:r>
      <w:r>
        <w:rPr/>
        <w:t>technology,</w:t>
      </w:r>
      <w:r>
        <w:rPr>
          <w:spacing w:val="-3"/>
        </w:rPr>
        <w:t> </w:t>
      </w:r>
      <w:r>
        <w:rPr/>
        <w:t>has</w:t>
      </w:r>
      <w:r>
        <w:rPr>
          <w:spacing w:val="-3"/>
        </w:rPr>
        <w:t> </w:t>
      </w:r>
      <w:r>
        <w:rPr/>
        <w:t>been</w:t>
      </w:r>
      <w:r>
        <w:rPr>
          <w:spacing w:val="-5"/>
        </w:rPr>
        <w:t> </w:t>
      </w:r>
      <w:r>
        <w:rPr/>
        <w:t>found</w:t>
      </w:r>
      <w:r>
        <w:rPr>
          <w:spacing w:val="-4"/>
        </w:rPr>
        <w:t> </w:t>
      </w:r>
      <w:r>
        <w:rPr/>
        <w:t>to enhance both learning and satisfaction (Barrot, 2021). Lastly, the strong ratings for counseling and extracurricular</w:t>
      </w:r>
      <w:r>
        <w:rPr>
          <w:spacing w:val="-14"/>
        </w:rPr>
        <w:t> </w:t>
      </w:r>
      <w:r>
        <w:rPr/>
        <w:t>activities</w:t>
      </w:r>
      <w:r>
        <w:rPr>
          <w:spacing w:val="-13"/>
        </w:rPr>
        <w:t> </w:t>
      </w:r>
      <w:r>
        <w:rPr/>
        <w:t>align</w:t>
      </w:r>
      <w:r>
        <w:rPr>
          <w:spacing w:val="-13"/>
        </w:rPr>
        <w:t> </w:t>
      </w:r>
      <w:r>
        <w:rPr/>
        <w:t>with</w:t>
      </w:r>
      <w:r>
        <w:rPr>
          <w:spacing w:val="-13"/>
        </w:rPr>
        <w:t> </w:t>
      </w:r>
      <w:r>
        <w:rPr/>
        <w:t>recent</w:t>
      </w:r>
      <w:r>
        <w:rPr>
          <w:spacing w:val="-13"/>
        </w:rPr>
        <w:t> </w:t>
      </w:r>
      <w:r>
        <w:rPr/>
        <w:t>findings</w:t>
      </w:r>
      <w:r>
        <w:rPr>
          <w:spacing w:val="-11"/>
        </w:rPr>
        <w:t> </w:t>
      </w:r>
      <w:r>
        <w:rPr/>
        <w:t>by</w:t>
      </w:r>
      <w:r>
        <w:rPr>
          <w:spacing w:val="-14"/>
        </w:rPr>
        <w:t> </w:t>
      </w:r>
      <w:r>
        <w:rPr/>
        <w:t>Lardier</w:t>
      </w:r>
      <w:r>
        <w:rPr>
          <w:spacing w:val="-11"/>
        </w:rPr>
        <w:t> </w:t>
      </w:r>
      <w:r>
        <w:rPr/>
        <w:t>et</w:t>
      </w:r>
      <w:r>
        <w:rPr>
          <w:spacing w:val="-12"/>
        </w:rPr>
        <w:t> </w:t>
      </w:r>
      <w:r>
        <w:rPr/>
        <w:t>al.</w:t>
      </w:r>
      <w:r>
        <w:rPr>
          <w:spacing w:val="-13"/>
        </w:rPr>
        <w:t> </w:t>
      </w:r>
      <w:r>
        <w:rPr/>
        <w:t>(2022),</w:t>
      </w:r>
      <w:r>
        <w:rPr>
          <w:spacing w:val="-11"/>
        </w:rPr>
        <w:t> </w:t>
      </w:r>
      <w:r>
        <w:rPr/>
        <w:t>which</w:t>
      </w:r>
      <w:r>
        <w:rPr>
          <w:spacing w:val="-11"/>
        </w:rPr>
        <w:t> </w:t>
      </w:r>
      <w:r>
        <w:rPr/>
        <w:t>show</w:t>
      </w:r>
      <w:r>
        <w:rPr>
          <w:spacing w:val="-14"/>
        </w:rPr>
        <w:t> </w:t>
      </w:r>
      <w:r>
        <w:rPr/>
        <w:t>that</w:t>
      </w:r>
      <w:r>
        <w:rPr>
          <w:spacing w:val="-13"/>
        </w:rPr>
        <w:t> </w:t>
      </w:r>
      <w:r>
        <w:rPr/>
        <w:t>student</w:t>
      </w:r>
      <w:r>
        <w:rPr>
          <w:spacing w:val="-13"/>
        </w:rPr>
        <w:t> </w:t>
      </w:r>
      <w:r>
        <w:rPr/>
        <w:t>support services</w:t>
      </w:r>
      <w:r>
        <w:rPr>
          <w:spacing w:val="-8"/>
        </w:rPr>
        <w:t> </w:t>
      </w:r>
      <w:r>
        <w:rPr/>
        <w:t>and</w:t>
      </w:r>
      <w:r>
        <w:rPr>
          <w:spacing w:val="-10"/>
        </w:rPr>
        <w:t> </w:t>
      </w:r>
      <w:r>
        <w:rPr/>
        <w:t>involvement</w:t>
      </w:r>
      <w:r>
        <w:rPr>
          <w:spacing w:val="-10"/>
        </w:rPr>
        <w:t> </w:t>
      </w:r>
      <w:r>
        <w:rPr/>
        <w:t>in</w:t>
      </w:r>
      <w:r>
        <w:rPr>
          <w:spacing w:val="-9"/>
        </w:rPr>
        <w:t> </w:t>
      </w:r>
      <w:r>
        <w:rPr/>
        <w:t>organizations</w:t>
      </w:r>
      <w:r>
        <w:rPr>
          <w:spacing w:val="-8"/>
        </w:rPr>
        <w:t> </w:t>
      </w:r>
      <w:r>
        <w:rPr/>
        <w:t>contribute</w:t>
      </w:r>
      <w:r>
        <w:rPr>
          <w:spacing w:val="-10"/>
        </w:rPr>
        <w:t> </w:t>
      </w:r>
      <w:r>
        <w:rPr/>
        <w:t>to</w:t>
      </w:r>
      <w:r>
        <w:rPr>
          <w:spacing w:val="-9"/>
        </w:rPr>
        <w:t> </w:t>
      </w:r>
      <w:r>
        <w:rPr/>
        <w:t>building</w:t>
      </w:r>
      <w:r>
        <w:rPr>
          <w:spacing w:val="-11"/>
        </w:rPr>
        <w:t> </w:t>
      </w:r>
      <w:r>
        <w:rPr/>
        <w:t>resilience,</w:t>
      </w:r>
      <w:r>
        <w:rPr>
          <w:spacing w:val="-9"/>
        </w:rPr>
        <w:t> </w:t>
      </w:r>
      <w:r>
        <w:rPr/>
        <w:t>confidence,</w:t>
      </w:r>
      <w:r>
        <w:rPr>
          <w:spacing w:val="-10"/>
        </w:rPr>
        <w:t> </w:t>
      </w:r>
      <w:r>
        <w:rPr/>
        <w:t>and</w:t>
      </w:r>
      <w:r>
        <w:rPr>
          <w:spacing w:val="-9"/>
        </w:rPr>
        <w:t> </w:t>
      </w:r>
      <w:r>
        <w:rPr/>
        <w:t>overall</w:t>
      </w:r>
      <w:r>
        <w:rPr>
          <w:spacing w:val="-10"/>
        </w:rPr>
        <w:t> </w:t>
      </w:r>
      <w:r>
        <w:rPr/>
        <w:t>healthy </w:t>
      </w:r>
      <w:r>
        <w:rPr>
          <w:spacing w:val="-2"/>
        </w:rPr>
        <w:t>being.</w:t>
      </w:r>
    </w:p>
    <w:p>
      <w:pPr>
        <w:pStyle w:val="BodyText"/>
        <w:spacing w:after="0"/>
        <w:sectPr>
          <w:pgSz w:w="12240" w:h="15840"/>
          <w:pgMar w:header="98" w:footer="938" w:top="1340" w:bottom="1160" w:left="720" w:right="1080"/>
        </w:sectPr>
      </w:pPr>
    </w:p>
    <w:p>
      <w:pPr>
        <w:pStyle w:val="Heading2"/>
        <w:spacing w:before="110"/>
      </w:pPr>
      <w:r>
        <w:rPr/>
        <w:t>Table </w:t>
      </w:r>
      <w:r>
        <w:rPr>
          <w:spacing w:val="-10"/>
        </w:rPr>
        <w:t>3</w:t>
      </w:r>
    </w:p>
    <w:p>
      <w:pPr>
        <w:spacing w:line="256" w:lineRule="auto" w:before="22" w:after="6"/>
        <w:ind w:left="1080" w:right="721" w:firstLine="0"/>
        <w:jc w:val="center"/>
        <w:rPr>
          <w:b/>
          <w:sz w:val="22"/>
        </w:rPr>
      </w:pPr>
      <w:r>
        <w:rPr>
          <w:b/>
          <w:sz w:val="22"/>
        </w:rPr>
        <w:t>Summarized</w:t>
      </w:r>
      <w:r>
        <w:rPr>
          <w:b/>
          <w:spacing w:val="-4"/>
          <w:sz w:val="22"/>
        </w:rPr>
        <w:t> </w:t>
      </w:r>
      <w:r>
        <w:rPr>
          <w:b/>
          <w:sz w:val="22"/>
        </w:rPr>
        <w:t>Data:</w:t>
      </w:r>
      <w:r>
        <w:rPr>
          <w:b/>
          <w:spacing w:val="-3"/>
          <w:sz w:val="22"/>
        </w:rPr>
        <w:t> </w:t>
      </w:r>
      <w:r>
        <w:rPr>
          <w:b/>
          <w:sz w:val="22"/>
        </w:rPr>
        <w:t>The</w:t>
      </w:r>
      <w:r>
        <w:rPr>
          <w:b/>
          <w:spacing w:val="-4"/>
          <w:sz w:val="22"/>
        </w:rPr>
        <w:t> </w:t>
      </w:r>
      <w:r>
        <w:rPr>
          <w:b/>
          <w:sz w:val="22"/>
        </w:rPr>
        <w:t>Level</w:t>
      </w:r>
      <w:r>
        <w:rPr>
          <w:b/>
          <w:spacing w:val="-2"/>
          <w:sz w:val="22"/>
        </w:rPr>
        <w:t> </w:t>
      </w:r>
      <w:r>
        <w:rPr>
          <w:b/>
          <w:sz w:val="22"/>
        </w:rPr>
        <w:t>of</w:t>
      </w:r>
      <w:r>
        <w:rPr>
          <w:b/>
          <w:spacing w:val="-3"/>
          <w:sz w:val="22"/>
        </w:rPr>
        <w:t> </w:t>
      </w:r>
      <w:r>
        <w:rPr>
          <w:b/>
          <w:sz w:val="22"/>
        </w:rPr>
        <w:t>Satisfaction</w:t>
      </w:r>
      <w:r>
        <w:rPr>
          <w:b/>
          <w:spacing w:val="-4"/>
          <w:sz w:val="22"/>
        </w:rPr>
        <w:t> </w:t>
      </w:r>
      <w:r>
        <w:rPr>
          <w:b/>
          <w:sz w:val="22"/>
        </w:rPr>
        <w:t>as</w:t>
      </w:r>
      <w:r>
        <w:rPr>
          <w:b/>
          <w:spacing w:val="-3"/>
          <w:sz w:val="22"/>
        </w:rPr>
        <w:t> </w:t>
      </w:r>
      <w:r>
        <w:rPr>
          <w:b/>
          <w:sz w:val="22"/>
        </w:rPr>
        <w:t>Perceived</w:t>
      </w:r>
      <w:r>
        <w:rPr>
          <w:b/>
          <w:spacing w:val="-4"/>
          <w:sz w:val="22"/>
        </w:rPr>
        <w:t> </w:t>
      </w:r>
      <w:r>
        <w:rPr>
          <w:b/>
          <w:sz w:val="22"/>
        </w:rPr>
        <w:t>by</w:t>
      </w:r>
      <w:r>
        <w:rPr>
          <w:b/>
          <w:spacing w:val="-4"/>
          <w:sz w:val="22"/>
        </w:rPr>
        <w:t> </w:t>
      </w:r>
      <w:r>
        <w:rPr>
          <w:b/>
          <w:sz w:val="22"/>
        </w:rPr>
        <w:t>the</w:t>
      </w:r>
      <w:r>
        <w:rPr>
          <w:b/>
          <w:spacing w:val="-3"/>
          <w:sz w:val="22"/>
        </w:rPr>
        <w:t> </w:t>
      </w:r>
      <w:r>
        <w:rPr>
          <w:b/>
          <w:sz w:val="22"/>
        </w:rPr>
        <w:t>Students in</w:t>
      </w:r>
      <w:r>
        <w:rPr>
          <w:b/>
          <w:spacing w:val="-6"/>
          <w:sz w:val="22"/>
        </w:rPr>
        <w:t> </w:t>
      </w:r>
      <w:r>
        <w:rPr>
          <w:b/>
          <w:sz w:val="22"/>
        </w:rPr>
        <w:t>the</w:t>
      </w:r>
      <w:r>
        <w:rPr>
          <w:b/>
          <w:spacing w:val="-4"/>
          <w:sz w:val="22"/>
        </w:rPr>
        <w:t> </w:t>
      </w:r>
      <w:r>
        <w:rPr>
          <w:b/>
          <w:sz w:val="22"/>
        </w:rPr>
        <w:t>Elementary Department- UCLM</w:t>
      </w:r>
    </w:p>
    <w:tbl>
      <w:tblPr>
        <w:tblW w:w="0" w:type="auto"/>
        <w:jc w:val="left"/>
        <w:tblInd w:w="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4"/>
        <w:gridCol w:w="778"/>
        <w:gridCol w:w="1606"/>
        <w:gridCol w:w="820"/>
      </w:tblGrid>
      <w:tr>
        <w:trPr>
          <w:trHeight w:val="252" w:hRule="atLeast"/>
        </w:trPr>
        <w:tc>
          <w:tcPr>
            <w:tcW w:w="5704" w:type="dxa"/>
            <w:tcBorders>
              <w:top w:val="single" w:sz="4" w:space="0" w:color="7E7E7E"/>
              <w:bottom w:val="single" w:sz="4" w:space="0" w:color="7E7E7E"/>
            </w:tcBorders>
          </w:tcPr>
          <w:p>
            <w:pPr>
              <w:pStyle w:val="TableParagraph"/>
              <w:spacing w:line="232" w:lineRule="exact"/>
              <w:ind w:left="121"/>
              <w:rPr>
                <w:b/>
                <w:sz w:val="22"/>
              </w:rPr>
            </w:pPr>
            <w:r>
              <w:rPr>
                <w:b/>
                <w:spacing w:val="-2"/>
                <w:sz w:val="22"/>
              </w:rPr>
              <w:t>Variables</w:t>
            </w:r>
          </w:p>
        </w:tc>
        <w:tc>
          <w:tcPr>
            <w:tcW w:w="778" w:type="dxa"/>
            <w:tcBorders>
              <w:top w:val="single" w:sz="4" w:space="0" w:color="7E7E7E"/>
              <w:bottom w:val="single" w:sz="4" w:space="0" w:color="7E7E7E"/>
            </w:tcBorders>
          </w:tcPr>
          <w:p>
            <w:pPr>
              <w:pStyle w:val="TableParagraph"/>
              <w:spacing w:line="232" w:lineRule="exact"/>
              <w:ind w:right="107"/>
              <w:jc w:val="right"/>
              <w:rPr>
                <w:b/>
                <w:sz w:val="22"/>
              </w:rPr>
            </w:pPr>
            <w:r>
              <w:rPr>
                <w:b/>
                <w:spacing w:val="-4"/>
                <w:sz w:val="22"/>
              </w:rPr>
              <w:t>Mean</w:t>
            </w:r>
          </w:p>
        </w:tc>
        <w:tc>
          <w:tcPr>
            <w:tcW w:w="1606" w:type="dxa"/>
            <w:tcBorders>
              <w:top w:val="single" w:sz="4" w:space="0" w:color="7E7E7E"/>
              <w:bottom w:val="single" w:sz="4" w:space="0" w:color="7E7E7E"/>
            </w:tcBorders>
          </w:tcPr>
          <w:p>
            <w:pPr>
              <w:pStyle w:val="TableParagraph"/>
              <w:spacing w:line="232" w:lineRule="exact"/>
              <w:ind w:left="107"/>
              <w:rPr>
                <w:b/>
                <w:sz w:val="22"/>
              </w:rPr>
            </w:pPr>
            <w:r>
              <w:rPr>
                <w:b/>
                <w:spacing w:val="-2"/>
                <w:sz w:val="22"/>
              </w:rPr>
              <w:t>Interpretation</w:t>
            </w:r>
          </w:p>
        </w:tc>
        <w:tc>
          <w:tcPr>
            <w:tcW w:w="820" w:type="dxa"/>
            <w:tcBorders>
              <w:top w:val="single" w:sz="4" w:space="0" w:color="7E7E7E"/>
              <w:bottom w:val="single" w:sz="4" w:space="0" w:color="7E7E7E"/>
            </w:tcBorders>
          </w:tcPr>
          <w:p>
            <w:pPr>
              <w:pStyle w:val="TableParagraph"/>
              <w:spacing w:line="232" w:lineRule="exact"/>
              <w:ind w:right="150"/>
              <w:jc w:val="right"/>
              <w:rPr>
                <w:b/>
                <w:sz w:val="22"/>
              </w:rPr>
            </w:pPr>
            <w:r>
              <w:rPr>
                <w:b/>
                <w:spacing w:val="-4"/>
                <w:sz w:val="22"/>
              </w:rPr>
              <w:t>Rank</w:t>
            </w:r>
          </w:p>
        </w:tc>
      </w:tr>
      <w:tr>
        <w:trPr>
          <w:trHeight w:val="250" w:hRule="atLeast"/>
        </w:trPr>
        <w:tc>
          <w:tcPr>
            <w:tcW w:w="5704" w:type="dxa"/>
            <w:tcBorders>
              <w:top w:val="single" w:sz="4" w:space="0" w:color="7E7E7E"/>
            </w:tcBorders>
          </w:tcPr>
          <w:p>
            <w:pPr>
              <w:pStyle w:val="TableParagraph"/>
              <w:spacing w:line="231" w:lineRule="exact"/>
              <w:ind w:left="121"/>
              <w:rPr>
                <w:sz w:val="22"/>
              </w:rPr>
            </w:pPr>
            <w:r>
              <w:rPr>
                <w:sz w:val="22"/>
              </w:rPr>
              <w:t>A. Teacher</w:t>
            </w:r>
            <w:r>
              <w:rPr>
                <w:spacing w:val="-2"/>
                <w:sz w:val="22"/>
              </w:rPr>
              <w:t> </w:t>
            </w:r>
            <w:r>
              <w:rPr>
                <w:sz w:val="22"/>
              </w:rPr>
              <w:t>Quality</w:t>
            </w:r>
            <w:r>
              <w:rPr>
                <w:spacing w:val="-6"/>
                <w:sz w:val="22"/>
              </w:rPr>
              <w:t> </w:t>
            </w:r>
            <w:r>
              <w:rPr>
                <w:sz w:val="22"/>
              </w:rPr>
              <w:t>and Instruction </w:t>
            </w:r>
            <w:r>
              <w:rPr>
                <w:spacing w:val="-2"/>
                <w:sz w:val="22"/>
              </w:rPr>
              <w:t>Delivery</w:t>
            </w:r>
          </w:p>
        </w:tc>
        <w:tc>
          <w:tcPr>
            <w:tcW w:w="778" w:type="dxa"/>
            <w:tcBorders>
              <w:top w:val="single" w:sz="4" w:space="0" w:color="7E7E7E"/>
            </w:tcBorders>
          </w:tcPr>
          <w:p>
            <w:pPr>
              <w:pStyle w:val="TableParagraph"/>
              <w:spacing w:line="231" w:lineRule="exact"/>
              <w:ind w:right="105"/>
              <w:jc w:val="right"/>
              <w:rPr>
                <w:sz w:val="22"/>
              </w:rPr>
            </w:pPr>
            <w:r>
              <w:rPr>
                <w:spacing w:val="-4"/>
                <w:sz w:val="22"/>
              </w:rPr>
              <w:t>4.21</w:t>
            </w:r>
          </w:p>
        </w:tc>
        <w:tc>
          <w:tcPr>
            <w:tcW w:w="1606" w:type="dxa"/>
            <w:tcBorders>
              <w:top w:val="single" w:sz="4" w:space="0" w:color="7E7E7E"/>
            </w:tcBorders>
          </w:tcPr>
          <w:p>
            <w:pPr>
              <w:pStyle w:val="TableParagraph"/>
              <w:spacing w:line="231" w:lineRule="exact"/>
              <w:ind w:left="107"/>
              <w:rPr>
                <w:sz w:val="22"/>
              </w:rPr>
            </w:pPr>
            <w:r>
              <w:rPr>
                <w:sz w:val="22"/>
              </w:rPr>
              <w:t>Very</w:t>
            </w:r>
            <w:r>
              <w:rPr>
                <w:spacing w:val="-5"/>
                <w:sz w:val="22"/>
              </w:rPr>
              <w:t> </w:t>
            </w:r>
            <w:r>
              <w:rPr>
                <w:spacing w:val="-2"/>
                <w:sz w:val="22"/>
              </w:rPr>
              <w:t>Satisfied</w:t>
            </w:r>
          </w:p>
        </w:tc>
        <w:tc>
          <w:tcPr>
            <w:tcW w:w="820" w:type="dxa"/>
            <w:tcBorders>
              <w:top w:val="single" w:sz="4" w:space="0" w:color="7E7E7E"/>
            </w:tcBorders>
          </w:tcPr>
          <w:p>
            <w:pPr>
              <w:pStyle w:val="TableParagraph"/>
              <w:spacing w:line="231" w:lineRule="exact"/>
              <w:ind w:right="106"/>
              <w:jc w:val="right"/>
              <w:rPr>
                <w:sz w:val="22"/>
              </w:rPr>
            </w:pPr>
            <w:r>
              <w:rPr>
                <w:spacing w:val="-10"/>
                <w:sz w:val="22"/>
              </w:rPr>
              <w:t>1</w:t>
            </w:r>
          </w:p>
        </w:tc>
      </w:tr>
      <w:tr>
        <w:trPr>
          <w:trHeight w:val="281" w:hRule="atLeast"/>
        </w:trPr>
        <w:tc>
          <w:tcPr>
            <w:tcW w:w="5704" w:type="dxa"/>
          </w:tcPr>
          <w:p>
            <w:pPr>
              <w:pStyle w:val="TableParagraph"/>
              <w:spacing w:line="249" w:lineRule="exact"/>
              <w:ind w:left="121"/>
              <w:rPr>
                <w:sz w:val="22"/>
              </w:rPr>
            </w:pPr>
            <w:r>
              <w:rPr>
                <w:sz w:val="22"/>
              </w:rPr>
              <w:t>B.</w:t>
            </w:r>
            <w:r>
              <w:rPr>
                <w:spacing w:val="-2"/>
                <w:sz w:val="22"/>
              </w:rPr>
              <w:t> </w:t>
            </w:r>
            <w:r>
              <w:rPr>
                <w:sz w:val="22"/>
              </w:rPr>
              <w:t>Curriculum</w:t>
            </w:r>
            <w:r>
              <w:rPr>
                <w:spacing w:val="-6"/>
                <w:sz w:val="22"/>
              </w:rPr>
              <w:t> </w:t>
            </w:r>
            <w:r>
              <w:rPr>
                <w:sz w:val="22"/>
              </w:rPr>
              <w:t>and</w:t>
            </w:r>
            <w:r>
              <w:rPr>
                <w:spacing w:val="-1"/>
                <w:sz w:val="22"/>
              </w:rPr>
              <w:t> </w:t>
            </w:r>
            <w:r>
              <w:rPr>
                <w:sz w:val="22"/>
              </w:rPr>
              <w:t>Academic</w:t>
            </w:r>
            <w:r>
              <w:rPr>
                <w:spacing w:val="-1"/>
                <w:sz w:val="22"/>
              </w:rPr>
              <w:t> </w:t>
            </w:r>
            <w:r>
              <w:rPr>
                <w:spacing w:val="-2"/>
                <w:sz w:val="22"/>
              </w:rPr>
              <w:t>Workload</w:t>
            </w:r>
          </w:p>
        </w:tc>
        <w:tc>
          <w:tcPr>
            <w:tcW w:w="778" w:type="dxa"/>
          </w:tcPr>
          <w:p>
            <w:pPr>
              <w:pStyle w:val="TableParagraph"/>
              <w:spacing w:line="249" w:lineRule="exact"/>
              <w:ind w:right="105"/>
              <w:jc w:val="right"/>
              <w:rPr>
                <w:sz w:val="22"/>
              </w:rPr>
            </w:pPr>
            <w:r>
              <w:rPr>
                <w:spacing w:val="-4"/>
                <w:sz w:val="22"/>
              </w:rPr>
              <w:t>4.08</w:t>
            </w:r>
          </w:p>
        </w:tc>
        <w:tc>
          <w:tcPr>
            <w:tcW w:w="1606" w:type="dxa"/>
          </w:tcPr>
          <w:p>
            <w:pPr>
              <w:pStyle w:val="TableParagraph"/>
              <w:spacing w:line="249" w:lineRule="exact"/>
              <w:ind w:left="107"/>
              <w:rPr>
                <w:sz w:val="22"/>
              </w:rPr>
            </w:pPr>
            <w:r>
              <w:rPr>
                <w:spacing w:val="-2"/>
                <w:sz w:val="22"/>
              </w:rPr>
              <w:t>Satisfied</w:t>
            </w:r>
          </w:p>
        </w:tc>
        <w:tc>
          <w:tcPr>
            <w:tcW w:w="820" w:type="dxa"/>
          </w:tcPr>
          <w:p>
            <w:pPr>
              <w:pStyle w:val="TableParagraph"/>
              <w:spacing w:line="249" w:lineRule="exact"/>
              <w:ind w:right="106"/>
              <w:jc w:val="right"/>
              <w:rPr>
                <w:sz w:val="22"/>
              </w:rPr>
            </w:pPr>
            <w:r>
              <w:rPr>
                <w:spacing w:val="-10"/>
                <w:sz w:val="22"/>
              </w:rPr>
              <w:t>3</w:t>
            </w:r>
          </w:p>
        </w:tc>
      </w:tr>
      <w:tr>
        <w:trPr>
          <w:trHeight w:val="309" w:hRule="atLeast"/>
        </w:trPr>
        <w:tc>
          <w:tcPr>
            <w:tcW w:w="5704" w:type="dxa"/>
          </w:tcPr>
          <w:p>
            <w:pPr>
              <w:pStyle w:val="TableParagraph"/>
              <w:spacing w:before="23"/>
              <w:ind w:left="121"/>
              <w:rPr>
                <w:sz w:val="22"/>
              </w:rPr>
            </w:pPr>
            <w:r>
              <w:rPr>
                <w:sz w:val="22"/>
              </w:rPr>
              <w:t>C.Learning</w:t>
            </w:r>
            <w:r>
              <w:rPr>
                <w:spacing w:val="-6"/>
                <w:sz w:val="22"/>
              </w:rPr>
              <w:t> </w:t>
            </w:r>
            <w:r>
              <w:rPr>
                <w:sz w:val="22"/>
              </w:rPr>
              <w:t>Environment and</w:t>
            </w:r>
            <w:r>
              <w:rPr>
                <w:spacing w:val="-2"/>
                <w:sz w:val="22"/>
              </w:rPr>
              <w:t> </w:t>
            </w:r>
            <w:r>
              <w:rPr>
                <w:sz w:val="22"/>
              </w:rPr>
              <w:t>Peer</w:t>
            </w:r>
            <w:r>
              <w:rPr>
                <w:spacing w:val="-1"/>
                <w:sz w:val="22"/>
              </w:rPr>
              <w:t> </w:t>
            </w:r>
            <w:r>
              <w:rPr>
                <w:spacing w:val="-2"/>
                <w:sz w:val="22"/>
              </w:rPr>
              <w:t>Interaction</w:t>
            </w:r>
          </w:p>
        </w:tc>
        <w:tc>
          <w:tcPr>
            <w:tcW w:w="778" w:type="dxa"/>
          </w:tcPr>
          <w:p>
            <w:pPr>
              <w:pStyle w:val="TableParagraph"/>
              <w:spacing w:before="23"/>
              <w:ind w:right="105"/>
              <w:jc w:val="right"/>
              <w:rPr>
                <w:sz w:val="22"/>
              </w:rPr>
            </w:pPr>
            <w:r>
              <w:rPr>
                <w:spacing w:val="-4"/>
                <w:sz w:val="22"/>
              </w:rPr>
              <w:t>4.03</w:t>
            </w:r>
          </w:p>
        </w:tc>
        <w:tc>
          <w:tcPr>
            <w:tcW w:w="1606" w:type="dxa"/>
          </w:tcPr>
          <w:p>
            <w:pPr>
              <w:pStyle w:val="TableParagraph"/>
              <w:spacing w:before="23"/>
              <w:ind w:left="107"/>
              <w:rPr>
                <w:sz w:val="22"/>
              </w:rPr>
            </w:pPr>
            <w:r>
              <w:rPr>
                <w:spacing w:val="-2"/>
                <w:sz w:val="22"/>
              </w:rPr>
              <w:t>Satisfied</w:t>
            </w:r>
          </w:p>
        </w:tc>
        <w:tc>
          <w:tcPr>
            <w:tcW w:w="820" w:type="dxa"/>
          </w:tcPr>
          <w:p>
            <w:pPr>
              <w:pStyle w:val="TableParagraph"/>
              <w:spacing w:before="23"/>
              <w:ind w:right="106"/>
              <w:jc w:val="right"/>
              <w:rPr>
                <w:sz w:val="22"/>
              </w:rPr>
            </w:pPr>
            <w:r>
              <w:rPr>
                <w:spacing w:val="-10"/>
                <w:sz w:val="22"/>
              </w:rPr>
              <w:t>4</w:t>
            </w:r>
          </w:p>
        </w:tc>
      </w:tr>
      <w:tr>
        <w:trPr>
          <w:trHeight w:val="308" w:hRule="atLeast"/>
        </w:trPr>
        <w:tc>
          <w:tcPr>
            <w:tcW w:w="5704" w:type="dxa"/>
          </w:tcPr>
          <w:p>
            <w:pPr>
              <w:pStyle w:val="TableParagraph"/>
              <w:spacing w:before="24"/>
              <w:ind w:left="121"/>
              <w:rPr>
                <w:sz w:val="22"/>
              </w:rPr>
            </w:pPr>
            <w:r>
              <w:rPr>
                <w:sz w:val="22"/>
              </w:rPr>
              <w:t>D.</w:t>
            </w:r>
            <w:r>
              <w:rPr>
                <w:spacing w:val="-2"/>
                <w:sz w:val="22"/>
              </w:rPr>
              <w:t> </w:t>
            </w:r>
            <w:r>
              <w:rPr>
                <w:sz w:val="22"/>
              </w:rPr>
              <w:t>School</w:t>
            </w:r>
            <w:r>
              <w:rPr>
                <w:spacing w:val="-1"/>
                <w:sz w:val="22"/>
              </w:rPr>
              <w:t> </w:t>
            </w:r>
            <w:r>
              <w:rPr>
                <w:sz w:val="22"/>
              </w:rPr>
              <w:t>Facilities</w:t>
            </w:r>
            <w:r>
              <w:rPr>
                <w:spacing w:val="-2"/>
                <w:sz w:val="22"/>
              </w:rPr>
              <w:t> </w:t>
            </w:r>
            <w:r>
              <w:rPr>
                <w:sz w:val="22"/>
              </w:rPr>
              <w:t>and</w:t>
            </w:r>
            <w:r>
              <w:rPr>
                <w:spacing w:val="-2"/>
                <w:sz w:val="22"/>
              </w:rPr>
              <w:t> Resources</w:t>
            </w:r>
          </w:p>
        </w:tc>
        <w:tc>
          <w:tcPr>
            <w:tcW w:w="778" w:type="dxa"/>
          </w:tcPr>
          <w:p>
            <w:pPr>
              <w:pStyle w:val="TableParagraph"/>
              <w:spacing w:before="24"/>
              <w:ind w:right="105"/>
              <w:jc w:val="right"/>
              <w:rPr>
                <w:sz w:val="22"/>
              </w:rPr>
            </w:pPr>
            <w:r>
              <w:rPr>
                <w:spacing w:val="-4"/>
                <w:sz w:val="22"/>
              </w:rPr>
              <w:t>4.13</w:t>
            </w:r>
          </w:p>
        </w:tc>
        <w:tc>
          <w:tcPr>
            <w:tcW w:w="1606" w:type="dxa"/>
          </w:tcPr>
          <w:p>
            <w:pPr>
              <w:pStyle w:val="TableParagraph"/>
              <w:spacing w:before="24"/>
              <w:ind w:left="107"/>
              <w:rPr>
                <w:sz w:val="22"/>
              </w:rPr>
            </w:pPr>
            <w:r>
              <w:rPr>
                <w:spacing w:val="-2"/>
                <w:sz w:val="22"/>
              </w:rPr>
              <w:t>Satisfied</w:t>
            </w:r>
          </w:p>
        </w:tc>
        <w:tc>
          <w:tcPr>
            <w:tcW w:w="820" w:type="dxa"/>
          </w:tcPr>
          <w:p>
            <w:pPr>
              <w:pStyle w:val="TableParagraph"/>
              <w:spacing w:before="24"/>
              <w:ind w:right="106"/>
              <w:jc w:val="right"/>
              <w:rPr>
                <w:sz w:val="22"/>
              </w:rPr>
            </w:pPr>
            <w:r>
              <w:rPr>
                <w:spacing w:val="-10"/>
                <w:sz w:val="22"/>
              </w:rPr>
              <w:t>2</w:t>
            </w:r>
          </w:p>
        </w:tc>
      </w:tr>
      <w:tr>
        <w:trPr>
          <w:trHeight w:val="311" w:hRule="atLeast"/>
        </w:trPr>
        <w:tc>
          <w:tcPr>
            <w:tcW w:w="5704" w:type="dxa"/>
          </w:tcPr>
          <w:p>
            <w:pPr>
              <w:pStyle w:val="TableParagraph"/>
              <w:spacing w:before="22"/>
              <w:ind w:left="121"/>
              <w:rPr>
                <w:sz w:val="22"/>
              </w:rPr>
            </w:pPr>
            <w:r>
              <w:rPr>
                <w:sz w:val="22"/>
              </w:rPr>
              <w:t>E.</w:t>
            </w:r>
            <w:r>
              <w:rPr>
                <w:spacing w:val="-2"/>
                <w:sz w:val="22"/>
              </w:rPr>
              <w:t> </w:t>
            </w:r>
            <w:r>
              <w:rPr>
                <w:sz w:val="22"/>
              </w:rPr>
              <w:t>Student</w:t>
            </w:r>
            <w:r>
              <w:rPr>
                <w:spacing w:val="-1"/>
                <w:sz w:val="22"/>
              </w:rPr>
              <w:t> </w:t>
            </w:r>
            <w:r>
              <w:rPr>
                <w:sz w:val="22"/>
              </w:rPr>
              <w:t>Support</w:t>
            </w:r>
            <w:r>
              <w:rPr>
                <w:spacing w:val="-2"/>
                <w:sz w:val="22"/>
              </w:rPr>
              <w:t> </w:t>
            </w:r>
            <w:r>
              <w:rPr>
                <w:sz w:val="22"/>
              </w:rPr>
              <w:t>Services</w:t>
            </w:r>
            <w:r>
              <w:rPr>
                <w:spacing w:val="-3"/>
                <w:sz w:val="22"/>
              </w:rPr>
              <w:t> </w:t>
            </w:r>
            <w:r>
              <w:rPr>
                <w:sz w:val="22"/>
              </w:rPr>
              <w:t>and</w:t>
            </w:r>
            <w:r>
              <w:rPr>
                <w:spacing w:val="-1"/>
                <w:sz w:val="22"/>
              </w:rPr>
              <w:t> </w:t>
            </w:r>
            <w:r>
              <w:rPr>
                <w:sz w:val="22"/>
              </w:rPr>
              <w:t>Extracurricular</w:t>
            </w:r>
            <w:r>
              <w:rPr>
                <w:spacing w:val="-1"/>
                <w:sz w:val="22"/>
              </w:rPr>
              <w:t> </w:t>
            </w:r>
            <w:r>
              <w:rPr>
                <w:spacing w:val="-2"/>
                <w:sz w:val="22"/>
              </w:rPr>
              <w:t>Activities</w:t>
            </w:r>
          </w:p>
        </w:tc>
        <w:tc>
          <w:tcPr>
            <w:tcW w:w="778" w:type="dxa"/>
          </w:tcPr>
          <w:p>
            <w:pPr>
              <w:pStyle w:val="TableParagraph"/>
              <w:spacing w:before="22"/>
              <w:ind w:right="105"/>
              <w:jc w:val="right"/>
              <w:rPr>
                <w:sz w:val="22"/>
              </w:rPr>
            </w:pPr>
            <w:r>
              <w:rPr>
                <w:spacing w:val="-4"/>
                <w:sz w:val="22"/>
              </w:rPr>
              <w:t>4.21</w:t>
            </w:r>
          </w:p>
        </w:tc>
        <w:tc>
          <w:tcPr>
            <w:tcW w:w="1606" w:type="dxa"/>
          </w:tcPr>
          <w:p>
            <w:pPr>
              <w:pStyle w:val="TableParagraph"/>
              <w:spacing w:before="22"/>
              <w:ind w:left="107"/>
              <w:rPr>
                <w:sz w:val="22"/>
              </w:rPr>
            </w:pPr>
            <w:r>
              <w:rPr>
                <w:sz w:val="22"/>
              </w:rPr>
              <w:t>Very</w:t>
            </w:r>
            <w:r>
              <w:rPr>
                <w:spacing w:val="-5"/>
                <w:sz w:val="22"/>
              </w:rPr>
              <w:t> </w:t>
            </w:r>
            <w:r>
              <w:rPr>
                <w:spacing w:val="-2"/>
                <w:sz w:val="22"/>
              </w:rPr>
              <w:t>Satisfied</w:t>
            </w:r>
          </w:p>
        </w:tc>
        <w:tc>
          <w:tcPr>
            <w:tcW w:w="820" w:type="dxa"/>
          </w:tcPr>
          <w:p>
            <w:pPr>
              <w:pStyle w:val="TableParagraph"/>
              <w:spacing w:before="22"/>
              <w:ind w:right="106"/>
              <w:jc w:val="right"/>
              <w:rPr>
                <w:sz w:val="22"/>
              </w:rPr>
            </w:pPr>
            <w:r>
              <w:rPr>
                <w:spacing w:val="-10"/>
                <w:sz w:val="22"/>
              </w:rPr>
              <w:t>1</w:t>
            </w:r>
          </w:p>
        </w:tc>
      </w:tr>
      <w:tr>
        <w:trPr>
          <w:trHeight w:val="280" w:hRule="atLeast"/>
        </w:trPr>
        <w:tc>
          <w:tcPr>
            <w:tcW w:w="5704" w:type="dxa"/>
            <w:tcBorders>
              <w:bottom w:val="single" w:sz="4" w:space="0" w:color="7E7E7E"/>
            </w:tcBorders>
          </w:tcPr>
          <w:p>
            <w:pPr>
              <w:pStyle w:val="TableParagraph"/>
              <w:spacing w:line="233" w:lineRule="exact" w:before="27"/>
              <w:ind w:left="3252"/>
              <w:rPr>
                <w:b/>
                <w:sz w:val="22"/>
              </w:rPr>
            </w:pPr>
            <w:r>
              <w:rPr>
                <w:b/>
                <w:sz w:val="22"/>
              </w:rPr>
              <w:t>Overall</w:t>
            </w:r>
            <w:r>
              <w:rPr>
                <w:b/>
                <w:spacing w:val="-2"/>
                <w:sz w:val="22"/>
              </w:rPr>
              <w:t> </w:t>
            </w:r>
            <w:r>
              <w:rPr>
                <w:b/>
                <w:sz w:val="22"/>
              </w:rPr>
              <w:t>Aggregate </w:t>
            </w:r>
            <w:r>
              <w:rPr>
                <w:b/>
                <w:spacing w:val="-4"/>
                <w:sz w:val="22"/>
              </w:rPr>
              <w:t>Mean</w:t>
            </w:r>
          </w:p>
        </w:tc>
        <w:tc>
          <w:tcPr>
            <w:tcW w:w="778" w:type="dxa"/>
            <w:tcBorders>
              <w:bottom w:val="single" w:sz="4" w:space="0" w:color="7E7E7E"/>
            </w:tcBorders>
          </w:tcPr>
          <w:p>
            <w:pPr>
              <w:pStyle w:val="TableParagraph"/>
              <w:spacing w:line="233" w:lineRule="exact" w:before="27"/>
              <w:ind w:right="105"/>
              <w:jc w:val="right"/>
              <w:rPr>
                <w:b/>
                <w:sz w:val="22"/>
              </w:rPr>
            </w:pPr>
            <w:r>
              <w:rPr>
                <w:b/>
                <w:spacing w:val="-4"/>
                <w:sz w:val="22"/>
              </w:rPr>
              <w:t>4.13</w:t>
            </w:r>
          </w:p>
        </w:tc>
        <w:tc>
          <w:tcPr>
            <w:tcW w:w="1606" w:type="dxa"/>
            <w:tcBorders>
              <w:bottom w:val="single" w:sz="4" w:space="0" w:color="7E7E7E"/>
            </w:tcBorders>
          </w:tcPr>
          <w:p>
            <w:pPr>
              <w:pStyle w:val="TableParagraph"/>
              <w:spacing w:line="233" w:lineRule="exact" w:before="27"/>
              <w:ind w:left="107"/>
              <w:rPr>
                <w:b/>
                <w:sz w:val="22"/>
              </w:rPr>
            </w:pPr>
            <w:r>
              <w:rPr>
                <w:b/>
                <w:spacing w:val="-2"/>
                <w:sz w:val="22"/>
              </w:rPr>
              <w:t>Satisfied</w:t>
            </w:r>
          </w:p>
        </w:tc>
        <w:tc>
          <w:tcPr>
            <w:tcW w:w="820" w:type="dxa"/>
            <w:tcBorders>
              <w:bottom w:val="single" w:sz="4" w:space="0" w:color="7E7E7E"/>
            </w:tcBorders>
          </w:tcPr>
          <w:p>
            <w:pPr>
              <w:pStyle w:val="TableParagraph"/>
              <w:rPr>
                <w:sz w:val="20"/>
              </w:rPr>
            </w:pPr>
          </w:p>
        </w:tc>
      </w:tr>
    </w:tbl>
    <w:p>
      <w:pPr>
        <w:pStyle w:val="BodyText"/>
        <w:ind w:left="0"/>
        <w:jc w:val="left"/>
        <w:rPr>
          <w:b/>
        </w:rPr>
      </w:pPr>
    </w:p>
    <w:p>
      <w:pPr>
        <w:pStyle w:val="BodyText"/>
        <w:spacing w:before="43"/>
        <w:ind w:left="0"/>
        <w:jc w:val="left"/>
        <w:rPr>
          <w:b/>
        </w:rPr>
      </w:pPr>
    </w:p>
    <w:p>
      <w:pPr>
        <w:pStyle w:val="BodyText"/>
        <w:ind w:right="356" w:firstLine="720"/>
      </w:pPr>
      <w:r>
        <w:rPr/>
        <w:t>Table 3 presents the summarized data on the level of student satisfaction in the Elementary Department of UCLM. The results reveal that students were </w:t>
      </w:r>
      <w:r>
        <w:rPr>
          <w:i/>
        </w:rPr>
        <w:t>very satisfied </w:t>
      </w:r>
      <w:r>
        <w:rPr/>
        <w:t>with Teacher Quality and Instruction</w:t>
      </w:r>
      <w:r>
        <w:rPr>
          <w:spacing w:val="-14"/>
        </w:rPr>
        <w:t> </w:t>
      </w:r>
      <w:r>
        <w:rPr/>
        <w:t>Delivery</w:t>
      </w:r>
      <w:r>
        <w:rPr>
          <w:b/>
        </w:rPr>
        <w:t>,</w:t>
      </w:r>
      <w:r>
        <w:rPr>
          <w:b/>
          <w:spacing w:val="-14"/>
        </w:rPr>
        <w:t> </w:t>
      </w:r>
      <w:r>
        <w:rPr/>
        <w:t>with</w:t>
      </w:r>
      <w:r>
        <w:rPr>
          <w:spacing w:val="-14"/>
        </w:rPr>
        <w:t> </w:t>
      </w:r>
      <w:r>
        <w:rPr/>
        <w:t>a</w:t>
      </w:r>
      <w:r>
        <w:rPr>
          <w:spacing w:val="-13"/>
        </w:rPr>
        <w:t> </w:t>
      </w:r>
      <w:r>
        <w:rPr/>
        <w:t>mean</w:t>
      </w:r>
      <w:r>
        <w:rPr>
          <w:spacing w:val="-14"/>
        </w:rPr>
        <w:t> </w:t>
      </w:r>
      <w:r>
        <w:rPr/>
        <w:t>of</w:t>
      </w:r>
      <w:r>
        <w:rPr>
          <w:spacing w:val="-14"/>
        </w:rPr>
        <w:t> </w:t>
      </w:r>
      <w:r>
        <w:rPr/>
        <w:t>4.21,</w:t>
      </w:r>
      <w:r>
        <w:rPr>
          <w:spacing w:val="-14"/>
        </w:rPr>
        <w:t> </w:t>
      </w:r>
      <w:r>
        <w:rPr/>
        <w:t>and</w:t>
      </w:r>
      <w:r>
        <w:rPr>
          <w:spacing w:val="-13"/>
        </w:rPr>
        <w:t> </w:t>
      </w:r>
      <w:r>
        <w:rPr/>
        <w:t>with</w:t>
      </w:r>
      <w:r>
        <w:rPr>
          <w:spacing w:val="-14"/>
        </w:rPr>
        <w:t> </w:t>
      </w:r>
      <w:r>
        <w:rPr/>
        <w:t>Student</w:t>
      </w:r>
      <w:r>
        <w:rPr>
          <w:spacing w:val="-14"/>
        </w:rPr>
        <w:t> </w:t>
      </w:r>
      <w:r>
        <w:rPr/>
        <w:t>Support</w:t>
      </w:r>
      <w:r>
        <w:rPr>
          <w:spacing w:val="-14"/>
        </w:rPr>
        <w:t> </w:t>
      </w:r>
      <w:r>
        <w:rPr/>
        <w:t>Services</w:t>
      </w:r>
      <w:r>
        <w:rPr>
          <w:spacing w:val="-13"/>
        </w:rPr>
        <w:t> </w:t>
      </w:r>
      <w:r>
        <w:rPr/>
        <w:t>and</w:t>
      </w:r>
      <w:r>
        <w:rPr>
          <w:spacing w:val="-14"/>
        </w:rPr>
        <w:t> </w:t>
      </w:r>
      <w:r>
        <w:rPr/>
        <w:t>Extracurricular</w:t>
      </w:r>
      <w:r>
        <w:rPr>
          <w:spacing w:val="-14"/>
        </w:rPr>
        <w:t> </w:t>
      </w:r>
      <w:r>
        <w:rPr/>
        <w:t>Activities, also</w:t>
      </w:r>
      <w:r>
        <w:rPr>
          <w:spacing w:val="-10"/>
        </w:rPr>
        <w:t> </w:t>
      </w:r>
      <w:r>
        <w:rPr/>
        <w:t>with</w:t>
      </w:r>
      <w:r>
        <w:rPr>
          <w:spacing w:val="-11"/>
        </w:rPr>
        <w:t> </w:t>
      </w:r>
      <w:r>
        <w:rPr/>
        <w:t>a</w:t>
      </w:r>
      <w:r>
        <w:rPr>
          <w:spacing w:val="-8"/>
        </w:rPr>
        <w:t> </w:t>
      </w:r>
      <w:r>
        <w:rPr/>
        <w:t>mean</w:t>
      </w:r>
      <w:r>
        <w:rPr>
          <w:spacing w:val="-8"/>
        </w:rPr>
        <w:t> </w:t>
      </w:r>
      <w:r>
        <w:rPr/>
        <w:t>of</w:t>
      </w:r>
      <w:r>
        <w:rPr>
          <w:spacing w:val="-8"/>
        </w:rPr>
        <w:t> </w:t>
      </w:r>
      <w:r>
        <w:rPr/>
        <w:t>4.21,</w:t>
      </w:r>
      <w:r>
        <w:rPr>
          <w:spacing w:val="-8"/>
        </w:rPr>
        <w:t> </w:t>
      </w:r>
      <w:r>
        <w:rPr/>
        <w:t>both</w:t>
      </w:r>
      <w:r>
        <w:rPr>
          <w:spacing w:val="-9"/>
        </w:rPr>
        <w:t> </w:t>
      </w:r>
      <w:r>
        <w:rPr/>
        <w:t>of</w:t>
      </w:r>
      <w:r>
        <w:rPr>
          <w:spacing w:val="-8"/>
        </w:rPr>
        <w:t> </w:t>
      </w:r>
      <w:r>
        <w:rPr/>
        <w:t>which</w:t>
      </w:r>
      <w:r>
        <w:rPr>
          <w:spacing w:val="-10"/>
        </w:rPr>
        <w:t> </w:t>
      </w:r>
      <w:r>
        <w:rPr/>
        <w:t>ranked</w:t>
      </w:r>
      <w:r>
        <w:rPr>
          <w:spacing w:val="-9"/>
        </w:rPr>
        <w:t> </w:t>
      </w:r>
      <w:r>
        <w:rPr/>
        <w:t>first</w:t>
      </w:r>
      <w:r>
        <w:rPr>
          <w:spacing w:val="-8"/>
        </w:rPr>
        <w:t> </w:t>
      </w:r>
      <w:r>
        <w:rPr/>
        <w:t>among</w:t>
      </w:r>
      <w:r>
        <w:rPr>
          <w:spacing w:val="-9"/>
        </w:rPr>
        <w:t> </w:t>
      </w:r>
      <w:r>
        <w:rPr/>
        <w:t>the</w:t>
      </w:r>
      <w:r>
        <w:rPr>
          <w:spacing w:val="-8"/>
        </w:rPr>
        <w:t> </w:t>
      </w:r>
      <w:r>
        <w:rPr/>
        <w:t>variables.</w:t>
      </w:r>
      <w:r>
        <w:rPr>
          <w:spacing w:val="-10"/>
        </w:rPr>
        <w:t> </w:t>
      </w:r>
      <w:r>
        <w:rPr/>
        <w:t>It</w:t>
      </w:r>
      <w:r>
        <w:rPr>
          <w:spacing w:val="-10"/>
        </w:rPr>
        <w:t> </w:t>
      </w:r>
      <w:r>
        <w:rPr/>
        <w:t>indicates</w:t>
      </w:r>
      <w:r>
        <w:rPr>
          <w:spacing w:val="-10"/>
        </w:rPr>
        <w:t> </w:t>
      </w:r>
      <w:r>
        <w:rPr/>
        <w:t>that</w:t>
      </w:r>
      <w:r>
        <w:rPr>
          <w:spacing w:val="-9"/>
        </w:rPr>
        <w:t> </w:t>
      </w:r>
      <w:r>
        <w:rPr/>
        <w:t>effective</w:t>
      </w:r>
      <w:r>
        <w:rPr>
          <w:spacing w:val="-10"/>
        </w:rPr>
        <w:t> </w:t>
      </w:r>
      <w:r>
        <w:rPr/>
        <w:t>teaching practices and accessible student support services significantly enhance the overall school experience of </w:t>
      </w:r>
      <w:r>
        <w:rPr>
          <w:spacing w:val="-2"/>
        </w:rPr>
        <w:t>learners.</w:t>
      </w:r>
    </w:p>
    <w:p>
      <w:pPr>
        <w:pStyle w:val="BodyText"/>
        <w:ind w:right="354" w:firstLine="720"/>
      </w:pPr>
      <w:r>
        <w:rPr/>
        <w:t>On the other hand, the lowest satisfaction level was found in Learning Environment and Peer Interaction, with a mean of 4.03, interpreted as </w:t>
      </w:r>
      <w:r>
        <w:rPr>
          <w:i/>
        </w:rPr>
        <w:t>satisfied</w:t>
      </w:r>
      <w:r>
        <w:rPr/>
        <w:t>, and ranked fourth. While students generally</w:t>
      </w:r>
      <w:r>
        <w:rPr>
          <w:spacing w:val="-2"/>
        </w:rPr>
        <w:t> </w:t>
      </w:r>
      <w:r>
        <w:rPr/>
        <w:t>feel supported and engaged, this result suggests that further improvements in peer dynamics and classroom atmosphere could enhance their school experience even more. Curriculum and Academic Workload also obtained a mean of 4.08 (</w:t>
      </w:r>
      <w:r>
        <w:rPr>
          <w:i/>
        </w:rPr>
        <w:t>satisfied</w:t>
      </w:r>
      <w:r>
        <w:rPr/>
        <w:t>), indicating that although students recognize the relevance of the curriculum, adjustments may still be necessary to align with their needs and readiness.</w:t>
      </w:r>
    </w:p>
    <w:p>
      <w:pPr>
        <w:pStyle w:val="BodyText"/>
        <w:ind w:right="357" w:firstLine="720"/>
      </w:pPr>
      <w:r>
        <w:rPr/>
        <w:t>Overall, the aggregate mean of 4.13 indicates that students are </w:t>
      </w:r>
      <w:r>
        <w:rPr>
          <w:i/>
        </w:rPr>
        <w:t>generally satisfied </w:t>
      </w:r>
      <w:r>
        <w:rPr/>
        <w:t>with their educational experience, highlighting strengths in instruction and support services, while also identifying areas for improvement in peer interaction and workload management.</w:t>
      </w:r>
    </w:p>
    <w:p>
      <w:pPr>
        <w:pStyle w:val="BodyText"/>
        <w:ind w:right="357" w:firstLine="720"/>
      </w:pPr>
      <w:r>
        <w:rPr/>
        <w:t>The</w:t>
      </w:r>
      <w:r>
        <w:rPr>
          <w:spacing w:val="-13"/>
        </w:rPr>
        <w:t> </w:t>
      </w:r>
      <w:r>
        <w:rPr/>
        <w:t>findings</w:t>
      </w:r>
      <w:r>
        <w:rPr>
          <w:spacing w:val="-12"/>
        </w:rPr>
        <w:t> </w:t>
      </w:r>
      <w:r>
        <w:rPr/>
        <w:t>highlight</w:t>
      </w:r>
      <w:r>
        <w:rPr>
          <w:spacing w:val="-14"/>
        </w:rPr>
        <w:t> </w:t>
      </w:r>
      <w:r>
        <w:rPr/>
        <w:t>the</w:t>
      </w:r>
      <w:r>
        <w:rPr>
          <w:spacing w:val="-12"/>
        </w:rPr>
        <w:t> </w:t>
      </w:r>
      <w:r>
        <w:rPr/>
        <w:t>crucial</w:t>
      </w:r>
      <w:r>
        <w:rPr>
          <w:spacing w:val="-11"/>
        </w:rPr>
        <w:t> </w:t>
      </w:r>
      <w:r>
        <w:rPr/>
        <w:t>role</w:t>
      </w:r>
      <w:r>
        <w:rPr>
          <w:spacing w:val="-12"/>
        </w:rPr>
        <w:t> </w:t>
      </w:r>
      <w:r>
        <w:rPr/>
        <w:t>of</w:t>
      </w:r>
      <w:r>
        <w:rPr>
          <w:spacing w:val="-9"/>
        </w:rPr>
        <w:t> </w:t>
      </w:r>
      <w:r>
        <w:rPr/>
        <w:t>teacher</w:t>
      </w:r>
      <w:r>
        <w:rPr>
          <w:spacing w:val="-10"/>
        </w:rPr>
        <w:t> </w:t>
      </w:r>
      <w:r>
        <w:rPr/>
        <w:t>quality</w:t>
      </w:r>
      <w:r>
        <w:rPr>
          <w:spacing w:val="-14"/>
        </w:rPr>
        <w:t> </w:t>
      </w:r>
      <w:r>
        <w:rPr/>
        <w:t>and</w:t>
      </w:r>
      <w:r>
        <w:rPr>
          <w:spacing w:val="-10"/>
        </w:rPr>
        <w:t> </w:t>
      </w:r>
      <w:r>
        <w:rPr/>
        <w:t>student</w:t>
      </w:r>
      <w:r>
        <w:rPr>
          <w:spacing w:val="-11"/>
        </w:rPr>
        <w:t> </w:t>
      </w:r>
      <w:r>
        <w:rPr/>
        <w:t>support</w:t>
      </w:r>
      <w:r>
        <w:rPr>
          <w:spacing w:val="-12"/>
        </w:rPr>
        <w:t> </w:t>
      </w:r>
      <w:r>
        <w:rPr/>
        <w:t>services</w:t>
      </w:r>
      <w:r>
        <w:rPr>
          <w:spacing w:val="-12"/>
        </w:rPr>
        <w:t> </w:t>
      </w:r>
      <w:r>
        <w:rPr/>
        <w:t>in</w:t>
      </w:r>
      <w:r>
        <w:rPr>
          <w:spacing w:val="-13"/>
        </w:rPr>
        <w:t> </w:t>
      </w:r>
      <w:r>
        <w:rPr/>
        <w:t>influencing student satisfaction, indicating that sustained investments in teacher training, mentorship, and guidance programs</w:t>
      </w:r>
      <w:r>
        <w:rPr>
          <w:spacing w:val="-3"/>
        </w:rPr>
        <w:t> </w:t>
      </w:r>
      <w:r>
        <w:rPr/>
        <w:t>are</w:t>
      </w:r>
      <w:r>
        <w:rPr>
          <w:spacing w:val="-6"/>
        </w:rPr>
        <w:t> </w:t>
      </w:r>
      <w:r>
        <w:rPr/>
        <w:t>essential.</w:t>
      </w:r>
      <w:r>
        <w:rPr>
          <w:spacing w:val="-6"/>
        </w:rPr>
        <w:t> </w:t>
      </w:r>
      <w:r>
        <w:rPr/>
        <w:t>Likewise,</w:t>
      </w:r>
      <w:r>
        <w:rPr>
          <w:spacing w:val="-6"/>
        </w:rPr>
        <w:t> </w:t>
      </w:r>
      <w:r>
        <w:rPr/>
        <w:t>extracurricular</w:t>
      </w:r>
      <w:r>
        <w:rPr>
          <w:spacing w:val="-5"/>
        </w:rPr>
        <w:t> </w:t>
      </w:r>
      <w:r>
        <w:rPr/>
        <w:t>activities</w:t>
      </w:r>
      <w:r>
        <w:rPr>
          <w:spacing w:val="-3"/>
        </w:rPr>
        <w:t> </w:t>
      </w:r>
      <w:r>
        <w:rPr/>
        <w:t>and</w:t>
      </w:r>
      <w:r>
        <w:rPr>
          <w:spacing w:val="-7"/>
        </w:rPr>
        <w:t> </w:t>
      </w:r>
      <w:r>
        <w:rPr/>
        <w:t>counseling</w:t>
      </w:r>
      <w:r>
        <w:rPr>
          <w:spacing w:val="-7"/>
        </w:rPr>
        <w:t> </w:t>
      </w:r>
      <w:r>
        <w:rPr/>
        <w:t>services</w:t>
      </w:r>
      <w:r>
        <w:rPr>
          <w:spacing w:val="-5"/>
        </w:rPr>
        <w:t> </w:t>
      </w:r>
      <w:r>
        <w:rPr/>
        <w:t>appear</w:t>
      </w:r>
      <w:r>
        <w:rPr>
          <w:spacing w:val="-5"/>
        </w:rPr>
        <w:t> </w:t>
      </w:r>
      <w:r>
        <w:rPr/>
        <w:t>to</w:t>
      </w:r>
      <w:r>
        <w:rPr>
          <w:spacing w:val="-5"/>
        </w:rPr>
        <w:t> </w:t>
      </w:r>
      <w:r>
        <w:rPr/>
        <w:t>foster</w:t>
      </w:r>
      <w:r>
        <w:rPr>
          <w:spacing w:val="-5"/>
        </w:rPr>
        <w:t> </w:t>
      </w:r>
      <w:r>
        <w:rPr/>
        <w:t>a</w:t>
      </w:r>
      <w:r>
        <w:rPr>
          <w:spacing w:val="-6"/>
        </w:rPr>
        <w:t> </w:t>
      </w:r>
      <w:r>
        <w:rPr/>
        <w:t>sense of belonging and holistic development among learners.</w:t>
      </w:r>
    </w:p>
    <w:p>
      <w:pPr>
        <w:pStyle w:val="BodyText"/>
        <w:spacing w:before="1"/>
        <w:ind w:right="356" w:firstLine="720"/>
      </w:pPr>
      <w:r>
        <w:rPr/>
        <w:t>However,</w:t>
      </w:r>
      <w:r>
        <w:rPr>
          <w:spacing w:val="-9"/>
        </w:rPr>
        <w:t> </w:t>
      </w:r>
      <w:r>
        <w:rPr/>
        <w:t>the</w:t>
      </w:r>
      <w:r>
        <w:rPr>
          <w:spacing w:val="-11"/>
        </w:rPr>
        <w:t> </w:t>
      </w:r>
      <w:r>
        <w:rPr/>
        <w:t>relatively</w:t>
      </w:r>
      <w:r>
        <w:rPr>
          <w:spacing w:val="-13"/>
        </w:rPr>
        <w:t> </w:t>
      </w:r>
      <w:r>
        <w:rPr/>
        <w:t>lower</w:t>
      </w:r>
      <w:r>
        <w:rPr>
          <w:spacing w:val="-9"/>
        </w:rPr>
        <w:t> </w:t>
      </w:r>
      <w:r>
        <w:rPr/>
        <w:t>rating</w:t>
      </w:r>
      <w:r>
        <w:rPr>
          <w:spacing w:val="-12"/>
        </w:rPr>
        <w:t> </w:t>
      </w:r>
      <w:r>
        <w:rPr/>
        <w:t>for</w:t>
      </w:r>
      <w:r>
        <w:rPr>
          <w:spacing w:val="-11"/>
        </w:rPr>
        <w:t> </w:t>
      </w:r>
      <w:r>
        <w:rPr/>
        <w:t>the</w:t>
      </w:r>
      <w:r>
        <w:rPr>
          <w:spacing w:val="-11"/>
        </w:rPr>
        <w:t> </w:t>
      </w:r>
      <w:r>
        <w:rPr/>
        <w:t>learning</w:t>
      </w:r>
      <w:r>
        <w:rPr>
          <w:spacing w:val="-10"/>
        </w:rPr>
        <w:t> </w:t>
      </w:r>
      <w:r>
        <w:rPr/>
        <w:t>environment</w:t>
      </w:r>
      <w:r>
        <w:rPr>
          <w:spacing w:val="-9"/>
        </w:rPr>
        <w:t> </w:t>
      </w:r>
      <w:r>
        <w:rPr/>
        <w:t>and</w:t>
      </w:r>
      <w:r>
        <w:rPr>
          <w:spacing w:val="-9"/>
        </w:rPr>
        <w:t> </w:t>
      </w:r>
      <w:r>
        <w:rPr/>
        <w:t>peer</w:t>
      </w:r>
      <w:r>
        <w:rPr>
          <w:spacing w:val="-10"/>
        </w:rPr>
        <w:t> </w:t>
      </w:r>
      <w:r>
        <w:rPr/>
        <w:t>interaction</w:t>
      </w:r>
      <w:r>
        <w:rPr>
          <w:spacing w:val="-9"/>
        </w:rPr>
        <w:t> </w:t>
      </w:r>
      <w:r>
        <w:rPr/>
        <w:t>indicates</w:t>
      </w:r>
      <w:r>
        <w:rPr>
          <w:spacing w:val="-11"/>
        </w:rPr>
        <w:t> </w:t>
      </w:r>
      <w:r>
        <w:rPr/>
        <w:t>the need for strategies that promote inclusivity, positive peer relationships, and anti-bullying initiatives. Furthermore,</w:t>
      </w:r>
      <w:r>
        <w:rPr>
          <w:spacing w:val="-2"/>
        </w:rPr>
        <w:t> </w:t>
      </w:r>
      <w:r>
        <w:rPr/>
        <w:t>reviewing</w:t>
      </w:r>
      <w:r>
        <w:rPr>
          <w:spacing w:val="-3"/>
        </w:rPr>
        <w:t> </w:t>
      </w:r>
      <w:r>
        <w:rPr/>
        <w:t>the</w:t>
      </w:r>
      <w:r>
        <w:rPr>
          <w:spacing w:val="-4"/>
        </w:rPr>
        <w:t> </w:t>
      </w:r>
      <w:r>
        <w:rPr/>
        <w:t>curriculum</w:t>
      </w:r>
      <w:r>
        <w:rPr>
          <w:spacing w:val="-8"/>
        </w:rPr>
        <w:t> </w:t>
      </w:r>
      <w:r>
        <w:rPr/>
        <w:t>design</w:t>
      </w:r>
      <w:r>
        <w:rPr>
          <w:spacing w:val="-3"/>
        </w:rPr>
        <w:t> </w:t>
      </w:r>
      <w:r>
        <w:rPr/>
        <w:t>and</w:t>
      </w:r>
      <w:r>
        <w:rPr>
          <w:spacing w:val="-4"/>
        </w:rPr>
        <w:t> </w:t>
      </w:r>
      <w:r>
        <w:rPr/>
        <w:t>workload</w:t>
      </w:r>
      <w:r>
        <w:rPr>
          <w:spacing w:val="-4"/>
        </w:rPr>
        <w:t> </w:t>
      </w:r>
      <w:r>
        <w:rPr/>
        <w:t>balance</w:t>
      </w:r>
      <w:r>
        <w:rPr>
          <w:spacing w:val="-2"/>
        </w:rPr>
        <w:t> </w:t>
      </w:r>
      <w:r>
        <w:rPr/>
        <w:t>could</w:t>
      </w:r>
      <w:r>
        <w:rPr>
          <w:spacing w:val="-5"/>
        </w:rPr>
        <w:t> </w:t>
      </w:r>
      <w:r>
        <w:rPr/>
        <w:t>help</w:t>
      </w:r>
      <w:r>
        <w:rPr>
          <w:spacing w:val="-7"/>
        </w:rPr>
        <w:t> </w:t>
      </w:r>
      <w:r>
        <w:rPr/>
        <w:t>reduce</w:t>
      </w:r>
      <w:r>
        <w:rPr>
          <w:spacing w:val="-4"/>
        </w:rPr>
        <w:t> </w:t>
      </w:r>
      <w:r>
        <w:rPr/>
        <w:t>stress</w:t>
      </w:r>
      <w:r>
        <w:rPr>
          <w:spacing w:val="-3"/>
        </w:rPr>
        <w:t> </w:t>
      </w:r>
      <w:r>
        <w:rPr/>
        <w:t>and</w:t>
      </w:r>
      <w:r>
        <w:rPr>
          <w:spacing w:val="-5"/>
        </w:rPr>
        <w:t> </w:t>
      </w:r>
      <w:r>
        <w:rPr/>
        <w:t>improve engagement, ensuring that academic expectations remain developmentally appropriate.</w:t>
      </w:r>
    </w:p>
    <w:p>
      <w:pPr>
        <w:pStyle w:val="BodyText"/>
        <w:ind w:right="354" w:firstLine="720"/>
      </w:pPr>
      <w:r>
        <w:rPr/>
        <w:t>Research supports the strong influence of teaching quality on student satisfaction, with Hattie (2015) emphasizing that effective teacher-student relationships have a direct impact on motivation and achievement.</w:t>
      </w:r>
      <w:r>
        <w:rPr>
          <w:spacing w:val="-1"/>
        </w:rPr>
        <w:t> </w:t>
      </w:r>
      <w:r>
        <w:rPr/>
        <w:t>Similarly, Tinto</w:t>
      </w:r>
      <w:r>
        <w:rPr>
          <w:spacing w:val="-4"/>
        </w:rPr>
        <w:t> </w:t>
      </w:r>
      <w:r>
        <w:rPr/>
        <w:t>(2017)</w:t>
      </w:r>
      <w:r>
        <w:rPr>
          <w:spacing w:val="-2"/>
        </w:rPr>
        <w:t> </w:t>
      </w:r>
      <w:r>
        <w:rPr/>
        <w:t>highlights</w:t>
      </w:r>
      <w:r>
        <w:rPr>
          <w:spacing w:val="-3"/>
        </w:rPr>
        <w:t> </w:t>
      </w:r>
      <w:r>
        <w:rPr/>
        <w:t>that</w:t>
      </w:r>
      <w:r>
        <w:rPr>
          <w:spacing w:val="-3"/>
        </w:rPr>
        <w:t> </w:t>
      </w:r>
      <w:r>
        <w:rPr/>
        <w:t>supportive</w:t>
      </w:r>
      <w:r>
        <w:rPr>
          <w:spacing w:val="-1"/>
        </w:rPr>
        <w:t> </w:t>
      </w:r>
      <w:r>
        <w:rPr/>
        <w:t>services</w:t>
      </w:r>
      <w:r>
        <w:rPr>
          <w:spacing w:val="-1"/>
        </w:rPr>
        <w:t> </w:t>
      </w:r>
      <w:r>
        <w:rPr/>
        <w:t>and</w:t>
      </w:r>
      <w:r>
        <w:rPr>
          <w:spacing w:val="-3"/>
        </w:rPr>
        <w:t> </w:t>
      </w:r>
      <w:r>
        <w:rPr/>
        <w:t>co-curricular</w:t>
      </w:r>
      <w:r>
        <w:rPr>
          <w:spacing w:val="-3"/>
        </w:rPr>
        <w:t> </w:t>
      </w:r>
      <w:r>
        <w:rPr/>
        <w:t>programs</w:t>
      </w:r>
      <w:r>
        <w:rPr>
          <w:spacing w:val="-1"/>
        </w:rPr>
        <w:t> </w:t>
      </w:r>
      <w:r>
        <w:rPr/>
        <w:t>foster student engagement and retention. Meanwhile, Nguyen et al. (2021) found that peer interactions and a </w:t>
      </w:r>
      <w:r>
        <w:rPr>
          <w:spacing w:val="-2"/>
        </w:rPr>
        <w:t>favorable classroom</w:t>
      </w:r>
      <w:r>
        <w:rPr>
          <w:spacing w:val="-9"/>
        </w:rPr>
        <w:t> </w:t>
      </w:r>
      <w:r>
        <w:rPr>
          <w:spacing w:val="-2"/>
        </w:rPr>
        <w:t>climate are crucial for</w:t>
      </w:r>
      <w:r>
        <w:rPr>
          <w:spacing w:val="-3"/>
        </w:rPr>
        <w:t> </w:t>
      </w:r>
      <w:r>
        <w:rPr>
          <w:spacing w:val="-2"/>
        </w:rPr>
        <w:t>developing</w:t>
      </w:r>
      <w:r>
        <w:rPr>
          <w:spacing w:val="-3"/>
        </w:rPr>
        <w:t> </w:t>
      </w:r>
      <w:r>
        <w:rPr>
          <w:spacing w:val="-2"/>
        </w:rPr>
        <w:t>collaboration skills and emotional well being. Lastly, </w:t>
      </w:r>
      <w:r>
        <w:rPr/>
        <w:t>García-Moya et al. (2019) underscore the importance of balancing curriculum demands with student readiness to maintain satisfaction and reduce academic stress.</w:t>
      </w:r>
    </w:p>
    <w:p>
      <w:pPr>
        <w:pStyle w:val="BodyText"/>
        <w:spacing w:after="0"/>
        <w:sectPr>
          <w:pgSz w:w="12240" w:h="15840"/>
          <w:pgMar w:header="98" w:footer="938" w:top="1340" w:bottom="1160" w:left="720" w:right="1080"/>
        </w:sectPr>
      </w:pPr>
    </w:p>
    <w:p>
      <w:pPr>
        <w:spacing w:before="110"/>
        <w:ind w:left="510" w:right="149" w:firstLine="0"/>
        <w:jc w:val="center"/>
        <w:rPr>
          <w:b/>
          <w:sz w:val="22"/>
        </w:rPr>
      </w:pPr>
      <w:r>
        <w:rPr>
          <w:b/>
          <w:sz w:val="22"/>
        </w:rPr>
        <w:t>Table </w:t>
      </w:r>
      <w:r>
        <w:rPr>
          <w:b/>
          <w:spacing w:val="-10"/>
          <w:sz w:val="22"/>
        </w:rPr>
        <w:t>4</w:t>
      </w:r>
    </w:p>
    <w:p>
      <w:pPr>
        <w:spacing w:line="256" w:lineRule="auto" w:before="22"/>
        <w:ind w:left="508" w:right="149" w:firstLine="0"/>
        <w:jc w:val="center"/>
        <w:rPr>
          <w:b/>
          <w:sz w:val="22"/>
        </w:rPr>
      </w:pPr>
      <w:r>
        <w:rPr>
          <w:b/>
          <w:sz w:val="22"/>
        </w:rPr>
        <w:t>Significant</w:t>
      </w:r>
      <w:r>
        <w:rPr>
          <w:b/>
          <w:spacing w:val="-3"/>
          <w:sz w:val="22"/>
        </w:rPr>
        <w:t> </w:t>
      </w:r>
      <w:r>
        <w:rPr>
          <w:b/>
          <w:sz w:val="22"/>
        </w:rPr>
        <w:t>Relationship</w:t>
      </w:r>
      <w:r>
        <w:rPr>
          <w:b/>
          <w:spacing w:val="-3"/>
          <w:sz w:val="22"/>
        </w:rPr>
        <w:t> </w:t>
      </w:r>
      <w:r>
        <w:rPr>
          <w:b/>
          <w:sz w:val="22"/>
        </w:rPr>
        <w:t>Between</w:t>
      </w:r>
      <w:r>
        <w:rPr>
          <w:b/>
          <w:spacing w:val="-3"/>
          <w:sz w:val="22"/>
        </w:rPr>
        <w:t> </w:t>
      </w:r>
      <w:r>
        <w:rPr>
          <w:b/>
          <w:sz w:val="22"/>
        </w:rPr>
        <w:t>the</w:t>
      </w:r>
      <w:r>
        <w:rPr>
          <w:b/>
          <w:spacing w:val="-5"/>
          <w:sz w:val="22"/>
        </w:rPr>
        <w:t> </w:t>
      </w:r>
      <w:r>
        <w:rPr>
          <w:b/>
          <w:sz w:val="22"/>
        </w:rPr>
        <w:t>Profile</w:t>
      </w:r>
      <w:r>
        <w:rPr>
          <w:b/>
          <w:spacing w:val="-3"/>
          <w:sz w:val="22"/>
        </w:rPr>
        <w:t> </w:t>
      </w:r>
      <w:r>
        <w:rPr>
          <w:b/>
          <w:sz w:val="22"/>
        </w:rPr>
        <w:t>of</w:t>
      </w:r>
      <w:r>
        <w:rPr>
          <w:b/>
          <w:spacing w:val="-4"/>
          <w:sz w:val="22"/>
        </w:rPr>
        <w:t> </w:t>
      </w:r>
      <w:r>
        <w:rPr>
          <w:b/>
          <w:sz w:val="22"/>
        </w:rPr>
        <w:t>the</w:t>
      </w:r>
      <w:r>
        <w:rPr>
          <w:b/>
          <w:spacing w:val="-5"/>
          <w:sz w:val="22"/>
        </w:rPr>
        <w:t> </w:t>
      </w:r>
      <w:r>
        <w:rPr>
          <w:b/>
          <w:sz w:val="22"/>
        </w:rPr>
        <w:t>Respondents</w:t>
      </w:r>
      <w:r>
        <w:rPr>
          <w:b/>
          <w:spacing w:val="-4"/>
          <w:sz w:val="22"/>
        </w:rPr>
        <w:t> </w:t>
      </w:r>
      <w:r>
        <w:rPr>
          <w:b/>
          <w:sz w:val="22"/>
        </w:rPr>
        <w:t>and</w:t>
      </w:r>
      <w:r>
        <w:rPr>
          <w:b/>
          <w:spacing w:val="-3"/>
          <w:sz w:val="22"/>
        </w:rPr>
        <w:t> </w:t>
      </w:r>
      <w:r>
        <w:rPr>
          <w:b/>
          <w:sz w:val="22"/>
        </w:rPr>
        <w:t>the</w:t>
      </w:r>
      <w:r>
        <w:rPr>
          <w:b/>
          <w:spacing w:val="-5"/>
          <w:sz w:val="22"/>
        </w:rPr>
        <w:t> </w:t>
      </w:r>
      <w:r>
        <w:rPr>
          <w:b/>
          <w:sz w:val="22"/>
        </w:rPr>
        <w:t>Level</w:t>
      </w:r>
      <w:r>
        <w:rPr>
          <w:b/>
          <w:spacing w:val="-2"/>
          <w:sz w:val="22"/>
        </w:rPr>
        <w:t> </w:t>
      </w:r>
      <w:r>
        <w:rPr>
          <w:b/>
          <w:sz w:val="22"/>
        </w:rPr>
        <w:t>of</w:t>
      </w:r>
      <w:r>
        <w:rPr>
          <w:b/>
          <w:spacing w:val="-3"/>
          <w:sz w:val="22"/>
        </w:rPr>
        <w:t> </w:t>
      </w:r>
      <w:r>
        <w:rPr>
          <w:b/>
          <w:sz w:val="22"/>
        </w:rPr>
        <w:t>Satisfaction</w:t>
      </w:r>
      <w:r>
        <w:rPr>
          <w:b/>
          <w:spacing w:val="-3"/>
          <w:sz w:val="22"/>
        </w:rPr>
        <w:t> </w:t>
      </w:r>
      <w:r>
        <w:rPr>
          <w:b/>
          <w:sz w:val="22"/>
        </w:rPr>
        <w:t>as Perceived by the Students in the Elementary Department</w:t>
      </w:r>
    </w:p>
    <w:p>
      <w:pPr>
        <w:spacing w:before="4" w:after="22"/>
        <w:ind w:left="511" w:right="149" w:firstLine="0"/>
        <w:jc w:val="center"/>
        <w:rPr>
          <w:b/>
          <w:sz w:val="22"/>
        </w:rPr>
      </w:pPr>
      <w:r>
        <w:rPr>
          <w:b/>
          <w:sz w:val="22"/>
        </w:rPr>
        <w:t>(</w:t>
      </w:r>
      <w:r>
        <w:rPr>
          <w:rFonts w:ascii="Symbol" w:hAnsi="Symbol"/>
          <w:sz w:val="22"/>
        </w:rPr>
        <w:t></w:t>
      </w:r>
      <w:r>
        <w:rPr>
          <w:sz w:val="22"/>
        </w:rPr>
        <w:t> </w:t>
      </w:r>
      <w:r>
        <w:rPr>
          <w:b/>
          <w:sz w:val="22"/>
        </w:rPr>
        <w:t>=</w:t>
      </w:r>
      <w:r>
        <w:rPr>
          <w:b/>
          <w:spacing w:val="1"/>
          <w:sz w:val="22"/>
        </w:rPr>
        <w:t> </w:t>
      </w:r>
      <w:r>
        <w:rPr>
          <w:b/>
          <w:spacing w:val="-2"/>
          <w:sz w:val="22"/>
        </w:rPr>
        <w:t>0.05)</w:t>
      </w:r>
    </w:p>
    <w:tbl>
      <w:tblPr>
        <w:tblW w:w="0" w:type="auto"/>
        <w:jc w:val="left"/>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2"/>
        <w:gridCol w:w="1083"/>
        <w:gridCol w:w="841"/>
        <w:gridCol w:w="458"/>
        <w:gridCol w:w="754"/>
        <w:gridCol w:w="1159"/>
        <w:gridCol w:w="1575"/>
      </w:tblGrid>
      <w:tr>
        <w:trPr>
          <w:trHeight w:val="506" w:hRule="atLeast"/>
        </w:trPr>
        <w:tc>
          <w:tcPr>
            <w:tcW w:w="2652" w:type="dxa"/>
            <w:tcBorders>
              <w:top w:val="single" w:sz="4" w:space="0" w:color="7E7E7E"/>
              <w:bottom w:val="single" w:sz="4" w:space="0" w:color="7E7E7E"/>
            </w:tcBorders>
          </w:tcPr>
          <w:p>
            <w:pPr>
              <w:pStyle w:val="TableParagraph"/>
              <w:spacing w:line="252" w:lineRule="exact"/>
              <w:ind w:left="121"/>
              <w:rPr>
                <w:b/>
                <w:sz w:val="22"/>
              </w:rPr>
            </w:pPr>
            <w:r>
              <w:rPr>
                <w:b/>
                <w:spacing w:val="-2"/>
                <w:sz w:val="22"/>
              </w:rPr>
              <w:t>Dimension</w:t>
            </w:r>
          </w:p>
        </w:tc>
        <w:tc>
          <w:tcPr>
            <w:tcW w:w="1083" w:type="dxa"/>
            <w:tcBorders>
              <w:top w:val="single" w:sz="4" w:space="0" w:color="7E7E7E"/>
              <w:bottom w:val="single" w:sz="4" w:space="0" w:color="7E7E7E"/>
            </w:tcBorders>
          </w:tcPr>
          <w:p>
            <w:pPr>
              <w:pStyle w:val="TableParagraph"/>
              <w:spacing w:line="252" w:lineRule="exact"/>
              <w:ind w:left="146"/>
              <w:rPr>
                <w:b/>
                <w:sz w:val="22"/>
              </w:rPr>
            </w:pPr>
            <w:r>
              <w:rPr>
                <w:b/>
                <w:spacing w:val="-2"/>
                <w:sz w:val="22"/>
              </w:rPr>
              <w:t>Variable</w:t>
            </w:r>
          </w:p>
        </w:tc>
        <w:tc>
          <w:tcPr>
            <w:tcW w:w="841" w:type="dxa"/>
            <w:tcBorders>
              <w:top w:val="single" w:sz="4" w:space="0" w:color="7E7E7E"/>
              <w:bottom w:val="single" w:sz="4" w:space="0" w:color="7E7E7E"/>
            </w:tcBorders>
          </w:tcPr>
          <w:p>
            <w:pPr>
              <w:pStyle w:val="TableParagraph"/>
              <w:spacing w:line="252" w:lineRule="exact"/>
              <w:ind w:left="145" w:right="136" w:firstLine="192"/>
              <w:rPr>
                <w:b/>
                <w:sz w:val="22"/>
              </w:rPr>
            </w:pPr>
            <w:r>
              <w:rPr>
                <w:b/>
                <w:spacing w:val="-6"/>
                <w:sz w:val="22"/>
              </w:rPr>
              <w:t>χ² </w:t>
            </w:r>
            <w:r>
              <w:rPr>
                <w:b/>
                <w:spacing w:val="-2"/>
                <w:sz w:val="22"/>
              </w:rPr>
              <w:t>Value</w:t>
            </w:r>
          </w:p>
        </w:tc>
        <w:tc>
          <w:tcPr>
            <w:tcW w:w="458" w:type="dxa"/>
            <w:tcBorders>
              <w:top w:val="single" w:sz="4" w:space="0" w:color="7E7E7E"/>
              <w:bottom w:val="single" w:sz="4" w:space="0" w:color="7E7E7E"/>
            </w:tcBorders>
          </w:tcPr>
          <w:p>
            <w:pPr>
              <w:pStyle w:val="TableParagraph"/>
              <w:spacing w:line="252" w:lineRule="exact"/>
              <w:ind w:left="3" w:right="2"/>
              <w:jc w:val="center"/>
              <w:rPr>
                <w:b/>
                <w:sz w:val="22"/>
              </w:rPr>
            </w:pPr>
            <w:r>
              <w:rPr>
                <w:b/>
                <w:spacing w:val="-5"/>
                <w:sz w:val="22"/>
              </w:rPr>
              <w:t>df</w:t>
            </w:r>
          </w:p>
        </w:tc>
        <w:tc>
          <w:tcPr>
            <w:tcW w:w="754" w:type="dxa"/>
            <w:tcBorders>
              <w:top w:val="single" w:sz="4" w:space="0" w:color="7E7E7E"/>
              <w:bottom w:val="single" w:sz="4" w:space="0" w:color="7E7E7E"/>
            </w:tcBorders>
          </w:tcPr>
          <w:p>
            <w:pPr>
              <w:pStyle w:val="TableParagraph"/>
              <w:spacing w:line="252" w:lineRule="exact"/>
              <w:ind w:left="122" w:right="127" w:firstLine="154"/>
              <w:rPr>
                <w:b/>
                <w:sz w:val="22"/>
              </w:rPr>
            </w:pPr>
            <w:r>
              <w:rPr>
                <w:b/>
                <w:sz w:val="22"/>
              </w:rPr>
              <w:t>p-</w:t>
            </w:r>
            <w:r>
              <w:rPr>
                <w:b/>
                <w:spacing w:val="-2"/>
                <w:sz w:val="22"/>
              </w:rPr>
              <w:t>value</w:t>
            </w:r>
          </w:p>
        </w:tc>
        <w:tc>
          <w:tcPr>
            <w:tcW w:w="1159" w:type="dxa"/>
            <w:tcBorders>
              <w:top w:val="single" w:sz="4" w:space="0" w:color="7E7E7E"/>
              <w:bottom w:val="single" w:sz="4" w:space="0" w:color="7E7E7E"/>
            </w:tcBorders>
          </w:tcPr>
          <w:p>
            <w:pPr>
              <w:pStyle w:val="TableParagraph"/>
              <w:spacing w:line="252" w:lineRule="exact"/>
              <w:ind w:left="511" w:right="114" w:hanging="374"/>
              <w:rPr>
                <w:b/>
                <w:sz w:val="22"/>
              </w:rPr>
            </w:pPr>
            <w:r>
              <w:rPr>
                <w:b/>
                <w:spacing w:val="-2"/>
                <w:sz w:val="22"/>
              </w:rPr>
              <w:t>Cramer’s </w:t>
            </w:r>
            <w:r>
              <w:rPr>
                <w:b/>
                <w:spacing w:val="-10"/>
                <w:sz w:val="22"/>
              </w:rPr>
              <w:t>V</w:t>
            </w:r>
          </w:p>
        </w:tc>
        <w:tc>
          <w:tcPr>
            <w:tcW w:w="1575" w:type="dxa"/>
            <w:tcBorders>
              <w:top w:val="single" w:sz="4" w:space="0" w:color="7E7E7E"/>
              <w:bottom w:val="single" w:sz="4" w:space="0" w:color="7E7E7E"/>
            </w:tcBorders>
          </w:tcPr>
          <w:p>
            <w:pPr>
              <w:pStyle w:val="TableParagraph"/>
              <w:spacing w:line="252" w:lineRule="exact"/>
              <w:ind w:right="99"/>
              <w:jc w:val="right"/>
              <w:rPr>
                <w:b/>
                <w:sz w:val="22"/>
              </w:rPr>
            </w:pPr>
            <w:r>
              <w:rPr>
                <w:b/>
                <w:spacing w:val="-2"/>
                <w:sz w:val="22"/>
              </w:rPr>
              <w:t>Interpretation</w:t>
            </w:r>
          </w:p>
        </w:tc>
      </w:tr>
      <w:tr>
        <w:trPr>
          <w:trHeight w:val="505" w:hRule="atLeast"/>
        </w:trPr>
        <w:tc>
          <w:tcPr>
            <w:tcW w:w="2652" w:type="dxa"/>
            <w:tcBorders>
              <w:top w:val="single" w:sz="4" w:space="0" w:color="7E7E7E"/>
            </w:tcBorders>
          </w:tcPr>
          <w:p>
            <w:pPr>
              <w:pStyle w:val="TableParagraph"/>
              <w:spacing w:line="252" w:lineRule="exact"/>
              <w:ind w:left="121"/>
              <w:rPr>
                <w:b/>
                <w:sz w:val="22"/>
              </w:rPr>
            </w:pPr>
            <w:r>
              <w:rPr>
                <w:b/>
                <w:sz w:val="22"/>
              </w:rPr>
              <w:t>Teacher</w:t>
            </w:r>
            <w:r>
              <w:rPr>
                <w:b/>
                <w:spacing w:val="-14"/>
                <w:sz w:val="22"/>
              </w:rPr>
              <w:t> </w:t>
            </w:r>
            <w:r>
              <w:rPr>
                <w:b/>
                <w:sz w:val="22"/>
              </w:rPr>
              <w:t>Quality</w:t>
            </w:r>
            <w:r>
              <w:rPr>
                <w:b/>
                <w:spacing w:val="-14"/>
                <w:sz w:val="22"/>
              </w:rPr>
              <w:t> </w:t>
            </w:r>
            <w:r>
              <w:rPr>
                <w:b/>
                <w:sz w:val="22"/>
              </w:rPr>
              <w:t>and Instruction </w:t>
            </w:r>
            <w:r>
              <w:rPr>
                <w:b/>
                <w:spacing w:val="-2"/>
                <w:sz w:val="22"/>
              </w:rPr>
              <w:t>Delivery</w:t>
            </w:r>
          </w:p>
        </w:tc>
        <w:tc>
          <w:tcPr>
            <w:tcW w:w="1083" w:type="dxa"/>
            <w:tcBorders>
              <w:top w:val="single" w:sz="4" w:space="0" w:color="7E7E7E"/>
            </w:tcBorders>
          </w:tcPr>
          <w:p>
            <w:pPr>
              <w:pStyle w:val="TableParagraph"/>
              <w:spacing w:line="246" w:lineRule="exact"/>
              <w:ind w:left="146"/>
              <w:rPr>
                <w:sz w:val="22"/>
              </w:rPr>
            </w:pPr>
            <w:r>
              <w:rPr>
                <w:spacing w:val="-5"/>
                <w:sz w:val="22"/>
              </w:rPr>
              <w:t>Age</w:t>
            </w:r>
          </w:p>
        </w:tc>
        <w:tc>
          <w:tcPr>
            <w:tcW w:w="841" w:type="dxa"/>
            <w:tcBorders>
              <w:top w:val="single" w:sz="4" w:space="0" w:color="7E7E7E"/>
            </w:tcBorders>
          </w:tcPr>
          <w:p>
            <w:pPr>
              <w:pStyle w:val="TableParagraph"/>
              <w:spacing w:line="246" w:lineRule="exact"/>
              <w:jc w:val="center"/>
              <w:rPr>
                <w:sz w:val="22"/>
              </w:rPr>
            </w:pPr>
            <w:r>
              <w:rPr>
                <w:spacing w:val="-2"/>
                <w:sz w:val="22"/>
              </w:rPr>
              <w:t>32.923</w:t>
            </w:r>
          </w:p>
        </w:tc>
        <w:tc>
          <w:tcPr>
            <w:tcW w:w="458" w:type="dxa"/>
            <w:tcBorders>
              <w:top w:val="single" w:sz="4" w:space="0" w:color="7E7E7E"/>
            </w:tcBorders>
          </w:tcPr>
          <w:p>
            <w:pPr>
              <w:pStyle w:val="TableParagraph"/>
              <w:spacing w:line="246" w:lineRule="exact"/>
              <w:ind w:left="3"/>
              <w:jc w:val="center"/>
              <w:rPr>
                <w:sz w:val="22"/>
              </w:rPr>
            </w:pPr>
            <w:r>
              <w:rPr>
                <w:spacing w:val="-5"/>
                <w:sz w:val="22"/>
              </w:rPr>
              <w:t>34</w:t>
            </w:r>
          </w:p>
        </w:tc>
        <w:tc>
          <w:tcPr>
            <w:tcW w:w="754" w:type="dxa"/>
            <w:tcBorders>
              <w:top w:val="single" w:sz="4" w:space="0" w:color="7E7E7E"/>
            </w:tcBorders>
          </w:tcPr>
          <w:p>
            <w:pPr>
              <w:pStyle w:val="TableParagraph"/>
              <w:spacing w:line="246" w:lineRule="exact"/>
              <w:ind w:right="5"/>
              <w:jc w:val="center"/>
              <w:rPr>
                <w:sz w:val="22"/>
              </w:rPr>
            </w:pPr>
            <w:r>
              <w:rPr>
                <w:spacing w:val="-4"/>
                <w:sz w:val="22"/>
              </w:rPr>
              <w:t>.520</w:t>
            </w:r>
          </w:p>
        </w:tc>
        <w:tc>
          <w:tcPr>
            <w:tcW w:w="1159" w:type="dxa"/>
            <w:tcBorders>
              <w:top w:val="single" w:sz="4" w:space="0" w:color="7E7E7E"/>
            </w:tcBorders>
          </w:tcPr>
          <w:p>
            <w:pPr>
              <w:pStyle w:val="TableParagraph"/>
              <w:spacing w:line="246" w:lineRule="exact"/>
              <w:ind w:left="20"/>
              <w:jc w:val="center"/>
              <w:rPr>
                <w:sz w:val="22"/>
              </w:rPr>
            </w:pPr>
            <w:r>
              <w:rPr>
                <w:spacing w:val="-4"/>
                <w:sz w:val="22"/>
              </w:rPr>
              <w:t>.182</w:t>
            </w:r>
          </w:p>
        </w:tc>
        <w:tc>
          <w:tcPr>
            <w:tcW w:w="1575" w:type="dxa"/>
            <w:tcBorders>
              <w:top w:val="single" w:sz="4" w:space="0" w:color="7E7E7E"/>
            </w:tcBorders>
          </w:tcPr>
          <w:p>
            <w:pPr>
              <w:pStyle w:val="TableParagraph"/>
              <w:spacing w:line="246" w:lineRule="exact"/>
              <w:ind w:right="101"/>
              <w:jc w:val="right"/>
              <w:rPr>
                <w:sz w:val="22"/>
              </w:rPr>
            </w:pPr>
            <w:r>
              <w:rPr>
                <w:sz w:val="22"/>
              </w:rPr>
              <w:t>Not</w:t>
            </w:r>
            <w:r>
              <w:rPr>
                <w:spacing w:val="-2"/>
                <w:sz w:val="22"/>
              </w:rPr>
              <w:t> significant</w:t>
            </w:r>
          </w:p>
        </w:tc>
      </w:tr>
      <w:tr>
        <w:trPr>
          <w:trHeight w:val="268" w:hRule="atLeast"/>
        </w:trPr>
        <w:tc>
          <w:tcPr>
            <w:tcW w:w="2652" w:type="dxa"/>
          </w:tcPr>
          <w:p>
            <w:pPr>
              <w:pStyle w:val="TableParagraph"/>
              <w:rPr>
                <w:sz w:val="18"/>
              </w:rPr>
            </w:pPr>
          </w:p>
        </w:tc>
        <w:tc>
          <w:tcPr>
            <w:tcW w:w="1083" w:type="dxa"/>
          </w:tcPr>
          <w:p>
            <w:pPr>
              <w:pStyle w:val="TableParagraph"/>
              <w:spacing w:line="246" w:lineRule="exact"/>
              <w:ind w:left="146"/>
              <w:rPr>
                <w:sz w:val="22"/>
              </w:rPr>
            </w:pPr>
            <w:r>
              <w:rPr>
                <w:spacing w:val="-2"/>
                <w:sz w:val="22"/>
              </w:rPr>
              <w:t>Gender</w:t>
            </w:r>
          </w:p>
        </w:tc>
        <w:tc>
          <w:tcPr>
            <w:tcW w:w="841" w:type="dxa"/>
          </w:tcPr>
          <w:p>
            <w:pPr>
              <w:pStyle w:val="TableParagraph"/>
              <w:spacing w:line="246" w:lineRule="exact"/>
              <w:jc w:val="center"/>
              <w:rPr>
                <w:sz w:val="22"/>
              </w:rPr>
            </w:pPr>
            <w:r>
              <w:rPr>
                <w:spacing w:val="-2"/>
                <w:sz w:val="22"/>
              </w:rPr>
              <w:t>58.299</w:t>
            </w:r>
          </w:p>
        </w:tc>
        <w:tc>
          <w:tcPr>
            <w:tcW w:w="458" w:type="dxa"/>
          </w:tcPr>
          <w:p>
            <w:pPr>
              <w:pStyle w:val="TableParagraph"/>
              <w:spacing w:line="246" w:lineRule="exact"/>
              <w:ind w:left="3"/>
              <w:jc w:val="center"/>
              <w:rPr>
                <w:sz w:val="22"/>
              </w:rPr>
            </w:pPr>
            <w:r>
              <w:rPr>
                <w:spacing w:val="-5"/>
                <w:sz w:val="22"/>
              </w:rPr>
              <w:t>51</w:t>
            </w:r>
          </w:p>
        </w:tc>
        <w:tc>
          <w:tcPr>
            <w:tcW w:w="754" w:type="dxa"/>
          </w:tcPr>
          <w:p>
            <w:pPr>
              <w:pStyle w:val="TableParagraph"/>
              <w:spacing w:line="246" w:lineRule="exact"/>
              <w:ind w:right="5"/>
              <w:jc w:val="center"/>
              <w:rPr>
                <w:sz w:val="22"/>
              </w:rPr>
            </w:pPr>
            <w:r>
              <w:rPr>
                <w:spacing w:val="-4"/>
                <w:sz w:val="22"/>
              </w:rPr>
              <w:t>.225</w:t>
            </w:r>
          </w:p>
        </w:tc>
        <w:tc>
          <w:tcPr>
            <w:tcW w:w="1159" w:type="dxa"/>
          </w:tcPr>
          <w:p>
            <w:pPr>
              <w:pStyle w:val="TableParagraph"/>
              <w:spacing w:line="246" w:lineRule="exact"/>
              <w:ind w:left="20"/>
              <w:jc w:val="center"/>
              <w:rPr>
                <w:sz w:val="22"/>
              </w:rPr>
            </w:pPr>
            <w:r>
              <w:rPr>
                <w:spacing w:val="-4"/>
                <w:sz w:val="22"/>
              </w:rPr>
              <w:t>.197</w:t>
            </w:r>
          </w:p>
        </w:tc>
        <w:tc>
          <w:tcPr>
            <w:tcW w:w="1575" w:type="dxa"/>
          </w:tcPr>
          <w:p>
            <w:pPr>
              <w:pStyle w:val="TableParagraph"/>
              <w:spacing w:line="246" w:lineRule="exact"/>
              <w:ind w:right="101"/>
              <w:jc w:val="right"/>
              <w:rPr>
                <w:sz w:val="22"/>
              </w:rPr>
            </w:pPr>
            <w:r>
              <w:rPr>
                <w:sz w:val="22"/>
              </w:rPr>
              <w:t>Not</w:t>
            </w:r>
            <w:r>
              <w:rPr>
                <w:spacing w:val="-2"/>
                <w:sz w:val="22"/>
              </w:rPr>
              <w:t> significant</w:t>
            </w:r>
          </w:p>
        </w:tc>
      </w:tr>
      <w:tr>
        <w:trPr>
          <w:trHeight w:val="288" w:hRule="atLeast"/>
        </w:trPr>
        <w:tc>
          <w:tcPr>
            <w:tcW w:w="2652" w:type="dxa"/>
          </w:tcPr>
          <w:p>
            <w:pPr>
              <w:pStyle w:val="TableParagraph"/>
              <w:rPr>
                <w:sz w:val="20"/>
              </w:rPr>
            </w:pPr>
          </w:p>
        </w:tc>
        <w:tc>
          <w:tcPr>
            <w:tcW w:w="1083" w:type="dxa"/>
          </w:tcPr>
          <w:p>
            <w:pPr>
              <w:pStyle w:val="TableParagraph"/>
              <w:spacing w:before="13"/>
              <w:ind w:left="146"/>
              <w:rPr>
                <w:sz w:val="22"/>
              </w:rPr>
            </w:pPr>
            <w:r>
              <w:rPr>
                <w:spacing w:val="-2"/>
                <w:sz w:val="22"/>
              </w:rPr>
              <w:t>Grade</w:t>
            </w:r>
          </w:p>
        </w:tc>
        <w:tc>
          <w:tcPr>
            <w:tcW w:w="841" w:type="dxa"/>
          </w:tcPr>
          <w:p>
            <w:pPr>
              <w:pStyle w:val="TableParagraph"/>
              <w:spacing w:before="13"/>
              <w:jc w:val="center"/>
              <w:rPr>
                <w:sz w:val="22"/>
              </w:rPr>
            </w:pPr>
            <w:r>
              <w:rPr>
                <w:spacing w:val="-2"/>
                <w:sz w:val="22"/>
              </w:rPr>
              <w:t>50.864</w:t>
            </w:r>
          </w:p>
        </w:tc>
        <w:tc>
          <w:tcPr>
            <w:tcW w:w="458" w:type="dxa"/>
          </w:tcPr>
          <w:p>
            <w:pPr>
              <w:pStyle w:val="TableParagraph"/>
              <w:spacing w:before="13"/>
              <w:ind w:left="3"/>
              <w:jc w:val="center"/>
              <w:rPr>
                <w:sz w:val="22"/>
              </w:rPr>
            </w:pPr>
            <w:r>
              <w:rPr>
                <w:spacing w:val="-5"/>
                <w:sz w:val="22"/>
              </w:rPr>
              <w:t>34</w:t>
            </w:r>
          </w:p>
        </w:tc>
        <w:tc>
          <w:tcPr>
            <w:tcW w:w="754" w:type="dxa"/>
          </w:tcPr>
          <w:p>
            <w:pPr>
              <w:pStyle w:val="TableParagraph"/>
              <w:spacing w:before="13"/>
              <w:ind w:left="2" w:right="5"/>
              <w:jc w:val="center"/>
              <w:rPr>
                <w:sz w:val="22"/>
              </w:rPr>
            </w:pPr>
            <w:r>
              <w:rPr>
                <w:spacing w:val="-2"/>
                <w:sz w:val="22"/>
              </w:rPr>
              <w:t>.032*</w:t>
            </w:r>
          </w:p>
        </w:tc>
        <w:tc>
          <w:tcPr>
            <w:tcW w:w="1159" w:type="dxa"/>
          </w:tcPr>
          <w:p>
            <w:pPr>
              <w:pStyle w:val="TableParagraph"/>
              <w:spacing w:before="13"/>
              <w:ind w:left="20"/>
              <w:jc w:val="center"/>
              <w:rPr>
                <w:sz w:val="22"/>
              </w:rPr>
            </w:pPr>
            <w:r>
              <w:rPr>
                <w:spacing w:val="-4"/>
                <w:sz w:val="22"/>
              </w:rPr>
              <w:t>.226</w:t>
            </w:r>
          </w:p>
        </w:tc>
        <w:tc>
          <w:tcPr>
            <w:tcW w:w="1575" w:type="dxa"/>
          </w:tcPr>
          <w:p>
            <w:pPr>
              <w:pStyle w:val="TableParagraph"/>
              <w:spacing w:before="13"/>
              <w:ind w:right="101"/>
              <w:jc w:val="right"/>
              <w:rPr>
                <w:sz w:val="22"/>
              </w:rPr>
            </w:pPr>
            <w:r>
              <w:rPr>
                <w:spacing w:val="-2"/>
                <w:sz w:val="22"/>
              </w:rPr>
              <w:t>Significant</w:t>
            </w:r>
          </w:p>
        </w:tc>
      </w:tr>
      <w:tr>
        <w:trPr>
          <w:trHeight w:val="525" w:hRule="atLeast"/>
        </w:trPr>
        <w:tc>
          <w:tcPr>
            <w:tcW w:w="2652" w:type="dxa"/>
          </w:tcPr>
          <w:p>
            <w:pPr>
              <w:pStyle w:val="TableParagraph"/>
              <w:spacing w:line="252" w:lineRule="exact" w:before="2"/>
              <w:ind w:left="121" w:right="587"/>
              <w:rPr>
                <w:b/>
                <w:sz w:val="22"/>
              </w:rPr>
            </w:pPr>
            <w:r>
              <w:rPr>
                <w:b/>
                <w:sz w:val="22"/>
              </w:rPr>
              <w:t>Curriculum and Academic</w:t>
            </w:r>
            <w:r>
              <w:rPr>
                <w:b/>
                <w:spacing w:val="-14"/>
                <w:sz w:val="22"/>
              </w:rPr>
              <w:t> </w:t>
            </w:r>
            <w:r>
              <w:rPr>
                <w:b/>
                <w:sz w:val="22"/>
              </w:rPr>
              <w:t>Workload</w:t>
            </w:r>
          </w:p>
        </w:tc>
        <w:tc>
          <w:tcPr>
            <w:tcW w:w="1083" w:type="dxa"/>
          </w:tcPr>
          <w:p>
            <w:pPr>
              <w:pStyle w:val="TableParagraph"/>
              <w:spacing w:before="12"/>
              <w:ind w:left="146"/>
              <w:rPr>
                <w:sz w:val="22"/>
              </w:rPr>
            </w:pPr>
            <w:r>
              <w:rPr>
                <w:spacing w:val="-5"/>
                <w:sz w:val="22"/>
              </w:rPr>
              <w:t>Age</w:t>
            </w:r>
          </w:p>
        </w:tc>
        <w:tc>
          <w:tcPr>
            <w:tcW w:w="841" w:type="dxa"/>
          </w:tcPr>
          <w:p>
            <w:pPr>
              <w:pStyle w:val="TableParagraph"/>
              <w:spacing w:before="12"/>
              <w:jc w:val="center"/>
              <w:rPr>
                <w:sz w:val="22"/>
              </w:rPr>
            </w:pPr>
            <w:r>
              <w:rPr>
                <w:spacing w:val="-2"/>
                <w:sz w:val="22"/>
              </w:rPr>
              <w:t>41.598</w:t>
            </w:r>
          </w:p>
        </w:tc>
        <w:tc>
          <w:tcPr>
            <w:tcW w:w="458" w:type="dxa"/>
          </w:tcPr>
          <w:p>
            <w:pPr>
              <w:pStyle w:val="TableParagraph"/>
              <w:spacing w:before="12"/>
              <w:ind w:left="3"/>
              <w:jc w:val="center"/>
              <w:rPr>
                <w:sz w:val="22"/>
              </w:rPr>
            </w:pPr>
            <w:r>
              <w:rPr>
                <w:spacing w:val="-5"/>
                <w:sz w:val="22"/>
              </w:rPr>
              <w:t>34</w:t>
            </w:r>
          </w:p>
        </w:tc>
        <w:tc>
          <w:tcPr>
            <w:tcW w:w="754" w:type="dxa"/>
          </w:tcPr>
          <w:p>
            <w:pPr>
              <w:pStyle w:val="TableParagraph"/>
              <w:spacing w:before="12"/>
              <w:ind w:right="5"/>
              <w:jc w:val="center"/>
              <w:rPr>
                <w:sz w:val="22"/>
              </w:rPr>
            </w:pPr>
            <w:r>
              <w:rPr>
                <w:spacing w:val="-4"/>
                <w:sz w:val="22"/>
              </w:rPr>
              <w:t>.174</w:t>
            </w:r>
          </w:p>
        </w:tc>
        <w:tc>
          <w:tcPr>
            <w:tcW w:w="1159" w:type="dxa"/>
          </w:tcPr>
          <w:p>
            <w:pPr>
              <w:pStyle w:val="TableParagraph"/>
              <w:spacing w:before="12"/>
              <w:ind w:left="20"/>
              <w:jc w:val="center"/>
              <w:rPr>
                <w:sz w:val="22"/>
              </w:rPr>
            </w:pPr>
            <w:r>
              <w:rPr>
                <w:spacing w:val="-4"/>
                <w:sz w:val="22"/>
              </w:rPr>
              <w:t>.204</w:t>
            </w:r>
          </w:p>
        </w:tc>
        <w:tc>
          <w:tcPr>
            <w:tcW w:w="1575" w:type="dxa"/>
          </w:tcPr>
          <w:p>
            <w:pPr>
              <w:pStyle w:val="TableParagraph"/>
              <w:spacing w:before="12"/>
              <w:ind w:right="101"/>
              <w:jc w:val="right"/>
              <w:rPr>
                <w:sz w:val="22"/>
              </w:rPr>
            </w:pPr>
            <w:r>
              <w:rPr>
                <w:sz w:val="22"/>
              </w:rPr>
              <w:t>Not</w:t>
            </w:r>
            <w:r>
              <w:rPr>
                <w:spacing w:val="-2"/>
                <w:sz w:val="22"/>
              </w:rPr>
              <w:t> significant</w:t>
            </w:r>
          </w:p>
        </w:tc>
      </w:tr>
      <w:tr>
        <w:trPr>
          <w:trHeight w:val="267" w:hRule="atLeast"/>
        </w:trPr>
        <w:tc>
          <w:tcPr>
            <w:tcW w:w="2652" w:type="dxa"/>
          </w:tcPr>
          <w:p>
            <w:pPr>
              <w:pStyle w:val="TableParagraph"/>
              <w:rPr>
                <w:sz w:val="18"/>
              </w:rPr>
            </w:pPr>
          </w:p>
        </w:tc>
        <w:tc>
          <w:tcPr>
            <w:tcW w:w="1083" w:type="dxa"/>
          </w:tcPr>
          <w:p>
            <w:pPr>
              <w:pStyle w:val="TableParagraph"/>
              <w:spacing w:line="246" w:lineRule="exact"/>
              <w:ind w:left="146"/>
              <w:rPr>
                <w:sz w:val="22"/>
              </w:rPr>
            </w:pPr>
            <w:r>
              <w:rPr>
                <w:spacing w:val="-2"/>
                <w:sz w:val="22"/>
              </w:rPr>
              <w:t>Gender</w:t>
            </w:r>
          </w:p>
        </w:tc>
        <w:tc>
          <w:tcPr>
            <w:tcW w:w="841" w:type="dxa"/>
          </w:tcPr>
          <w:p>
            <w:pPr>
              <w:pStyle w:val="TableParagraph"/>
              <w:spacing w:line="246" w:lineRule="exact"/>
              <w:jc w:val="center"/>
              <w:rPr>
                <w:sz w:val="22"/>
              </w:rPr>
            </w:pPr>
            <w:r>
              <w:rPr>
                <w:spacing w:val="-2"/>
                <w:sz w:val="22"/>
              </w:rPr>
              <w:t>73.317</w:t>
            </w:r>
          </w:p>
        </w:tc>
        <w:tc>
          <w:tcPr>
            <w:tcW w:w="458" w:type="dxa"/>
          </w:tcPr>
          <w:p>
            <w:pPr>
              <w:pStyle w:val="TableParagraph"/>
              <w:spacing w:line="246" w:lineRule="exact"/>
              <w:ind w:left="3"/>
              <w:jc w:val="center"/>
              <w:rPr>
                <w:sz w:val="22"/>
              </w:rPr>
            </w:pPr>
            <w:r>
              <w:rPr>
                <w:spacing w:val="-5"/>
                <w:sz w:val="22"/>
              </w:rPr>
              <w:t>51</w:t>
            </w:r>
          </w:p>
        </w:tc>
        <w:tc>
          <w:tcPr>
            <w:tcW w:w="754" w:type="dxa"/>
          </w:tcPr>
          <w:p>
            <w:pPr>
              <w:pStyle w:val="TableParagraph"/>
              <w:spacing w:line="246" w:lineRule="exact"/>
              <w:ind w:left="2" w:right="5"/>
              <w:jc w:val="center"/>
              <w:rPr>
                <w:sz w:val="22"/>
              </w:rPr>
            </w:pPr>
            <w:r>
              <w:rPr>
                <w:spacing w:val="-2"/>
                <w:sz w:val="22"/>
              </w:rPr>
              <w:t>.022*</w:t>
            </w:r>
          </w:p>
        </w:tc>
        <w:tc>
          <w:tcPr>
            <w:tcW w:w="1159" w:type="dxa"/>
          </w:tcPr>
          <w:p>
            <w:pPr>
              <w:pStyle w:val="TableParagraph"/>
              <w:spacing w:line="246" w:lineRule="exact"/>
              <w:ind w:left="20"/>
              <w:jc w:val="center"/>
              <w:rPr>
                <w:sz w:val="22"/>
              </w:rPr>
            </w:pPr>
            <w:r>
              <w:rPr>
                <w:spacing w:val="-4"/>
                <w:sz w:val="22"/>
              </w:rPr>
              <w:t>.221</w:t>
            </w:r>
          </w:p>
        </w:tc>
        <w:tc>
          <w:tcPr>
            <w:tcW w:w="1575" w:type="dxa"/>
          </w:tcPr>
          <w:p>
            <w:pPr>
              <w:pStyle w:val="TableParagraph"/>
              <w:spacing w:line="246" w:lineRule="exact"/>
              <w:ind w:right="101"/>
              <w:jc w:val="right"/>
              <w:rPr>
                <w:sz w:val="22"/>
              </w:rPr>
            </w:pPr>
            <w:r>
              <w:rPr>
                <w:spacing w:val="-2"/>
                <w:sz w:val="22"/>
              </w:rPr>
              <w:t>Significant</w:t>
            </w:r>
          </w:p>
        </w:tc>
      </w:tr>
      <w:tr>
        <w:trPr>
          <w:trHeight w:val="288" w:hRule="atLeast"/>
        </w:trPr>
        <w:tc>
          <w:tcPr>
            <w:tcW w:w="2652" w:type="dxa"/>
          </w:tcPr>
          <w:p>
            <w:pPr>
              <w:pStyle w:val="TableParagraph"/>
              <w:rPr>
                <w:sz w:val="20"/>
              </w:rPr>
            </w:pPr>
          </w:p>
        </w:tc>
        <w:tc>
          <w:tcPr>
            <w:tcW w:w="1083" w:type="dxa"/>
          </w:tcPr>
          <w:p>
            <w:pPr>
              <w:pStyle w:val="TableParagraph"/>
              <w:spacing w:before="12"/>
              <w:ind w:left="146"/>
              <w:rPr>
                <w:sz w:val="22"/>
              </w:rPr>
            </w:pPr>
            <w:r>
              <w:rPr>
                <w:spacing w:val="-2"/>
                <w:sz w:val="22"/>
              </w:rPr>
              <w:t>Grade</w:t>
            </w:r>
          </w:p>
        </w:tc>
        <w:tc>
          <w:tcPr>
            <w:tcW w:w="841" w:type="dxa"/>
          </w:tcPr>
          <w:p>
            <w:pPr>
              <w:pStyle w:val="TableParagraph"/>
              <w:spacing w:before="12"/>
              <w:jc w:val="center"/>
              <w:rPr>
                <w:sz w:val="22"/>
              </w:rPr>
            </w:pPr>
            <w:r>
              <w:rPr>
                <w:spacing w:val="-2"/>
                <w:sz w:val="22"/>
              </w:rPr>
              <w:t>53.649</w:t>
            </w:r>
          </w:p>
        </w:tc>
        <w:tc>
          <w:tcPr>
            <w:tcW w:w="458" w:type="dxa"/>
          </w:tcPr>
          <w:p>
            <w:pPr>
              <w:pStyle w:val="TableParagraph"/>
              <w:spacing w:before="12"/>
              <w:ind w:left="3"/>
              <w:jc w:val="center"/>
              <w:rPr>
                <w:sz w:val="22"/>
              </w:rPr>
            </w:pPr>
            <w:r>
              <w:rPr>
                <w:spacing w:val="-5"/>
                <w:sz w:val="22"/>
              </w:rPr>
              <w:t>34</w:t>
            </w:r>
          </w:p>
        </w:tc>
        <w:tc>
          <w:tcPr>
            <w:tcW w:w="754" w:type="dxa"/>
          </w:tcPr>
          <w:p>
            <w:pPr>
              <w:pStyle w:val="TableParagraph"/>
              <w:spacing w:before="12"/>
              <w:ind w:left="2" w:right="5"/>
              <w:jc w:val="center"/>
              <w:rPr>
                <w:sz w:val="22"/>
              </w:rPr>
            </w:pPr>
            <w:r>
              <w:rPr>
                <w:spacing w:val="-2"/>
                <w:sz w:val="22"/>
              </w:rPr>
              <w:t>.017*</w:t>
            </w:r>
          </w:p>
        </w:tc>
        <w:tc>
          <w:tcPr>
            <w:tcW w:w="1159" w:type="dxa"/>
          </w:tcPr>
          <w:p>
            <w:pPr>
              <w:pStyle w:val="TableParagraph"/>
              <w:spacing w:before="12"/>
              <w:ind w:left="20"/>
              <w:jc w:val="center"/>
              <w:rPr>
                <w:sz w:val="22"/>
              </w:rPr>
            </w:pPr>
            <w:r>
              <w:rPr>
                <w:spacing w:val="-4"/>
                <w:sz w:val="22"/>
              </w:rPr>
              <w:t>.232</w:t>
            </w:r>
          </w:p>
        </w:tc>
        <w:tc>
          <w:tcPr>
            <w:tcW w:w="1575" w:type="dxa"/>
          </w:tcPr>
          <w:p>
            <w:pPr>
              <w:pStyle w:val="TableParagraph"/>
              <w:spacing w:before="12"/>
              <w:ind w:right="101"/>
              <w:jc w:val="right"/>
              <w:rPr>
                <w:sz w:val="22"/>
              </w:rPr>
            </w:pPr>
            <w:r>
              <w:rPr>
                <w:spacing w:val="-2"/>
                <w:sz w:val="22"/>
              </w:rPr>
              <w:t>Significant</w:t>
            </w:r>
          </w:p>
        </w:tc>
      </w:tr>
      <w:tr>
        <w:trPr>
          <w:trHeight w:val="526" w:hRule="atLeast"/>
        </w:trPr>
        <w:tc>
          <w:tcPr>
            <w:tcW w:w="2652" w:type="dxa"/>
          </w:tcPr>
          <w:p>
            <w:pPr>
              <w:pStyle w:val="TableParagraph"/>
              <w:spacing w:line="252" w:lineRule="exact" w:before="2"/>
              <w:ind w:left="121" w:right="355"/>
              <w:rPr>
                <w:b/>
                <w:sz w:val="22"/>
              </w:rPr>
            </w:pPr>
            <w:r>
              <w:rPr>
                <w:b/>
                <w:sz w:val="22"/>
              </w:rPr>
              <w:t>Learning</w:t>
            </w:r>
            <w:r>
              <w:rPr>
                <w:b/>
                <w:spacing w:val="-14"/>
                <w:sz w:val="22"/>
              </w:rPr>
              <w:t> </w:t>
            </w:r>
            <w:r>
              <w:rPr>
                <w:b/>
                <w:sz w:val="22"/>
              </w:rPr>
              <w:t>Environment and Peer Interaction</w:t>
            </w:r>
          </w:p>
        </w:tc>
        <w:tc>
          <w:tcPr>
            <w:tcW w:w="1083" w:type="dxa"/>
          </w:tcPr>
          <w:p>
            <w:pPr>
              <w:pStyle w:val="TableParagraph"/>
              <w:spacing w:before="13"/>
              <w:ind w:left="146"/>
              <w:rPr>
                <w:sz w:val="22"/>
              </w:rPr>
            </w:pPr>
            <w:r>
              <w:rPr>
                <w:spacing w:val="-5"/>
                <w:sz w:val="22"/>
              </w:rPr>
              <w:t>Age</w:t>
            </w:r>
          </w:p>
        </w:tc>
        <w:tc>
          <w:tcPr>
            <w:tcW w:w="841" w:type="dxa"/>
          </w:tcPr>
          <w:p>
            <w:pPr>
              <w:pStyle w:val="TableParagraph"/>
              <w:spacing w:before="13"/>
              <w:jc w:val="center"/>
              <w:rPr>
                <w:sz w:val="22"/>
              </w:rPr>
            </w:pPr>
            <w:r>
              <w:rPr>
                <w:spacing w:val="-2"/>
                <w:sz w:val="22"/>
              </w:rPr>
              <w:t>24.722</w:t>
            </w:r>
          </w:p>
        </w:tc>
        <w:tc>
          <w:tcPr>
            <w:tcW w:w="458" w:type="dxa"/>
          </w:tcPr>
          <w:p>
            <w:pPr>
              <w:pStyle w:val="TableParagraph"/>
              <w:spacing w:before="13"/>
              <w:ind w:left="3"/>
              <w:jc w:val="center"/>
              <w:rPr>
                <w:sz w:val="22"/>
              </w:rPr>
            </w:pPr>
            <w:r>
              <w:rPr>
                <w:spacing w:val="-5"/>
                <w:sz w:val="22"/>
              </w:rPr>
              <w:t>36</w:t>
            </w:r>
          </w:p>
        </w:tc>
        <w:tc>
          <w:tcPr>
            <w:tcW w:w="754" w:type="dxa"/>
          </w:tcPr>
          <w:p>
            <w:pPr>
              <w:pStyle w:val="TableParagraph"/>
              <w:spacing w:before="13"/>
              <w:ind w:right="5"/>
              <w:jc w:val="center"/>
              <w:rPr>
                <w:sz w:val="22"/>
              </w:rPr>
            </w:pPr>
            <w:r>
              <w:rPr>
                <w:spacing w:val="-4"/>
                <w:sz w:val="22"/>
              </w:rPr>
              <w:t>.922</w:t>
            </w:r>
          </w:p>
        </w:tc>
        <w:tc>
          <w:tcPr>
            <w:tcW w:w="1159" w:type="dxa"/>
          </w:tcPr>
          <w:p>
            <w:pPr>
              <w:pStyle w:val="TableParagraph"/>
              <w:spacing w:before="13"/>
              <w:ind w:left="20"/>
              <w:jc w:val="center"/>
              <w:rPr>
                <w:sz w:val="22"/>
              </w:rPr>
            </w:pPr>
            <w:r>
              <w:rPr>
                <w:spacing w:val="-4"/>
                <w:sz w:val="22"/>
              </w:rPr>
              <w:t>.157</w:t>
            </w:r>
          </w:p>
        </w:tc>
        <w:tc>
          <w:tcPr>
            <w:tcW w:w="1575" w:type="dxa"/>
          </w:tcPr>
          <w:p>
            <w:pPr>
              <w:pStyle w:val="TableParagraph"/>
              <w:spacing w:before="13"/>
              <w:ind w:right="101"/>
              <w:jc w:val="right"/>
              <w:rPr>
                <w:sz w:val="22"/>
              </w:rPr>
            </w:pPr>
            <w:r>
              <w:rPr>
                <w:sz w:val="22"/>
              </w:rPr>
              <w:t>Not</w:t>
            </w:r>
            <w:r>
              <w:rPr>
                <w:spacing w:val="-2"/>
                <w:sz w:val="22"/>
              </w:rPr>
              <w:t> significant</w:t>
            </w:r>
          </w:p>
        </w:tc>
      </w:tr>
      <w:tr>
        <w:trPr>
          <w:trHeight w:val="276" w:hRule="atLeast"/>
        </w:trPr>
        <w:tc>
          <w:tcPr>
            <w:tcW w:w="2652" w:type="dxa"/>
          </w:tcPr>
          <w:p>
            <w:pPr>
              <w:pStyle w:val="TableParagraph"/>
              <w:rPr>
                <w:sz w:val="20"/>
              </w:rPr>
            </w:pPr>
          </w:p>
        </w:tc>
        <w:tc>
          <w:tcPr>
            <w:tcW w:w="1083" w:type="dxa"/>
          </w:tcPr>
          <w:p>
            <w:pPr>
              <w:pStyle w:val="TableParagraph"/>
              <w:spacing w:line="246" w:lineRule="exact"/>
              <w:ind w:left="146"/>
              <w:rPr>
                <w:sz w:val="22"/>
              </w:rPr>
            </w:pPr>
            <w:r>
              <w:rPr>
                <w:spacing w:val="-2"/>
                <w:sz w:val="22"/>
              </w:rPr>
              <w:t>Gender</w:t>
            </w:r>
          </w:p>
        </w:tc>
        <w:tc>
          <w:tcPr>
            <w:tcW w:w="841" w:type="dxa"/>
          </w:tcPr>
          <w:p>
            <w:pPr>
              <w:pStyle w:val="TableParagraph"/>
              <w:spacing w:line="246" w:lineRule="exact"/>
              <w:jc w:val="center"/>
              <w:rPr>
                <w:sz w:val="22"/>
              </w:rPr>
            </w:pPr>
            <w:r>
              <w:rPr>
                <w:spacing w:val="-2"/>
                <w:sz w:val="22"/>
              </w:rPr>
              <w:t>38.610</w:t>
            </w:r>
          </w:p>
        </w:tc>
        <w:tc>
          <w:tcPr>
            <w:tcW w:w="458" w:type="dxa"/>
          </w:tcPr>
          <w:p>
            <w:pPr>
              <w:pStyle w:val="TableParagraph"/>
              <w:spacing w:line="246" w:lineRule="exact"/>
              <w:ind w:left="3"/>
              <w:jc w:val="center"/>
              <w:rPr>
                <w:sz w:val="22"/>
              </w:rPr>
            </w:pPr>
            <w:r>
              <w:rPr>
                <w:spacing w:val="-5"/>
                <w:sz w:val="22"/>
              </w:rPr>
              <w:t>54</w:t>
            </w:r>
          </w:p>
        </w:tc>
        <w:tc>
          <w:tcPr>
            <w:tcW w:w="754" w:type="dxa"/>
          </w:tcPr>
          <w:p>
            <w:pPr>
              <w:pStyle w:val="TableParagraph"/>
              <w:spacing w:line="246" w:lineRule="exact"/>
              <w:ind w:right="5"/>
              <w:jc w:val="center"/>
              <w:rPr>
                <w:sz w:val="22"/>
              </w:rPr>
            </w:pPr>
            <w:r>
              <w:rPr>
                <w:spacing w:val="-4"/>
                <w:sz w:val="22"/>
              </w:rPr>
              <w:t>.944</w:t>
            </w:r>
          </w:p>
        </w:tc>
        <w:tc>
          <w:tcPr>
            <w:tcW w:w="1159" w:type="dxa"/>
          </w:tcPr>
          <w:p>
            <w:pPr>
              <w:pStyle w:val="TableParagraph"/>
              <w:spacing w:line="246" w:lineRule="exact"/>
              <w:ind w:left="20"/>
              <w:jc w:val="center"/>
              <w:rPr>
                <w:sz w:val="22"/>
              </w:rPr>
            </w:pPr>
            <w:r>
              <w:rPr>
                <w:spacing w:val="-4"/>
                <w:sz w:val="22"/>
              </w:rPr>
              <w:t>.161</w:t>
            </w:r>
          </w:p>
        </w:tc>
        <w:tc>
          <w:tcPr>
            <w:tcW w:w="1575" w:type="dxa"/>
          </w:tcPr>
          <w:p>
            <w:pPr>
              <w:pStyle w:val="TableParagraph"/>
              <w:spacing w:line="246" w:lineRule="exact"/>
              <w:ind w:right="101"/>
              <w:jc w:val="right"/>
              <w:rPr>
                <w:sz w:val="22"/>
              </w:rPr>
            </w:pPr>
            <w:r>
              <w:rPr>
                <w:sz w:val="22"/>
              </w:rPr>
              <w:t>Not</w:t>
            </w:r>
            <w:r>
              <w:rPr>
                <w:spacing w:val="-2"/>
                <w:sz w:val="22"/>
              </w:rPr>
              <w:t> significant</w:t>
            </w:r>
          </w:p>
        </w:tc>
      </w:tr>
      <w:tr>
        <w:trPr>
          <w:trHeight w:val="296" w:hRule="atLeast"/>
        </w:trPr>
        <w:tc>
          <w:tcPr>
            <w:tcW w:w="2652" w:type="dxa"/>
          </w:tcPr>
          <w:p>
            <w:pPr>
              <w:pStyle w:val="TableParagraph"/>
              <w:rPr>
                <w:sz w:val="20"/>
              </w:rPr>
            </w:pPr>
          </w:p>
        </w:tc>
        <w:tc>
          <w:tcPr>
            <w:tcW w:w="1083" w:type="dxa"/>
          </w:tcPr>
          <w:p>
            <w:pPr>
              <w:pStyle w:val="TableParagraph"/>
              <w:spacing w:before="21"/>
              <w:ind w:left="146"/>
              <w:rPr>
                <w:sz w:val="22"/>
              </w:rPr>
            </w:pPr>
            <w:r>
              <w:rPr>
                <w:spacing w:val="-2"/>
                <w:sz w:val="22"/>
              </w:rPr>
              <w:t>Grade</w:t>
            </w:r>
          </w:p>
        </w:tc>
        <w:tc>
          <w:tcPr>
            <w:tcW w:w="841" w:type="dxa"/>
          </w:tcPr>
          <w:p>
            <w:pPr>
              <w:pStyle w:val="TableParagraph"/>
              <w:spacing w:before="21"/>
              <w:jc w:val="center"/>
              <w:rPr>
                <w:sz w:val="22"/>
              </w:rPr>
            </w:pPr>
            <w:r>
              <w:rPr>
                <w:spacing w:val="-2"/>
                <w:sz w:val="22"/>
              </w:rPr>
              <w:t>42.252</w:t>
            </w:r>
          </w:p>
        </w:tc>
        <w:tc>
          <w:tcPr>
            <w:tcW w:w="458" w:type="dxa"/>
          </w:tcPr>
          <w:p>
            <w:pPr>
              <w:pStyle w:val="TableParagraph"/>
              <w:spacing w:before="21"/>
              <w:ind w:left="3"/>
              <w:jc w:val="center"/>
              <w:rPr>
                <w:sz w:val="22"/>
              </w:rPr>
            </w:pPr>
            <w:r>
              <w:rPr>
                <w:spacing w:val="-5"/>
                <w:sz w:val="22"/>
              </w:rPr>
              <w:t>36</w:t>
            </w:r>
          </w:p>
        </w:tc>
        <w:tc>
          <w:tcPr>
            <w:tcW w:w="754" w:type="dxa"/>
          </w:tcPr>
          <w:p>
            <w:pPr>
              <w:pStyle w:val="TableParagraph"/>
              <w:spacing w:before="21"/>
              <w:ind w:right="5"/>
              <w:jc w:val="center"/>
              <w:rPr>
                <w:sz w:val="22"/>
              </w:rPr>
            </w:pPr>
            <w:r>
              <w:rPr>
                <w:spacing w:val="-4"/>
                <w:sz w:val="22"/>
              </w:rPr>
              <w:t>.219</w:t>
            </w:r>
          </w:p>
        </w:tc>
        <w:tc>
          <w:tcPr>
            <w:tcW w:w="1159" w:type="dxa"/>
          </w:tcPr>
          <w:p>
            <w:pPr>
              <w:pStyle w:val="TableParagraph"/>
              <w:spacing w:before="21"/>
              <w:ind w:left="20"/>
              <w:jc w:val="center"/>
              <w:rPr>
                <w:sz w:val="22"/>
              </w:rPr>
            </w:pPr>
            <w:r>
              <w:rPr>
                <w:spacing w:val="-4"/>
                <w:sz w:val="22"/>
              </w:rPr>
              <w:t>.206</w:t>
            </w:r>
          </w:p>
        </w:tc>
        <w:tc>
          <w:tcPr>
            <w:tcW w:w="1575" w:type="dxa"/>
          </w:tcPr>
          <w:p>
            <w:pPr>
              <w:pStyle w:val="TableParagraph"/>
              <w:spacing w:before="21"/>
              <w:ind w:right="101"/>
              <w:jc w:val="right"/>
              <w:rPr>
                <w:sz w:val="22"/>
              </w:rPr>
            </w:pPr>
            <w:r>
              <w:rPr>
                <w:sz w:val="22"/>
              </w:rPr>
              <w:t>Not</w:t>
            </w:r>
            <w:r>
              <w:rPr>
                <w:spacing w:val="-2"/>
                <w:sz w:val="22"/>
              </w:rPr>
              <w:t> significant</w:t>
            </w:r>
          </w:p>
        </w:tc>
      </w:tr>
      <w:tr>
        <w:trPr>
          <w:trHeight w:val="526" w:hRule="atLeast"/>
        </w:trPr>
        <w:tc>
          <w:tcPr>
            <w:tcW w:w="2652" w:type="dxa"/>
          </w:tcPr>
          <w:p>
            <w:pPr>
              <w:pStyle w:val="TableParagraph"/>
              <w:spacing w:line="252" w:lineRule="exact" w:before="2"/>
              <w:ind w:left="121"/>
              <w:rPr>
                <w:b/>
                <w:sz w:val="22"/>
              </w:rPr>
            </w:pPr>
            <w:r>
              <w:rPr>
                <w:b/>
                <w:sz w:val="22"/>
              </w:rPr>
              <w:t>School</w:t>
            </w:r>
            <w:r>
              <w:rPr>
                <w:b/>
                <w:spacing w:val="-14"/>
                <w:sz w:val="22"/>
              </w:rPr>
              <w:t> </w:t>
            </w:r>
            <w:r>
              <w:rPr>
                <w:b/>
                <w:sz w:val="22"/>
              </w:rPr>
              <w:t>Facilities</w:t>
            </w:r>
            <w:r>
              <w:rPr>
                <w:b/>
                <w:spacing w:val="-14"/>
                <w:sz w:val="22"/>
              </w:rPr>
              <w:t> </w:t>
            </w:r>
            <w:r>
              <w:rPr>
                <w:b/>
                <w:sz w:val="22"/>
              </w:rPr>
              <w:t>and </w:t>
            </w:r>
            <w:r>
              <w:rPr>
                <w:b/>
                <w:spacing w:val="-2"/>
                <w:sz w:val="22"/>
              </w:rPr>
              <w:t>Resources</w:t>
            </w:r>
          </w:p>
        </w:tc>
        <w:tc>
          <w:tcPr>
            <w:tcW w:w="1083" w:type="dxa"/>
          </w:tcPr>
          <w:p>
            <w:pPr>
              <w:pStyle w:val="TableParagraph"/>
              <w:spacing w:before="13"/>
              <w:ind w:left="146"/>
              <w:rPr>
                <w:sz w:val="22"/>
              </w:rPr>
            </w:pPr>
            <w:r>
              <w:rPr>
                <w:spacing w:val="-5"/>
                <w:sz w:val="22"/>
              </w:rPr>
              <w:t>Age</w:t>
            </w:r>
          </w:p>
        </w:tc>
        <w:tc>
          <w:tcPr>
            <w:tcW w:w="841" w:type="dxa"/>
          </w:tcPr>
          <w:p>
            <w:pPr>
              <w:pStyle w:val="TableParagraph"/>
              <w:spacing w:before="13"/>
              <w:jc w:val="center"/>
              <w:rPr>
                <w:sz w:val="22"/>
              </w:rPr>
            </w:pPr>
            <w:r>
              <w:rPr>
                <w:spacing w:val="-2"/>
                <w:sz w:val="22"/>
              </w:rPr>
              <w:t>24.896</w:t>
            </w:r>
          </w:p>
        </w:tc>
        <w:tc>
          <w:tcPr>
            <w:tcW w:w="458" w:type="dxa"/>
          </w:tcPr>
          <w:p>
            <w:pPr>
              <w:pStyle w:val="TableParagraph"/>
              <w:spacing w:before="13"/>
              <w:ind w:left="3"/>
              <w:jc w:val="center"/>
              <w:rPr>
                <w:sz w:val="22"/>
              </w:rPr>
            </w:pPr>
            <w:r>
              <w:rPr>
                <w:spacing w:val="-5"/>
                <w:sz w:val="22"/>
              </w:rPr>
              <w:t>36</w:t>
            </w:r>
          </w:p>
        </w:tc>
        <w:tc>
          <w:tcPr>
            <w:tcW w:w="754" w:type="dxa"/>
          </w:tcPr>
          <w:p>
            <w:pPr>
              <w:pStyle w:val="TableParagraph"/>
              <w:spacing w:before="13"/>
              <w:ind w:right="5"/>
              <w:jc w:val="center"/>
              <w:rPr>
                <w:sz w:val="22"/>
              </w:rPr>
            </w:pPr>
            <w:r>
              <w:rPr>
                <w:spacing w:val="-4"/>
                <w:sz w:val="22"/>
              </w:rPr>
              <w:t>.918</w:t>
            </w:r>
          </w:p>
        </w:tc>
        <w:tc>
          <w:tcPr>
            <w:tcW w:w="1159" w:type="dxa"/>
          </w:tcPr>
          <w:p>
            <w:pPr>
              <w:pStyle w:val="TableParagraph"/>
              <w:spacing w:before="13"/>
              <w:ind w:left="20"/>
              <w:jc w:val="center"/>
              <w:rPr>
                <w:sz w:val="22"/>
              </w:rPr>
            </w:pPr>
            <w:r>
              <w:rPr>
                <w:spacing w:val="-4"/>
                <w:sz w:val="22"/>
              </w:rPr>
              <w:t>.158</w:t>
            </w:r>
          </w:p>
        </w:tc>
        <w:tc>
          <w:tcPr>
            <w:tcW w:w="1575" w:type="dxa"/>
          </w:tcPr>
          <w:p>
            <w:pPr>
              <w:pStyle w:val="TableParagraph"/>
              <w:spacing w:before="13"/>
              <w:ind w:right="101"/>
              <w:jc w:val="right"/>
              <w:rPr>
                <w:sz w:val="22"/>
              </w:rPr>
            </w:pPr>
            <w:r>
              <w:rPr>
                <w:sz w:val="22"/>
              </w:rPr>
              <w:t>Not</w:t>
            </w:r>
            <w:r>
              <w:rPr>
                <w:spacing w:val="-2"/>
                <w:sz w:val="22"/>
              </w:rPr>
              <w:t> significant</w:t>
            </w:r>
          </w:p>
        </w:tc>
      </w:tr>
      <w:tr>
        <w:trPr>
          <w:trHeight w:val="267" w:hRule="atLeast"/>
        </w:trPr>
        <w:tc>
          <w:tcPr>
            <w:tcW w:w="2652" w:type="dxa"/>
          </w:tcPr>
          <w:p>
            <w:pPr>
              <w:pStyle w:val="TableParagraph"/>
              <w:rPr>
                <w:sz w:val="18"/>
              </w:rPr>
            </w:pPr>
          </w:p>
        </w:tc>
        <w:tc>
          <w:tcPr>
            <w:tcW w:w="1083" w:type="dxa"/>
          </w:tcPr>
          <w:p>
            <w:pPr>
              <w:pStyle w:val="TableParagraph"/>
              <w:spacing w:line="246" w:lineRule="exact"/>
              <w:ind w:left="146"/>
              <w:rPr>
                <w:sz w:val="22"/>
              </w:rPr>
            </w:pPr>
            <w:r>
              <w:rPr>
                <w:spacing w:val="-2"/>
                <w:sz w:val="22"/>
              </w:rPr>
              <w:t>Gender</w:t>
            </w:r>
          </w:p>
        </w:tc>
        <w:tc>
          <w:tcPr>
            <w:tcW w:w="841" w:type="dxa"/>
          </w:tcPr>
          <w:p>
            <w:pPr>
              <w:pStyle w:val="TableParagraph"/>
              <w:spacing w:line="246" w:lineRule="exact"/>
              <w:jc w:val="center"/>
              <w:rPr>
                <w:sz w:val="22"/>
              </w:rPr>
            </w:pPr>
            <w:r>
              <w:rPr>
                <w:spacing w:val="-2"/>
                <w:sz w:val="22"/>
              </w:rPr>
              <w:t>72.691</w:t>
            </w:r>
          </w:p>
        </w:tc>
        <w:tc>
          <w:tcPr>
            <w:tcW w:w="458" w:type="dxa"/>
          </w:tcPr>
          <w:p>
            <w:pPr>
              <w:pStyle w:val="TableParagraph"/>
              <w:spacing w:line="246" w:lineRule="exact"/>
              <w:ind w:left="3"/>
              <w:jc w:val="center"/>
              <w:rPr>
                <w:sz w:val="22"/>
              </w:rPr>
            </w:pPr>
            <w:r>
              <w:rPr>
                <w:spacing w:val="-5"/>
                <w:sz w:val="22"/>
              </w:rPr>
              <w:t>54</w:t>
            </w:r>
          </w:p>
        </w:tc>
        <w:tc>
          <w:tcPr>
            <w:tcW w:w="754" w:type="dxa"/>
          </w:tcPr>
          <w:p>
            <w:pPr>
              <w:pStyle w:val="TableParagraph"/>
              <w:spacing w:line="246" w:lineRule="exact"/>
              <w:ind w:left="2" w:right="5"/>
              <w:jc w:val="center"/>
              <w:rPr>
                <w:sz w:val="22"/>
              </w:rPr>
            </w:pPr>
            <w:r>
              <w:rPr>
                <w:spacing w:val="-2"/>
                <w:sz w:val="22"/>
              </w:rPr>
              <w:t>.046*</w:t>
            </w:r>
          </w:p>
        </w:tc>
        <w:tc>
          <w:tcPr>
            <w:tcW w:w="1159" w:type="dxa"/>
          </w:tcPr>
          <w:p>
            <w:pPr>
              <w:pStyle w:val="TableParagraph"/>
              <w:spacing w:line="246" w:lineRule="exact"/>
              <w:ind w:left="20"/>
              <w:jc w:val="center"/>
              <w:rPr>
                <w:sz w:val="22"/>
              </w:rPr>
            </w:pPr>
            <w:r>
              <w:rPr>
                <w:spacing w:val="-4"/>
                <w:sz w:val="22"/>
              </w:rPr>
              <w:t>.220</w:t>
            </w:r>
          </w:p>
        </w:tc>
        <w:tc>
          <w:tcPr>
            <w:tcW w:w="1575" w:type="dxa"/>
          </w:tcPr>
          <w:p>
            <w:pPr>
              <w:pStyle w:val="TableParagraph"/>
              <w:spacing w:line="246" w:lineRule="exact"/>
              <w:ind w:right="101"/>
              <w:jc w:val="right"/>
              <w:rPr>
                <w:sz w:val="22"/>
              </w:rPr>
            </w:pPr>
            <w:r>
              <w:rPr>
                <w:spacing w:val="-2"/>
                <w:sz w:val="22"/>
              </w:rPr>
              <w:t>Significant</w:t>
            </w:r>
          </w:p>
        </w:tc>
      </w:tr>
      <w:tr>
        <w:trPr>
          <w:trHeight w:val="295" w:hRule="atLeast"/>
        </w:trPr>
        <w:tc>
          <w:tcPr>
            <w:tcW w:w="2652" w:type="dxa"/>
          </w:tcPr>
          <w:p>
            <w:pPr>
              <w:pStyle w:val="TableParagraph"/>
              <w:rPr>
                <w:sz w:val="20"/>
              </w:rPr>
            </w:pPr>
          </w:p>
        </w:tc>
        <w:tc>
          <w:tcPr>
            <w:tcW w:w="1083" w:type="dxa"/>
          </w:tcPr>
          <w:p>
            <w:pPr>
              <w:pStyle w:val="TableParagraph"/>
              <w:spacing w:before="13"/>
              <w:ind w:left="146"/>
              <w:rPr>
                <w:sz w:val="22"/>
              </w:rPr>
            </w:pPr>
            <w:r>
              <w:rPr>
                <w:spacing w:val="-2"/>
                <w:sz w:val="22"/>
              </w:rPr>
              <w:t>Grade</w:t>
            </w:r>
          </w:p>
        </w:tc>
        <w:tc>
          <w:tcPr>
            <w:tcW w:w="841" w:type="dxa"/>
          </w:tcPr>
          <w:p>
            <w:pPr>
              <w:pStyle w:val="TableParagraph"/>
              <w:spacing w:before="13"/>
              <w:jc w:val="center"/>
              <w:rPr>
                <w:sz w:val="22"/>
              </w:rPr>
            </w:pPr>
            <w:r>
              <w:rPr>
                <w:spacing w:val="-2"/>
                <w:sz w:val="22"/>
              </w:rPr>
              <w:t>40.002</w:t>
            </w:r>
          </w:p>
        </w:tc>
        <w:tc>
          <w:tcPr>
            <w:tcW w:w="458" w:type="dxa"/>
          </w:tcPr>
          <w:p>
            <w:pPr>
              <w:pStyle w:val="TableParagraph"/>
              <w:spacing w:before="13"/>
              <w:ind w:left="3"/>
              <w:jc w:val="center"/>
              <w:rPr>
                <w:sz w:val="22"/>
              </w:rPr>
            </w:pPr>
            <w:r>
              <w:rPr>
                <w:spacing w:val="-5"/>
                <w:sz w:val="22"/>
              </w:rPr>
              <w:t>36</w:t>
            </w:r>
          </w:p>
        </w:tc>
        <w:tc>
          <w:tcPr>
            <w:tcW w:w="754" w:type="dxa"/>
          </w:tcPr>
          <w:p>
            <w:pPr>
              <w:pStyle w:val="TableParagraph"/>
              <w:spacing w:before="13"/>
              <w:ind w:right="5"/>
              <w:jc w:val="center"/>
              <w:rPr>
                <w:sz w:val="22"/>
              </w:rPr>
            </w:pPr>
            <w:r>
              <w:rPr>
                <w:spacing w:val="-4"/>
                <w:sz w:val="22"/>
              </w:rPr>
              <w:t>.297</w:t>
            </w:r>
          </w:p>
        </w:tc>
        <w:tc>
          <w:tcPr>
            <w:tcW w:w="1159" w:type="dxa"/>
          </w:tcPr>
          <w:p>
            <w:pPr>
              <w:pStyle w:val="TableParagraph"/>
              <w:spacing w:before="13"/>
              <w:ind w:left="20"/>
              <w:jc w:val="center"/>
              <w:rPr>
                <w:sz w:val="22"/>
              </w:rPr>
            </w:pPr>
            <w:r>
              <w:rPr>
                <w:spacing w:val="-4"/>
                <w:sz w:val="22"/>
              </w:rPr>
              <w:t>.200</w:t>
            </w:r>
          </w:p>
        </w:tc>
        <w:tc>
          <w:tcPr>
            <w:tcW w:w="1575" w:type="dxa"/>
          </w:tcPr>
          <w:p>
            <w:pPr>
              <w:pStyle w:val="TableParagraph"/>
              <w:spacing w:before="13"/>
              <w:ind w:right="101"/>
              <w:jc w:val="right"/>
              <w:rPr>
                <w:sz w:val="22"/>
              </w:rPr>
            </w:pPr>
            <w:r>
              <w:rPr>
                <w:sz w:val="22"/>
              </w:rPr>
              <w:t>Not</w:t>
            </w:r>
            <w:r>
              <w:rPr>
                <w:spacing w:val="-2"/>
                <w:sz w:val="22"/>
              </w:rPr>
              <w:t> significant</w:t>
            </w:r>
          </w:p>
        </w:tc>
      </w:tr>
      <w:tr>
        <w:trPr>
          <w:trHeight w:val="787" w:hRule="atLeast"/>
        </w:trPr>
        <w:tc>
          <w:tcPr>
            <w:tcW w:w="2652" w:type="dxa"/>
          </w:tcPr>
          <w:p>
            <w:pPr>
              <w:pStyle w:val="TableParagraph"/>
              <w:spacing w:before="27"/>
              <w:ind w:left="121"/>
              <w:rPr>
                <w:b/>
                <w:sz w:val="22"/>
              </w:rPr>
            </w:pPr>
            <w:r>
              <w:rPr>
                <w:b/>
                <w:sz w:val="22"/>
              </w:rPr>
              <w:t>Student</w:t>
            </w:r>
            <w:r>
              <w:rPr>
                <w:b/>
                <w:spacing w:val="-14"/>
                <w:sz w:val="22"/>
              </w:rPr>
              <w:t> </w:t>
            </w:r>
            <w:r>
              <w:rPr>
                <w:b/>
                <w:sz w:val="22"/>
              </w:rPr>
              <w:t>Support</w:t>
            </w:r>
            <w:r>
              <w:rPr>
                <w:b/>
                <w:spacing w:val="-14"/>
                <w:sz w:val="22"/>
              </w:rPr>
              <w:t> </w:t>
            </w:r>
            <w:r>
              <w:rPr>
                <w:b/>
                <w:sz w:val="22"/>
              </w:rPr>
              <w:t>Services and Extracurricular</w:t>
            </w:r>
          </w:p>
          <w:p>
            <w:pPr>
              <w:pStyle w:val="TableParagraph"/>
              <w:spacing w:line="234" w:lineRule="exact"/>
              <w:ind w:left="121"/>
              <w:rPr>
                <w:b/>
                <w:sz w:val="22"/>
              </w:rPr>
            </w:pPr>
            <w:r>
              <w:rPr>
                <w:b/>
                <w:spacing w:val="-2"/>
                <w:sz w:val="22"/>
              </w:rPr>
              <w:t>Activities</w:t>
            </w:r>
          </w:p>
        </w:tc>
        <w:tc>
          <w:tcPr>
            <w:tcW w:w="1083" w:type="dxa"/>
          </w:tcPr>
          <w:p>
            <w:pPr>
              <w:pStyle w:val="TableParagraph"/>
              <w:spacing w:before="21"/>
              <w:ind w:left="146"/>
              <w:rPr>
                <w:sz w:val="22"/>
              </w:rPr>
            </w:pPr>
            <w:r>
              <w:rPr>
                <w:spacing w:val="-5"/>
                <w:sz w:val="22"/>
              </w:rPr>
              <w:t>Age</w:t>
            </w:r>
          </w:p>
        </w:tc>
        <w:tc>
          <w:tcPr>
            <w:tcW w:w="841" w:type="dxa"/>
          </w:tcPr>
          <w:p>
            <w:pPr>
              <w:pStyle w:val="TableParagraph"/>
              <w:spacing w:before="21"/>
              <w:jc w:val="center"/>
              <w:rPr>
                <w:sz w:val="22"/>
              </w:rPr>
            </w:pPr>
            <w:r>
              <w:rPr>
                <w:spacing w:val="-2"/>
                <w:sz w:val="22"/>
              </w:rPr>
              <w:t>22.477</w:t>
            </w:r>
          </w:p>
        </w:tc>
        <w:tc>
          <w:tcPr>
            <w:tcW w:w="458" w:type="dxa"/>
          </w:tcPr>
          <w:p>
            <w:pPr>
              <w:pStyle w:val="TableParagraph"/>
              <w:spacing w:before="21"/>
              <w:ind w:left="3"/>
              <w:jc w:val="center"/>
              <w:rPr>
                <w:sz w:val="22"/>
              </w:rPr>
            </w:pPr>
            <w:r>
              <w:rPr>
                <w:spacing w:val="-5"/>
                <w:sz w:val="22"/>
              </w:rPr>
              <w:t>30</w:t>
            </w:r>
          </w:p>
        </w:tc>
        <w:tc>
          <w:tcPr>
            <w:tcW w:w="754" w:type="dxa"/>
          </w:tcPr>
          <w:p>
            <w:pPr>
              <w:pStyle w:val="TableParagraph"/>
              <w:spacing w:before="21"/>
              <w:ind w:right="5"/>
              <w:jc w:val="center"/>
              <w:rPr>
                <w:sz w:val="22"/>
              </w:rPr>
            </w:pPr>
            <w:r>
              <w:rPr>
                <w:spacing w:val="-4"/>
                <w:sz w:val="22"/>
              </w:rPr>
              <w:t>.836</w:t>
            </w:r>
          </w:p>
        </w:tc>
        <w:tc>
          <w:tcPr>
            <w:tcW w:w="1159" w:type="dxa"/>
          </w:tcPr>
          <w:p>
            <w:pPr>
              <w:pStyle w:val="TableParagraph"/>
              <w:spacing w:before="21"/>
              <w:ind w:left="20"/>
              <w:jc w:val="center"/>
              <w:rPr>
                <w:sz w:val="22"/>
              </w:rPr>
            </w:pPr>
            <w:r>
              <w:rPr>
                <w:spacing w:val="-4"/>
                <w:sz w:val="22"/>
              </w:rPr>
              <w:t>.150</w:t>
            </w:r>
          </w:p>
        </w:tc>
        <w:tc>
          <w:tcPr>
            <w:tcW w:w="1575" w:type="dxa"/>
          </w:tcPr>
          <w:p>
            <w:pPr>
              <w:pStyle w:val="TableParagraph"/>
              <w:spacing w:before="21"/>
              <w:ind w:right="101"/>
              <w:jc w:val="right"/>
              <w:rPr>
                <w:sz w:val="22"/>
              </w:rPr>
            </w:pPr>
            <w:r>
              <w:rPr>
                <w:sz w:val="22"/>
              </w:rPr>
              <w:t>Not</w:t>
            </w:r>
            <w:r>
              <w:rPr>
                <w:spacing w:val="-2"/>
                <w:sz w:val="22"/>
              </w:rPr>
              <w:t> significant</w:t>
            </w:r>
          </w:p>
        </w:tc>
      </w:tr>
      <w:tr>
        <w:trPr>
          <w:trHeight w:val="267" w:hRule="atLeast"/>
        </w:trPr>
        <w:tc>
          <w:tcPr>
            <w:tcW w:w="2652" w:type="dxa"/>
          </w:tcPr>
          <w:p>
            <w:pPr>
              <w:pStyle w:val="TableParagraph"/>
              <w:rPr>
                <w:sz w:val="18"/>
              </w:rPr>
            </w:pPr>
          </w:p>
        </w:tc>
        <w:tc>
          <w:tcPr>
            <w:tcW w:w="1083" w:type="dxa"/>
          </w:tcPr>
          <w:p>
            <w:pPr>
              <w:pStyle w:val="TableParagraph"/>
              <w:spacing w:line="245" w:lineRule="exact"/>
              <w:ind w:left="146"/>
              <w:rPr>
                <w:sz w:val="22"/>
              </w:rPr>
            </w:pPr>
            <w:r>
              <w:rPr>
                <w:spacing w:val="-2"/>
                <w:sz w:val="22"/>
              </w:rPr>
              <w:t>Gender</w:t>
            </w:r>
          </w:p>
        </w:tc>
        <w:tc>
          <w:tcPr>
            <w:tcW w:w="841" w:type="dxa"/>
          </w:tcPr>
          <w:p>
            <w:pPr>
              <w:pStyle w:val="TableParagraph"/>
              <w:spacing w:line="245" w:lineRule="exact"/>
              <w:jc w:val="center"/>
              <w:rPr>
                <w:sz w:val="22"/>
              </w:rPr>
            </w:pPr>
            <w:r>
              <w:rPr>
                <w:spacing w:val="-2"/>
                <w:sz w:val="22"/>
              </w:rPr>
              <w:t>53.674</w:t>
            </w:r>
          </w:p>
        </w:tc>
        <w:tc>
          <w:tcPr>
            <w:tcW w:w="458" w:type="dxa"/>
          </w:tcPr>
          <w:p>
            <w:pPr>
              <w:pStyle w:val="TableParagraph"/>
              <w:spacing w:line="245" w:lineRule="exact"/>
              <w:ind w:left="3"/>
              <w:jc w:val="center"/>
              <w:rPr>
                <w:sz w:val="22"/>
              </w:rPr>
            </w:pPr>
            <w:r>
              <w:rPr>
                <w:spacing w:val="-5"/>
                <w:sz w:val="22"/>
              </w:rPr>
              <w:t>45</w:t>
            </w:r>
          </w:p>
        </w:tc>
        <w:tc>
          <w:tcPr>
            <w:tcW w:w="754" w:type="dxa"/>
          </w:tcPr>
          <w:p>
            <w:pPr>
              <w:pStyle w:val="TableParagraph"/>
              <w:spacing w:line="245" w:lineRule="exact"/>
              <w:ind w:right="5"/>
              <w:jc w:val="center"/>
              <w:rPr>
                <w:sz w:val="22"/>
              </w:rPr>
            </w:pPr>
            <w:r>
              <w:rPr>
                <w:spacing w:val="-4"/>
                <w:sz w:val="22"/>
              </w:rPr>
              <w:t>.176</w:t>
            </w:r>
          </w:p>
        </w:tc>
        <w:tc>
          <w:tcPr>
            <w:tcW w:w="1159" w:type="dxa"/>
          </w:tcPr>
          <w:p>
            <w:pPr>
              <w:pStyle w:val="TableParagraph"/>
              <w:spacing w:line="245" w:lineRule="exact"/>
              <w:ind w:left="20"/>
              <w:jc w:val="center"/>
              <w:rPr>
                <w:sz w:val="22"/>
              </w:rPr>
            </w:pPr>
            <w:r>
              <w:rPr>
                <w:spacing w:val="-4"/>
                <w:sz w:val="22"/>
              </w:rPr>
              <w:t>.189</w:t>
            </w:r>
          </w:p>
        </w:tc>
        <w:tc>
          <w:tcPr>
            <w:tcW w:w="1575" w:type="dxa"/>
          </w:tcPr>
          <w:p>
            <w:pPr>
              <w:pStyle w:val="TableParagraph"/>
              <w:spacing w:line="245" w:lineRule="exact"/>
              <w:ind w:right="101"/>
              <w:jc w:val="right"/>
              <w:rPr>
                <w:sz w:val="22"/>
              </w:rPr>
            </w:pPr>
            <w:r>
              <w:rPr>
                <w:sz w:val="22"/>
              </w:rPr>
              <w:t>Not</w:t>
            </w:r>
            <w:r>
              <w:rPr>
                <w:spacing w:val="-2"/>
                <w:sz w:val="22"/>
              </w:rPr>
              <w:t> significant</w:t>
            </w:r>
          </w:p>
        </w:tc>
      </w:tr>
      <w:tr>
        <w:trPr>
          <w:trHeight w:val="308" w:hRule="atLeast"/>
        </w:trPr>
        <w:tc>
          <w:tcPr>
            <w:tcW w:w="2652" w:type="dxa"/>
            <w:tcBorders>
              <w:bottom w:val="single" w:sz="4" w:space="0" w:color="7E7E7E"/>
            </w:tcBorders>
          </w:tcPr>
          <w:p>
            <w:pPr>
              <w:pStyle w:val="TableParagraph"/>
              <w:rPr>
                <w:sz w:val="20"/>
              </w:rPr>
            </w:pPr>
          </w:p>
        </w:tc>
        <w:tc>
          <w:tcPr>
            <w:tcW w:w="1083" w:type="dxa"/>
            <w:tcBorders>
              <w:bottom w:val="single" w:sz="4" w:space="0" w:color="7E7E7E"/>
            </w:tcBorders>
          </w:tcPr>
          <w:p>
            <w:pPr>
              <w:pStyle w:val="TableParagraph"/>
              <w:spacing w:before="13"/>
              <w:ind w:left="146"/>
              <w:rPr>
                <w:sz w:val="22"/>
              </w:rPr>
            </w:pPr>
            <w:r>
              <w:rPr>
                <w:spacing w:val="-2"/>
                <w:sz w:val="22"/>
              </w:rPr>
              <w:t>Grade</w:t>
            </w:r>
          </w:p>
        </w:tc>
        <w:tc>
          <w:tcPr>
            <w:tcW w:w="841" w:type="dxa"/>
            <w:tcBorders>
              <w:bottom w:val="single" w:sz="4" w:space="0" w:color="7E7E7E"/>
            </w:tcBorders>
          </w:tcPr>
          <w:p>
            <w:pPr>
              <w:pStyle w:val="TableParagraph"/>
              <w:spacing w:before="13"/>
              <w:jc w:val="center"/>
              <w:rPr>
                <w:sz w:val="22"/>
              </w:rPr>
            </w:pPr>
            <w:r>
              <w:rPr>
                <w:spacing w:val="-2"/>
                <w:sz w:val="22"/>
              </w:rPr>
              <w:t>40.785</w:t>
            </w:r>
          </w:p>
        </w:tc>
        <w:tc>
          <w:tcPr>
            <w:tcW w:w="458" w:type="dxa"/>
            <w:tcBorders>
              <w:bottom w:val="single" w:sz="4" w:space="0" w:color="7E7E7E"/>
            </w:tcBorders>
          </w:tcPr>
          <w:p>
            <w:pPr>
              <w:pStyle w:val="TableParagraph"/>
              <w:spacing w:before="13"/>
              <w:ind w:left="3"/>
              <w:jc w:val="center"/>
              <w:rPr>
                <w:sz w:val="22"/>
              </w:rPr>
            </w:pPr>
            <w:r>
              <w:rPr>
                <w:spacing w:val="-5"/>
                <w:sz w:val="22"/>
              </w:rPr>
              <w:t>30</w:t>
            </w:r>
          </w:p>
        </w:tc>
        <w:tc>
          <w:tcPr>
            <w:tcW w:w="754" w:type="dxa"/>
            <w:tcBorders>
              <w:bottom w:val="single" w:sz="4" w:space="0" w:color="7E7E7E"/>
            </w:tcBorders>
          </w:tcPr>
          <w:p>
            <w:pPr>
              <w:pStyle w:val="TableParagraph"/>
              <w:spacing w:before="13"/>
              <w:ind w:right="5"/>
              <w:jc w:val="center"/>
              <w:rPr>
                <w:sz w:val="22"/>
              </w:rPr>
            </w:pPr>
            <w:r>
              <w:rPr>
                <w:spacing w:val="-4"/>
                <w:sz w:val="22"/>
              </w:rPr>
              <w:t>.091</w:t>
            </w:r>
          </w:p>
        </w:tc>
        <w:tc>
          <w:tcPr>
            <w:tcW w:w="1159" w:type="dxa"/>
            <w:tcBorders>
              <w:bottom w:val="single" w:sz="4" w:space="0" w:color="7E7E7E"/>
            </w:tcBorders>
          </w:tcPr>
          <w:p>
            <w:pPr>
              <w:pStyle w:val="TableParagraph"/>
              <w:spacing w:before="13"/>
              <w:ind w:left="20"/>
              <w:jc w:val="center"/>
              <w:rPr>
                <w:sz w:val="22"/>
              </w:rPr>
            </w:pPr>
            <w:r>
              <w:rPr>
                <w:spacing w:val="-4"/>
                <w:sz w:val="22"/>
              </w:rPr>
              <w:t>.202</w:t>
            </w:r>
          </w:p>
        </w:tc>
        <w:tc>
          <w:tcPr>
            <w:tcW w:w="1575" w:type="dxa"/>
            <w:tcBorders>
              <w:bottom w:val="single" w:sz="4" w:space="0" w:color="7E7E7E"/>
            </w:tcBorders>
          </w:tcPr>
          <w:p>
            <w:pPr>
              <w:pStyle w:val="TableParagraph"/>
              <w:spacing w:before="13"/>
              <w:ind w:right="101"/>
              <w:jc w:val="right"/>
              <w:rPr>
                <w:sz w:val="22"/>
              </w:rPr>
            </w:pPr>
            <w:r>
              <w:rPr>
                <w:sz w:val="22"/>
              </w:rPr>
              <w:t>Not</w:t>
            </w:r>
            <w:r>
              <w:rPr>
                <w:spacing w:val="-2"/>
                <w:sz w:val="22"/>
              </w:rPr>
              <w:t> significant</w:t>
            </w:r>
          </w:p>
        </w:tc>
      </w:tr>
    </w:tbl>
    <w:p>
      <w:pPr>
        <w:pStyle w:val="BodyText"/>
        <w:ind w:left="0"/>
        <w:jc w:val="left"/>
        <w:rPr>
          <w:b/>
        </w:rPr>
      </w:pPr>
    </w:p>
    <w:p>
      <w:pPr>
        <w:pStyle w:val="BodyText"/>
        <w:spacing w:before="46"/>
        <w:ind w:left="0"/>
        <w:jc w:val="left"/>
        <w:rPr>
          <w:b/>
        </w:rPr>
      </w:pPr>
    </w:p>
    <w:p>
      <w:pPr>
        <w:pStyle w:val="BodyText"/>
        <w:ind w:right="359" w:firstLine="720"/>
      </w:pPr>
      <w:r>
        <w:rPr/>
        <w:t>Table</w:t>
      </w:r>
      <w:r>
        <w:rPr>
          <w:spacing w:val="-14"/>
        </w:rPr>
        <w:t> </w:t>
      </w:r>
      <w:r>
        <w:rPr/>
        <w:t>4</w:t>
      </w:r>
      <w:r>
        <w:rPr>
          <w:spacing w:val="-14"/>
        </w:rPr>
        <w:t> </w:t>
      </w:r>
      <w:r>
        <w:rPr/>
        <w:t>presents</w:t>
      </w:r>
      <w:r>
        <w:rPr>
          <w:spacing w:val="-14"/>
        </w:rPr>
        <w:t> </w:t>
      </w:r>
      <w:r>
        <w:rPr/>
        <w:t>the</w:t>
      </w:r>
      <w:r>
        <w:rPr>
          <w:spacing w:val="-13"/>
        </w:rPr>
        <w:t> </w:t>
      </w:r>
      <w:r>
        <w:rPr/>
        <w:t>test</w:t>
      </w:r>
      <w:r>
        <w:rPr>
          <w:spacing w:val="-14"/>
        </w:rPr>
        <w:t> </w:t>
      </w:r>
      <w:r>
        <w:rPr/>
        <w:t>of</w:t>
      </w:r>
      <w:r>
        <w:rPr>
          <w:spacing w:val="-14"/>
        </w:rPr>
        <w:t> </w:t>
      </w:r>
      <w:r>
        <w:rPr/>
        <w:t>significant</w:t>
      </w:r>
      <w:r>
        <w:rPr>
          <w:spacing w:val="-14"/>
        </w:rPr>
        <w:t> </w:t>
      </w:r>
      <w:r>
        <w:rPr/>
        <w:t>relationships</w:t>
      </w:r>
      <w:r>
        <w:rPr>
          <w:spacing w:val="-13"/>
        </w:rPr>
        <w:t> </w:t>
      </w:r>
      <w:r>
        <w:rPr/>
        <w:t>between</w:t>
      </w:r>
      <w:r>
        <w:rPr>
          <w:spacing w:val="-14"/>
        </w:rPr>
        <w:t> </w:t>
      </w:r>
      <w:r>
        <w:rPr/>
        <w:t>the</w:t>
      </w:r>
      <w:r>
        <w:rPr>
          <w:spacing w:val="-14"/>
        </w:rPr>
        <w:t> </w:t>
      </w:r>
      <w:r>
        <w:rPr/>
        <w:t>respondents’</w:t>
      </w:r>
      <w:r>
        <w:rPr>
          <w:spacing w:val="-14"/>
        </w:rPr>
        <w:t> </w:t>
      </w:r>
      <w:r>
        <w:rPr/>
        <w:t>profile</w:t>
      </w:r>
      <w:r>
        <w:rPr>
          <w:spacing w:val="-13"/>
        </w:rPr>
        <w:t> </w:t>
      </w:r>
      <w:r>
        <w:rPr/>
        <w:t>variables</w:t>
      </w:r>
      <w:r>
        <w:rPr>
          <w:spacing w:val="-14"/>
        </w:rPr>
        <w:t> </w:t>
      </w:r>
      <w:r>
        <w:rPr/>
        <w:t>(age, gender,</w:t>
      </w:r>
      <w:r>
        <w:rPr>
          <w:spacing w:val="-10"/>
        </w:rPr>
        <w:t> </w:t>
      </w:r>
      <w:r>
        <w:rPr/>
        <w:t>and</w:t>
      </w:r>
      <w:r>
        <w:rPr>
          <w:spacing w:val="-8"/>
        </w:rPr>
        <w:t> </w:t>
      </w:r>
      <w:r>
        <w:rPr/>
        <w:t>grade</w:t>
      </w:r>
      <w:r>
        <w:rPr>
          <w:spacing w:val="-8"/>
        </w:rPr>
        <w:t> </w:t>
      </w:r>
      <w:r>
        <w:rPr/>
        <w:t>level)</w:t>
      </w:r>
      <w:r>
        <w:rPr>
          <w:spacing w:val="-8"/>
        </w:rPr>
        <w:t> </w:t>
      </w:r>
      <w:r>
        <w:rPr/>
        <w:t>and</w:t>
      </w:r>
      <w:r>
        <w:rPr>
          <w:spacing w:val="-11"/>
        </w:rPr>
        <w:t> </w:t>
      </w:r>
      <w:r>
        <w:rPr/>
        <w:t>their</w:t>
      </w:r>
      <w:r>
        <w:rPr>
          <w:spacing w:val="-8"/>
        </w:rPr>
        <w:t> </w:t>
      </w:r>
      <w:r>
        <w:rPr/>
        <w:t>level</w:t>
      </w:r>
      <w:r>
        <w:rPr>
          <w:spacing w:val="-7"/>
        </w:rPr>
        <w:t> </w:t>
      </w:r>
      <w:r>
        <w:rPr/>
        <w:t>of</w:t>
      </w:r>
      <w:r>
        <w:rPr>
          <w:spacing w:val="-8"/>
        </w:rPr>
        <w:t> </w:t>
      </w:r>
      <w:r>
        <w:rPr/>
        <w:t>satisfaction</w:t>
      </w:r>
      <w:r>
        <w:rPr>
          <w:spacing w:val="-8"/>
        </w:rPr>
        <w:t> </w:t>
      </w:r>
      <w:r>
        <w:rPr/>
        <w:t>across</w:t>
      </w:r>
      <w:r>
        <w:rPr>
          <w:spacing w:val="-8"/>
        </w:rPr>
        <w:t> </w:t>
      </w:r>
      <w:r>
        <w:rPr/>
        <w:t>different</w:t>
      </w:r>
      <w:r>
        <w:rPr>
          <w:spacing w:val="-10"/>
        </w:rPr>
        <w:t> </w:t>
      </w:r>
      <w:r>
        <w:rPr/>
        <w:t>school</w:t>
      </w:r>
      <w:r>
        <w:rPr>
          <w:spacing w:val="-8"/>
        </w:rPr>
        <w:t> </w:t>
      </w:r>
      <w:r>
        <w:rPr/>
        <w:t>dimensions</w:t>
      </w:r>
      <w:r>
        <w:rPr>
          <w:spacing w:val="-8"/>
        </w:rPr>
        <w:t> </w:t>
      </w:r>
      <w:r>
        <w:rPr/>
        <w:t>at</w:t>
      </w:r>
      <w:r>
        <w:rPr>
          <w:spacing w:val="-9"/>
        </w:rPr>
        <w:t> </w:t>
      </w:r>
      <w:r>
        <w:rPr/>
        <w:t>the</w:t>
      </w:r>
      <w:r>
        <w:rPr>
          <w:spacing w:val="-8"/>
        </w:rPr>
        <w:t> </w:t>
      </w:r>
      <w:r>
        <w:rPr/>
        <w:t>Elementary Department of UCLM.</w:t>
      </w:r>
    </w:p>
    <w:p>
      <w:pPr>
        <w:pStyle w:val="BodyText"/>
        <w:ind w:right="358" w:firstLine="720"/>
      </w:pPr>
      <w:r>
        <w:rPr>
          <w:spacing w:val="-2"/>
        </w:rPr>
        <w:t>For Teacher</w:t>
      </w:r>
      <w:r>
        <w:rPr>
          <w:spacing w:val="-5"/>
        </w:rPr>
        <w:t> </w:t>
      </w:r>
      <w:r>
        <w:rPr>
          <w:spacing w:val="-2"/>
        </w:rPr>
        <w:t>Quality</w:t>
      </w:r>
      <w:r>
        <w:rPr>
          <w:spacing w:val="-10"/>
        </w:rPr>
        <w:t> </w:t>
      </w:r>
      <w:r>
        <w:rPr>
          <w:spacing w:val="-2"/>
        </w:rPr>
        <w:t>and Instruction Delivery, age and gender did</w:t>
      </w:r>
      <w:r>
        <w:rPr>
          <w:spacing w:val="-5"/>
        </w:rPr>
        <w:t> </w:t>
      </w:r>
      <w:r>
        <w:rPr>
          <w:spacing w:val="-2"/>
        </w:rPr>
        <w:t>not</w:t>
      </w:r>
      <w:r>
        <w:rPr>
          <w:spacing w:val="-5"/>
        </w:rPr>
        <w:t> </w:t>
      </w:r>
      <w:r>
        <w:rPr>
          <w:spacing w:val="-2"/>
        </w:rPr>
        <w:t>yield significant</w:t>
      </w:r>
      <w:r>
        <w:rPr>
          <w:spacing w:val="-5"/>
        </w:rPr>
        <w:t> </w:t>
      </w:r>
      <w:r>
        <w:rPr>
          <w:spacing w:val="-2"/>
        </w:rPr>
        <w:t>relationships, </w:t>
      </w:r>
      <w:r>
        <w:rPr/>
        <w:t>while</w:t>
      </w:r>
      <w:r>
        <w:rPr>
          <w:spacing w:val="-8"/>
        </w:rPr>
        <w:t> </w:t>
      </w:r>
      <w:r>
        <w:rPr/>
        <w:t>grade</w:t>
      </w:r>
      <w:r>
        <w:rPr>
          <w:spacing w:val="-10"/>
        </w:rPr>
        <w:t> </w:t>
      </w:r>
      <w:r>
        <w:rPr/>
        <w:t>level</w:t>
      </w:r>
      <w:r>
        <w:rPr>
          <w:spacing w:val="-9"/>
        </w:rPr>
        <w:t> </w:t>
      </w:r>
      <w:r>
        <w:rPr/>
        <w:t>registered</w:t>
      </w:r>
      <w:r>
        <w:rPr>
          <w:spacing w:val="-8"/>
        </w:rPr>
        <w:t> </w:t>
      </w:r>
      <w:r>
        <w:rPr/>
        <w:t>a</w:t>
      </w:r>
      <w:r>
        <w:rPr>
          <w:spacing w:val="-10"/>
        </w:rPr>
        <w:t> </w:t>
      </w:r>
      <w:r>
        <w:rPr/>
        <w:t>p-value</w:t>
      </w:r>
      <w:r>
        <w:rPr>
          <w:spacing w:val="-8"/>
        </w:rPr>
        <w:t> </w:t>
      </w:r>
      <w:r>
        <w:rPr/>
        <w:t>of</w:t>
      </w:r>
      <w:r>
        <w:rPr>
          <w:spacing w:val="-10"/>
        </w:rPr>
        <w:t> </w:t>
      </w:r>
      <w:r>
        <w:rPr/>
        <w:t>.032,</w:t>
      </w:r>
      <w:r>
        <w:rPr>
          <w:spacing w:val="-12"/>
        </w:rPr>
        <w:t> </w:t>
      </w:r>
      <w:r>
        <w:rPr/>
        <w:t>indicating</w:t>
      </w:r>
      <w:r>
        <w:rPr>
          <w:spacing w:val="-11"/>
        </w:rPr>
        <w:t> </w:t>
      </w:r>
      <w:r>
        <w:rPr/>
        <w:t>a</w:t>
      </w:r>
      <w:r>
        <w:rPr>
          <w:spacing w:val="-8"/>
        </w:rPr>
        <w:t> </w:t>
      </w:r>
      <w:r>
        <w:rPr/>
        <w:t>significant</w:t>
      </w:r>
      <w:r>
        <w:rPr>
          <w:spacing w:val="-10"/>
        </w:rPr>
        <w:t> </w:t>
      </w:r>
      <w:r>
        <w:rPr/>
        <w:t>relationship.</w:t>
      </w:r>
      <w:r>
        <w:rPr>
          <w:spacing w:val="-8"/>
        </w:rPr>
        <w:t> </w:t>
      </w:r>
      <w:r>
        <w:rPr/>
        <w:t>It</w:t>
      </w:r>
      <w:r>
        <w:rPr>
          <w:spacing w:val="-8"/>
        </w:rPr>
        <w:t> </w:t>
      </w:r>
      <w:r>
        <w:rPr/>
        <w:t>suggests</w:t>
      </w:r>
      <w:r>
        <w:rPr>
          <w:spacing w:val="-8"/>
        </w:rPr>
        <w:t> </w:t>
      </w:r>
      <w:r>
        <w:rPr/>
        <w:t>that</w:t>
      </w:r>
      <w:r>
        <w:rPr>
          <w:spacing w:val="-8"/>
        </w:rPr>
        <w:t> </w:t>
      </w:r>
      <w:r>
        <w:rPr/>
        <w:t>students' satisfaction with teacher quality and instruction delivery varies across grade levels.</w:t>
      </w:r>
    </w:p>
    <w:p>
      <w:pPr>
        <w:pStyle w:val="BodyText"/>
        <w:ind w:right="358" w:firstLine="720"/>
      </w:pPr>
      <w:r>
        <w:rPr/>
        <w:t>In</w:t>
      </w:r>
      <w:r>
        <w:rPr>
          <w:spacing w:val="-1"/>
        </w:rPr>
        <w:t> </w:t>
      </w:r>
      <w:r>
        <w:rPr/>
        <w:t>the case of Curriculum</w:t>
      </w:r>
      <w:r>
        <w:rPr>
          <w:spacing w:val="-5"/>
        </w:rPr>
        <w:t> </w:t>
      </w:r>
      <w:r>
        <w:rPr/>
        <w:t>and Academic Workload,</w:t>
      </w:r>
      <w:r>
        <w:rPr>
          <w:spacing w:val="-2"/>
        </w:rPr>
        <w:t> </w:t>
      </w:r>
      <w:r>
        <w:rPr/>
        <w:t>both</w:t>
      </w:r>
      <w:r>
        <w:rPr>
          <w:spacing w:val="-1"/>
        </w:rPr>
        <w:t> </w:t>
      </w:r>
      <w:r>
        <w:rPr/>
        <w:t>gender and</w:t>
      </w:r>
      <w:r>
        <w:rPr>
          <w:spacing w:val="-1"/>
        </w:rPr>
        <w:t> </w:t>
      </w:r>
      <w:r>
        <w:rPr/>
        <w:t>grade level were found</w:t>
      </w:r>
      <w:r>
        <w:rPr>
          <w:spacing w:val="-1"/>
        </w:rPr>
        <w:t> </w:t>
      </w:r>
      <w:r>
        <w:rPr/>
        <w:t>to</w:t>
      </w:r>
      <w:r>
        <w:rPr>
          <w:spacing w:val="-1"/>
        </w:rPr>
        <w:t> </w:t>
      </w:r>
      <w:r>
        <w:rPr/>
        <w:t>be significant, while</w:t>
      </w:r>
      <w:r>
        <w:rPr>
          <w:spacing w:val="-2"/>
        </w:rPr>
        <w:t> </w:t>
      </w:r>
      <w:r>
        <w:rPr/>
        <w:t>age</w:t>
      </w:r>
      <w:r>
        <w:rPr>
          <w:spacing w:val="-4"/>
        </w:rPr>
        <w:t> </w:t>
      </w:r>
      <w:r>
        <w:rPr/>
        <w:t>was not.</w:t>
      </w:r>
      <w:r>
        <w:rPr>
          <w:spacing w:val="-2"/>
        </w:rPr>
        <w:t> </w:t>
      </w:r>
      <w:r>
        <w:rPr/>
        <w:t>This</w:t>
      </w:r>
      <w:r>
        <w:rPr>
          <w:spacing w:val="-2"/>
        </w:rPr>
        <w:t> </w:t>
      </w:r>
      <w:r>
        <w:rPr/>
        <w:t>result</w:t>
      </w:r>
      <w:r>
        <w:rPr>
          <w:spacing w:val="-2"/>
        </w:rPr>
        <w:t> </w:t>
      </w:r>
      <w:r>
        <w:rPr/>
        <w:t>suggests</w:t>
      </w:r>
      <w:r>
        <w:rPr>
          <w:spacing w:val="-2"/>
        </w:rPr>
        <w:t> </w:t>
      </w:r>
      <w:r>
        <w:rPr/>
        <w:t>that perceptions</w:t>
      </w:r>
      <w:r>
        <w:rPr>
          <w:spacing w:val="-2"/>
        </w:rPr>
        <w:t> </w:t>
      </w:r>
      <w:r>
        <w:rPr/>
        <w:t>of</w:t>
      </w:r>
      <w:r>
        <w:rPr>
          <w:spacing w:val="-2"/>
        </w:rPr>
        <w:t> </w:t>
      </w:r>
      <w:r>
        <w:rPr/>
        <w:t>curriculum</w:t>
      </w:r>
      <w:r>
        <w:rPr>
          <w:spacing w:val="-5"/>
        </w:rPr>
        <w:t> </w:t>
      </w:r>
      <w:r>
        <w:rPr/>
        <w:t>relevance and</w:t>
      </w:r>
      <w:r>
        <w:rPr>
          <w:spacing w:val="-2"/>
        </w:rPr>
        <w:t> </w:t>
      </w:r>
      <w:r>
        <w:rPr/>
        <w:t>workload vary according to students' gender and grade level.</w:t>
      </w:r>
    </w:p>
    <w:p>
      <w:pPr>
        <w:pStyle w:val="BodyText"/>
        <w:ind w:right="360" w:firstLine="720"/>
      </w:pPr>
      <w:r>
        <w:rPr/>
        <w:t>For Learning Environment and Peer Interaction, none of the profile variables showed significant relationships, indicating that students across age, gender, and grade consistently perceive this aspect.</w:t>
      </w:r>
    </w:p>
    <w:p>
      <w:pPr>
        <w:pStyle w:val="BodyText"/>
        <w:ind w:right="359" w:firstLine="720"/>
      </w:pPr>
      <w:r>
        <w:rPr/>
        <w:t>Under</w:t>
      </w:r>
      <w:r>
        <w:rPr>
          <w:spacing w:val="-10"/>
        </w:rPr>
        <w:t> </w:t>
      </w:r>
      <w:r>
        <w:rPr/>
        <w:t>School</w:t>
      </w:r>
      <w:r>
        <w:rPr>
          <w:spacing w:val="-11"/>
        </w:rPr>
        <w:t> </w:t>
      </w:r>
      <w:r>
        <w:rPr/>
        <w:t>Facilities</w:t>
      </w:r>
      <w:r>
        <w:rPr>
          <w:spacing w:val="-11"/>
        </w:rPr>
        <w:t> </w:t>
      </w:r>
      <w:r>
        <w:rPr/>
        <w:t>and</w:t>
      </w:r>
      <w:r>
        <w:rPr>
          <w:spacing w:val="-11"/>
        </w:rPr>
        <w:t> </w:t>
      </w:r>
      <w:r>
        <w:rPr/>
        <w:t>Resources,</w:t>
      </w:r>
      <w:r>
        <w:rPr>
          <w:spacing w:val="-13"/>
        </w:rPr>
        <w:t> </w:t>
      </w:r>
      <w:r>
        <w:rPr/>
        <w:t>gender</w:t>
      </w:r>
      <w:r>
        <w:rPr>
          <w:spacing w:val="-11"/>
        </w:rPr>
        <w:t> </w:t>
      </w:r>
      <w:r>
        <w:rPr/>
        <w:t>emerged</w:t>
      </w:r>
      <w:r>
        <w:rPr>
          <w:spacing w:val="-11"/>
        </w:rPr>
        <w:t> </w:t>
      </w:r>
      <w:r>
        <w:rPr/>
        <w:t>as</w:t>
      </w:r>
      <w:r>
        <w:rPr>
          <w:spacing w:val="-11"/>
        </w:rPr>
        <w:t> </w:t>
      </w:r>
      <w:r>
        <w:rPr/>
        <w:t>a</w:t>
      </w:r>
      <w:r>
        <w:rPr>
          <w:spacing w:val="-13"/>
        </w:rPr>
        <w:t> </w:t>
      </w:r>
      <w:r>
        <w:rPr/>
        <w:t>significant</w:t>
      </w:r>
      <w:r>
        <w:rPr>
          <w:spacing w:val="-11"/>
        </w:rPr>
        <w:t> </w:t>
      </w:r>
      <w:r>
        <w:rPr/>
        <w:t>factor,</w:t>
      </w:r>
      <w:r>
        <w:rPr>
          <w:spacing w:val="-11"/>
        </w:rPr>
        <w:t> </w:t>
      </w:r>
      <w:r>
        <w:rPr/>
        <w:t>while</w:t>
      </w:r>
      <w:r>
        <w:rPr>
          <w:spacing w:val="-11"/>
        </w:rPr>
        <w:t> </w:t>
      </w:r>
      <w:r>
        <w:rPr/>
        <w:t>age</w:t>
      </w:r>
      <w:r>
        <w:rPr>
          <w:spacing w:val="-11"/>
        </w:rPr>
        <w:t> </w:t>
      </w:r>
      <w:r>
        <w:rPr/>
        <w:t>and</w:t>
      </w:r>
      <w:r>
        <w:rPr>
          <w:spacing w:val="-12"/>
        </w:rPr>
        <w:t> </w:t>
      </w:r>
      <w:r>
        <w:rPr/>
        <w:t>grade level did not. It indicates that males and females have different satisfaction levels regarding facilities and </w:t>
      </w:r>
      <w:r>
        <w:rPr>
          <w:spacing w:val="-2"/>
        </w:rPr>
        <w:t>resources.</w:t>
      </w:r>
    </w:p>
    <w:p>
      <w:pPr>
        <w:pStyle w:val="BodyText"/>
        <w:spacing w:before="1"/>
        <w:ind w:right="356" w:firstLine="720"/>
      </w:pPr>
      <w:r>
        <w:rPr/>
        <w:t>Finally, for Student Support Services and Extracurricular Activities, no significant relationships were found across all variables, suggesting a uniform perception among the students regardless of their demographic profile.</w:t>
      </w:r>
    </w:p>
    <w:p>
      <w:pPr>
        <w:pStyle w:val="BodyText"/>
        <w:spacing w:after="0"/>
        <w:sectPr>
          <w:pgSz w:w="12240" w:h="15840"/>
          <w:pgMar w:header="98" w:footer="938" w:top="1340" w:bottom="1160" w:left="720" w:right="1080"/>
        </w:sectPr>
      </w:pPr>
    </w:p>
    <w:p>
      <w:pPr>
        <w:pStyle w:val="BodyText"/>
        <w:spacing w:before="104"/>
        <w:ind w:right="357" w:firstLine="720"/>
        <w:jc w:val="right"/>
      </w:pPr>
      <w:r>
        <w:rPr/>
        <w:t>The</w:t>
      </w:r>
      <w:r>
        <w:rPr>
          <w:spacing w:val="40"/>
        </w:rPr>
        <w:t> </w:t>
      </w:r>
      <w:r>
        <w:rPr/>
        <w:t>findings</w:t>
      </w:r>
      <w:r>
        <w:rPr>
          <w:spacing w:val="40"/>
        </w:rPr>
        <w:t> </w:t>
      </w:r>
      <w:r>
        <w:rPr/>
        <w:t>suggest</w:t>
      </w:r>
      <w:r>
        <w:rPr>
          <w:spacing w:val="40"/>
        </w:rPr>
        <w:t> </w:t>
      </w:r>
      <w:r>
        <w:rPr/>
        <w:t>that</w:t>
      </w:r>
      <w:r>
        <w:rPr>
          <w:spacing w:val="40"/>
        </w:rPr>
        <w:t> </w:t>
      </w:r>
      <w:r>
        <w:rPr/>
        <w:t>grade</w:t>
      </w:r>
      <w:r>
        <w:rPr>
          <w:spacing w:val="40"/>
        </w:rPr>
        <w:t> </w:t>
      </w:r>
      <w:r>
        <w:rPr/>
        <w:t>level</w:t>
      </w:r>
      <w:r>
        <w:rPr>
          <w:spacing w:val="40"/>
        </w:rPr>
        <w:t> </w:t>
      </w:r>
      <w:r>
        <w:rPr/>
        <w:t>is</w:t>
      </w:r>
      <w:r>
        <w:rPr>
          <w:spacing w:val="40"/>
        </w:rPr>
        <w:t> </w:t>
      </w:r>
      <w:r>
        <w:rPr/>
        <w:t>the</w:t>
      </w:r>
      <w:r>
        <w:rPr>
          <w:spacing w:val="40"/>
        </w:rPr>
        <w:t> </w:t>
      </w:r>
      <w:r>
        <w:rPr/>
        <w:t>most</w:t>
      </w:r>
      <w:r>
        <w:rPr>
          <w:spacing w:val="40"/>
        </w:rPr>
        <w:t> </w:t>
      </w:r>
      <w:r>
        <w:rPr/>
        <w:t>influential</w:t>
      </w:r>
      <w:r>
        <w:rPr>
          <w:spacing w:val="40"/>
        </w:rPr>
        <w:t> </w:t>
      </w:r>
      <w:r>
        <w:rPr/>
        <w:t>factor</w:t>
      </w:r>
      <w:r>
        <w:rPr>
          <w:spacing w:val="40"/>
        </w:rPr>
        <w:t> </w:t>
      </w:r>
      <w:r>
        <w:rPr/>
        <w:t>in</w:t>
      </w:r>
      <w:r>
        <w:rPr>
          <w:spacing w:val="40"/>
        </w:rPr>
        <w:t> </w:t>
      </w:r>
      <w:r>
        <w:rPr/>
        <w:t>shaping</w:t>
      </w:r>
      <w:r>
        <w:rPr>
          <w:spacing w:val="40"/>
        </w:rPr>
        <w:t> </w:t>
      </w:r>
      <w:r>
        <w:rPr/>
        <w:t>satisfaction,</w:t>
      </w:r>
      <w:r>
        <w:rPr>
          <w:spacing w:val="40"/>
        </w:rPr>
        <w:t> </w:t>
      </w:r>
      <w:r>
        <w:rPr/>
        <w:t>particularly in areas such as teacher quality and curriculum workload. Younger and older students may</w:t>
      </w:r>
      <w:r>
        <w:rPr>
          <w:spacing w:val="80"/>
        </w:rPr>
        <w:t> </w:t>
      </w:r>
      <w:r>
        <w:rPr/>
        <w:t>perceive</w:t>
      </w:r>
      <w:r>
        <w:rPr>
          <w:spacing w:val="-8"/>
        </w:rPr>
        <w:t> </w:t>
      </w:r>
      <w:r>
        <w:rPr/>
        <w:t>instruction</w:t>
      </w:r>
      <w:r>
        <w:rPr>
          <w:spacing w:val="-9"/>
        </w:rPr>
        <w:t> </w:t>
      </w:r>
      <w:r>
        <w:rPr/>
        <w:t>and</w:t>
      </w:r>
      <w:r>
        <w:rPr>
          <w:spacing w:val="-6"/>
        </w:rPr>
        <w:t> </w:t>
      </w:r>
      <w:r>
        <w:rPr/>
        <w:t>workload</w:t>
      </w:r>
      <w:r>
        <w:rPr>
          <w:spacing w:val="-6"/>
        </w:rPr>
        <w:t> </w:t>
      </w:r>
      <w:r>
        <w:rPr/>
        <w:t>differently,</w:t>
      </w:r>
      <w:r>
        <w:rPr>
          <w:spacing w:val="-3"/>
        </w:rPr>
        <w:t> </w:t>
      </w:r>
      <w:r>
        <w:rPr/>
        <w:t>highlighting</w:t>
      </w:r>
      <w:r>
        <w:rPr>
          <w:spacing w:val="-7"/>
        </w:rPr>
        <w:t> </w:t>
      </w:r>
      <w:r>
        <w:rPr/>
        <w:t>the</w:t>
      </w:r>
      <w:r>
        <w:rPr>
          <w:spacing w:val="-5"/>
        </w:rPr>
        <w:t> </w:t>
      </w:r>
      <w:r>
        <w:rPr/>
        <w:t>need</w:t>
      </w:r>
      <w:r>
        <w:rPr>
          <w:spacing w:val="-8"/>
        </w:rPr>
        <w:t> </w:t>
      </w:r>
      <w:r>
        <w:rPr/>
        <w:t>for</w:t>
      </w:r>
      <w:r>
        <w:rPr>
          <w:spacing w:val="-5"/>
        </w:rPr>
        <w:t> </w:t>
      </w:r>
      <w:r>
        <w:rPr/>
        <w:t>grade-sensitive</w:t>
      </w:r>
      <w:r>
        <w:rPr>
          <w:spacing w:val="-8"/>
        </w:rPr>
        <w:t> </w:t>
      </w:r>
      <w:r>
        <w:rPr/>
        <w:t>teaching</w:t>
      </w:r>
      <w:r>
        <w:rPr>
          <w:spacing w:val="-6"/>
        </w:rPr>
        <w:t> </w:t>
      </w:r>
      <w:r>
        <w:rPr>
          <w:spacing w:val="-2"/>
        </w:rPr>
        <w:t>strategies.</w:t>
      </w:r>
    </w:p>
    <w:p>
      <w:pPr>
        <w:pStyle w:val="BodyText"/>
        <w:spacing w:before="2"/>
        <w:ind w:right="356" w:firstLine="720"/>
      </w:pPr>
      <w:r>
        <w:rPr/>
        <w:t>The significance of gender in curriculum workload and school facilities suggests that male and female students may have different needs or expectations. For instance, female students might value safe and conducive facilities more strongly, while male students may emphasize sports or recreational </w:t>
      </w:r>
      <w:r>
        <w:rPr>
          <w:spacing w:val="-2"/>
        </w:rPr>
        <w:t>provisions.</w:t>
      </w:r>
    </w:p>
    <w:p>
      <w:pPr>
        <w:pStyle w:val="BodyText"/>
        <w:ind w:right="360" w:firstLine="720"/>
      </w:pPr>
      <w:r>
        <w:rPr/>
        <w:t>The lack of significant results for age across most dimensions could imply</w:t>
      </w:r>
      <w:r>
        <w:rPr>
          <w:spacing w:val="-2"/>
        </w:rPr>
        <w:t> </w:t>
      </w:r>
      <w:r>
        <w:rPr/>
        <w:t>that satisfaction levels remain relatively stable across age groups within the elementary level, where developmental differences are less pronounced compared to secondary or higher education.</w:t>
      </w:r>
    </w:p>
    <w:p>
      <w:pPr>
        <w:pStyle w:val="BodyText"/>
        <w:ind w:right="359" w:firstLine="720"/>
      </w:pPr>
      <w:r>
        <w:rPr/>
        <w:t>Overall, these findings highlight the importance of inclusive and differentiated educational strategies that cater to the diverse needs of students across grades and genders, thereby sustaining high satisfaction levels.</w:t>
      </w:r>
    </w:p>
    <w:p>
      <w:pPr>
        <w:pStyle w:val="BodyText"/>
        <w:ind w:right="353" w:firstLine="720"/>
      </w:pPr>
      <w:r>
        <w:rPr/>
        <w:t>Research</w:t>
      </w:r>
      <w:r>
        <w:rPr>
          <w:spacing w:val="-10"/>
        </w:rPr>
        <w:t> </w:t>
      </w:r>
      <w:r>
        <w:rPr/>
        <w:t>underscores</w:t>
      </w:r>
      <w:r>
        <w:rPr>
          <w:spacing w:val="-10"/>
        </w:rPr>
        <w:t> </w:t>
      </w:r>
      <w:r>
        <w:rPr/>
        <w:t>that</w:t>
      </w:r>
      <w:r>
        <w:rPr>
          <w:spacing w:val="-6"/>
        </w:rPr>
        <w:t> </w:t>
      </w:r>
      <w:r>
        <w:rPr/>
        <w:t>grade</w:t>
      </w:r>
      <w:r>
        <w:rPr>
          <w:spacing w:val="-10"/>
        </w:rPr>
        <w:t> </w:t>
      </w:r>
      <w:r>
        <w:rPr/>
        <w:t>level</w:t>
      </w:r>
      <w:r>
        <w:rPr>
          <w:spacing w:val="-9"/>
        </w:rPr>
        <w:t> </w:t>
      </w:r>
      <w:r>
        <w:rPr/>
        <w:t>influences</w:t>
      </w:r>
      <w:r>
        <w:rPr>
          <w:spacing w:val="-8"/>
        </w:rPr>
        <w:t> </w:t>
      </w:r>
      <w:r>
        <w:rPr/>
        <w:t>perceptions</w:t>
      </w:r>
      <w:r>
        <w:rPr>
          <w:spacing w:val="-10"/>
        </w:rPr>
        <w:t> </w:t>
      </w:r>
      <w:r>
        <w:rPr/>
        <w:t>of</w:t>
      </w:r>
      <w:r>
        <w:rPr>
          <w:spacing w:val="-10"/>
        </w:rPr>
        <w:t> </w:t>
      </w:r>
      <w:r>
        <w:rPr/>
        <w:t>teaching</w:t>
      </w:r>
      <w:r>
        <w:rPr>
          <w:spacing w:val="-9"/>
        </w:rPr>
        <w:t> </w:t>
      </w:r>
      <w:r>
        <w:rPr/>
        <w:t>and</w:t>
      </w:r>
      <w:r>
        <w:rPr>
          <w:spacing w:val="-10"/>
        </w:rPr>
        <w:t> </w:t>
      </w:r>
      <w:r>
        <w:rPr/>
        <w:t>workload,</w:t>
      </w:r>
      <w:r>
        <w:rPr>
          <w:spacing w:val="-10"/>
        </w:rPr>
        <w:t> </w:t>
      </w:r>
      <w:r>
        <w:rPr/>
        <w:t>as</w:t>
      </w:r>
      <w:r>
        <w:rPr>
          <w:spacing w:val="-12"/>
        </w:rPr>
        <w:t> </w:t>
      </w:r>
      <w:r>
        <w:rPr/>
        <w:t>students at</w:t>
      </w:r>
      <w:r>
        <w:rPr>
          <w:spacing w:val="-7"/>
        </w:rPr>
        <w:t> </w:t>
      </w:r>
      <w:r>
        <w:rPr/>
        <w:t>different</w:t>
      </w:r>
      <w:r>
        <w:rPr>
          <w:spacing w:val="-7"/>
        </w:rPr>
        <w:t> </w:t>
      </w:r>
      <w:r>
        <w:rPr/>
        <w:t>stages</w:t>
      </w:r>
      <w:r>
        <w:rPr>
          <w:spacing w:val="-8"/>
        </w:rPr>
        <w:t> </w:t>
      </w:r>
      <w:r>
        <w:rPr/>
        <w:t>encounter</w:t>
      </w:r>
      <w:r>
        <w:rPr>
          <w:spacing w:val="-8"/>
        </w:rPr>
        <w:t> </w:t>
      </w:r>
      <w:r>
        <w:rPr/>
        <w:t>varying</w:t>
      </w:r>
      <w:r>
        <w:rPr>
          <w:spacing w:val="-8"/>
        </w:rPr>
        <w:t> </w:t>
      </w:r>
      <w:r>
        <w:rPr/>
        <w:t>academic</w:t>
      </w:r>
      <w:r>
        <w:rPr>
          <w:spacing w:val="-7"/>
        </w:rPr>
        <w:t> </w:t>
      </w:r>
      <w:r>
        <w:rPr/>
        <w:t>demands</w:t>
      </w:r>
      <w:r>
        <w:rPr>
          <w:spacing w:val="-2"/>
        </w:rPr>
        <w:t> </w:t>
      </w:r>
      <w:r>
        <w:rPr/>
        <w:t>and</w:t>
      </w:r>
      <w:r>
        <w:rPr>
          <w:spacing w:val="-7"/>
        </w:rPr>
        <w:t> </w:t>
      </w:r>
      <w:r>
        <w:rPr/>
        <w:t>teaching</w:t>
      </w:r>
      <w:r>
        <w:rPr>
          <w:spacing w:val="-8"/>
        </w:rPr>
        <w:t> </w:t>
      </w:r>
      <w:r>
        <w:rPr/>
        <w:t>approaches</w:t>
      </w:r>
      <w:r>
        <w:rPr>
          <w:spacing w:val="-9"/>
        </w:rPr>
        <w:t> </w:t>
      </w:r>
      <w:r>
        <w:rPr/>
        <w:t>(Garrett</w:t>
      </w:r>
      <w:r>
        <w:rPr>
          <w:spacing w:val="-10"/>
        </w:rPr>
        <w:t> </w:t>
      </w:r>
      <w:r>
        <w:rPr/>
        <w:t>&amp;</w:t>
      </w:r>
      <w:r>
        <w:rPr>
          <w:spacing w:val="-7"/>
        </w:rPr>
        <w:t> </w:t>
      </w:r>
      <w:r>
        <w:rPr/>
        <w:t>Poock,</w:t>
      </w:r>
      <w:r>
        <w:rPr>
          <w:spacing w:val="-9"/>
        </w:rPr>
        <w:t> </w:t>
      </w:r>
      <w:r>
        <w:rPr/>
        <w:t>2021). Similarly,</w:t>
      </w:r>
      <w:r>
        <w:rPr>
          <w:spacing w:val="-6"/>
        </w:rPr>
        <w:t> </w:t>
      </w:r>
      <w:r>
        <w:rPr/>
        <w:t>gender</w:t>
      </w:r>
      <w:r>
        <w:rPr>
          <w:spacing w:val="-7"/>
        </w:rPr>
        <w:t> </w:t>
      </w:r>
      <w:r>
        <w:rPr/>
        <w:t>differences</w:t>
      </w:r>
      <w:r>
        <w:rPr>
          <w:spacing w:val="-6"/>
        </w:rPr>
        <w:t> </w:t>
      </w:r>
      <w:r>
        <w:rPr/>
        <w:t>have</w:t>
      </w:r>
      <w:r>
        <w:rPr>
          <w:spacing w:val="-10"/>
        </w:rPr>
        <w:t> </w:t>
      </w:r>
      <w:r>
        <w:rPr/>
        <w:t>been</w:t>
      </w:r>
      <w:r>
        <w:rPr>
          <w:spacing w:val="-8"/>
        </w:rPr>
        <w:t> </w:t>
      </w:r>
      <w:r>
        <w:rPr/>
        <w:t>observed</w:t>
      </w:r>
      <w:r>
        <w:rPr>
          <w:spacing w:val="-8"/>
        </w:rPr>
        <w:t> </w:t>
      </w:r>
      <w:r>
        <w:rPr/>
        <w:t>in</w:t>
      </w:r>
      <w:r>
        <w:rPr>
          <w:spacing w:val="-9"/>
        </w:rPr>
        <w:t> </w:t>
      </w:r>
      <w:r>
        <w:rPr/>
        <w:t>satisfaction</w:t>
      </w:r>
      <w:r>
        <w:rPr>
          <w:spacing w:val="-8"/>
        </w:rPr>
        <w:t> </w:t>
      </w:r>
      <w:r>
        <w:rPr/>
        <w:t>with</w:t>
      </w:r>
      <w:r>
        <w:rPr>
          <w:spacing w:val="-11"/>
        </w:rPr>
        <w:t> </w:t>
      </w:r>
      <w:r>
        <w:rPr/>
        <w:t>school</w:t>
      </w:r>
      <w:r>
        <w:rPr>
          <w:spacing w:val="-8"/>
        </w:rPr>
        <w:t> </w:t>
      </w:r>
      <w:r>
        <w:rPr/>
        <w:t>facilities</w:t>
      </w:r>
      <w:r>
        <w:rPr>
          <w:spacing w:val="-8"/>
        </w:rPr>
        <w:t> </w:t>
      </w:r>
      <w:r>
        <w:rPr/>
        <w:t>and</w:t>
      </w:r>
      <w:r>
        <w:rPr>
          <w:spacing w:val="-8"/>
        </w:rPr>
        <w:t> </w:t>
      </w:r>
      <w:r>
        <w:rPr/>
        <w:t>workload,</w:t>
      </w:r>
      <w:r>
        <w:rPr>
          <w:spacing w:val="-9"/>
        </w:rPr>
        <w:t> </w:t>
      </w:r>
      <w:r>
        <w:rPr/>
        <w:t>where male</w:t>
      </w:r>
      <w:r>
        <w:rPr>
          <w:spacing w:val="-6"/>
        </w:rPr>
        <w:t> </w:t>
      </w:r>
      <w:r>
        <w:rPr/>
        <w:t>and</w:t>
      </w:r>
      <w:r>
        <w:rPr>
          <w:spacing w:val="-6"/>
        </w:rPr>
        <w:t> </w:t>
      </w:r>
      <w:r>
        <w:rPr/>
        <w:t>female</w:t>
      </w:r>
      <w:r>
        <w:rPr>
          <w:spacing w:val="-6"/>
        </w:rPr>
        <w:t> </w:t>
      </w:r>
      <w:r>
        <w:rPr/>
        <w:t>students</w:t>
      </w:r>
      <w:r>
        <w:rPr>
          <w:spacing w:val="-3"/>
        </w:rPr>
        <w:t> </w:t>
      </w:r>
      <w:r>
        <w:rPr/>
        <w:t>may</w:t>
      </w:r>
      <w:r>
        <w:rPr>
          <w:spacing w:val="-13"/>
        </w:rPr>
        <w:t> </w:t>
      </w:r>
      <w:r>
        <w:rPr/>
        <w:t>prioritize</w:t>
      </w:r>
      <w:r>
        <w:rPr>
          <w:spacing w:val="-6"/>
        </w:rPr>
        <w:t> </w:t>
      </w:r>
      <w:r>
        <w:rPr/>
        <w:t>different</w:t>
      </w:r>
      <w:r>
        <w:rPr>
          <w:spacing w:val="-6"/>
        </w:rPr>
        <w:t> </w:t>
      </w:r>
      <w:r>
        <w:rPr/>
        <w:t>aspects</w:t>
      </w:r>
      <w:r>
        <w:rPr>
          <w:spacing w:val="-6"/>
        </w:rPr>
        <w:t> </w:t>
      </w:r>
      <w:r>
        <w:rPr/>
        <w:t>of</w:t>
      </w:r>
      <w:r>
        <w:rPr>
          <w:spacing w:val="-8"/>
        </w:rPr>
        <w:t> </w:t>
      </w:r>
      <w:r>
        <w:rPr/>
        <w:t>the</w:t>
      </w:r>
      <w:r>
        <w:rPr>
          <w:spacing w:val="-8"/>
        </w:rPr>
        <w:t> </w:t>
      </w:r>
      <w:r>
        <w:rPr/>
        <w:t>learning</w:t>
      </w:r>
      <w:r>
        <w:rPr>
          <w:spacing w:val="-7"/>
        </w:rPr>
        <w:t> </w:t>
      </w:r>
      <w:r>
        <w:rPr/>
        <w:t>environment</w:t>
      </w:r>
      <w:r>
        <w:rPr>
          <w:spacing w:val="-6"/>
        </w:rPr>
        <w:t> </w:t>
      </w:r>
      <w:r>
        <w:rPr/>
        <w:t>(Kim</w:t>
      </w:r>
      <w:r>
        <w:rPr>
          <w:spacing w:val="-10"/>
        </w:rPr>
        <w:t> </w:t>
      </w:r>
      <w:r>
        <w:rPr/>
        <w:t>&amp;</w:t>
      </w:r>
      <w:r>
        <w:rPr>
          <w:spacing w:val="-6"/>
        </w:rPr>
        <w:t> </w:t>
      </w:r>
      <w:r>
        <w:rPr/>
        <w:t>Park, 2022). Moreover,</w:t>
      </w:r>
      <w:r>
        <w:rPr>
          <w:spacing w:val="-3"/>
        </w:rPr>
        <w:t> </w:t>
      </w:r>
      <w:r>
        <w:rPr/>
        <w:t>the</w:t>
      </w:r>
      <w:r>
        <w:rPr>
          <w:spacing w:val="-2"/>
        </w:rPr>
        <w:t> </w:t>
      </w:r>
      <w:r>
        <w:rPr/>
        <w:t>non-significant</w:t>
      </w:r>
      <w:r>
        <w:rPr>
          <w:spacing w:val="-4"/>
        </w:rPr>
        <w:t> </w:t>
      </w:r>
      <w:r>
        <w:rPr/>
        <w:t>findings</w:t>
      </w:r>
      <w:r>
        <w:rPr>
          <w:spacing w:val="-2"/>
        </w:rPr>
        <w:t> </w:t>
      </w:r>
      <w:r>
        <w:rPr/>
        <w:t>for</w:t>
      </w:r>
      <w:r>
        <w:rPr>
          <w:spacing w:val="-2"/>
        </w:rPr>
        <w:t> </w:t>
      </w:r>
      <w:r>
        <w:rPr/>
        <w:t>age</w:t>
      </w:r>
      <w:r>
        <w:rPr>
          <w:spacing w:val="-2"/>
        </w:rPr>
        <w:t> </w:t>
      </w:r>
      <w:r>
        <w:rPr/>
        <w:t>and</w:t>
      </w:r>
      <w:r>
        <w:rPr>
          <w:spacing w:val="-2"/>
        </w:rPr>
        <w:t> </w:t>
      </w:r>
      <w:r>
        <w:rPr/>
        <w:t>peer</w:t>
      </w:r>
      <w:r>
        <w:rPr>
          <w:spacing w:val="-2"/>
        </w:rPr>
        <w:t> </w:t>
      </w:r>
      <w:r>
        <w:rPr/>
        <w:t>interaction</w:t>
      </w:r>
      <w:r>
        <w:rPr>
          <w:spacing w:val="-4"/>
        </w:rPr>
        <w:t> </w:t>
      </w:r>
      <w:r>
        <w:rPr/>
        <w:t>align</w:t>
      </w:r>
      <w:r>
        <w:rPr>
          <w:spacing w:val="-3"/>
        </w:rPr>
        <w:t> </w:t>
      </w:r>
      <w:r>
        <w:rPr/>
        <w:t>with</w:t>
      </w:r>
      <w:r>
        <w:rPr>
          <w:spacing w:val="-3"/>
        </w:rPr>
        <w:t> </w:t>
      </w:r>
      <w:r>
        <w:rPr/>
        <w:t>prior</w:t>
      </w:r>
      <w:r>
        <w:rPr>
          <w:spacing w:val="-4"/>
        </w:rPr>
        <w:t> </w:t>
      </w:r>
      <w:r>
        <w:rPr/>
        <w:t>studies</w:t>
      </w:r>
      <w:r>
        <w:rPr>
          <w:spacing w:val="-4"/>
        </w:rPr>
        <w:t> </w:t>
      </w:r>
      <w:r>
        <w:rPr/>
        <w:t>suggesting</w:t>
      </w:r>
      <w:r>
        <w:rPr>
          <w:spacing w:val="-3"/>
        </w:rPr>
        <w:t> </w:t>
      </w:r>
      <w:r>
        <w:rPr/>
        <w:t>that in early education, peer-related experiences and classroom climates are perceived more uniformly regardless of age differences (Espelage et al., 2020).</w:t>
      </w:r>
    </w:p>
    <w:p>
      <w:pPr>
        <w:pStyle w:val="BodyText"/>
        <w:ind w:left="0"/>
        <w:jc w:val="left"/>
      </w:pPr>
    </w:p>
    <w:p>
      <w:pPr>
        <w:pStyle w:val="BodyText"/>
        <w:spacing w:before="51"/>
        <w:ind w:left="0"/>
        <w:jc w:val="left"/>
      </w:pPr>
    </w:p>
    <w:p>
      <w:pPr>
        <w:spacing w:before="0"/>
        <w:ind w:left="510" w:right="149" w:firstLine="0"/>
        <w:jc w:val="center"/>
        <w:rPr>
          <w:b/>
          <w:sz w:val="22"/>
        </w:rPr>
      </w:pPr>
      <w:r>
        <w:rPr>
          <w:b/>
          <w:sz w:val="22"/>
        </w:rPr>
        <w:t>Table </w:t>
      </w:r>
      <w:r>
        <w:rPr>
          <w:b/>
          <w:spacing w:val="-10"/>
          <w:sz w:val="22"/>
        </w:rPr>
        <w:t>5</w:t>
      </w:r>
    </w:p>
    <w:p>
      <w:pPr>
        <w:spacing w:line="259" w:lineRule="auto" w:before="22"/>
        <w:ind w:left="511" w:right="149" w:firstLine="0"/>
        <w:jc w:val="center"/>
        <w:rPr>
          <w:b/>
          <w:sz w:val="22"/>
        </w:rPr>
      </w:pPr>
      <w:r>
        <w:rPr>
          <w:b/>
          <w:sz w:val="22"/>
        </w:rPr>
        <w:t>Significant</w:t>
      </w:r>
      <w:r>
        <w:rPr>
          <w:b/>
          <w:spacing w:val="-3"/>
          <w:sz w:val="22"/>
        </w:rPr>
        <w:t> </w:t>
      </w:r>
      <w:r>
        <w:rPr>
          <w:b/>
          <w:sz w:val="22"/>
        </w:rPr>
        <w:t>Predictors</w:t>
      </w:r>
      <w:r>
        <w:rPr>
          <w:b/>
          <w:spacing w:val="-5"/>
          <w:sz w:val="22"/>
        </w:rPr>
        <w:t> </w:t>
      </w:r>
      <w:r>
        <w:rPr>
          <w:b/>
          <w:sz w:val="22"/>
        </w:rPr>
        <w:t>of</w:t>
      </w:r>
      <w:r>
        <w:rPr>
          <w:b/>
          <w:spacing w:val="-3"/>
          <w:sz w:val="22"/>
        </w:rPr>
        <w:t> </w:t>
      </w:r>
      <w:r>
        <w:rPr>
          <w:b/>
          <w:sz w:val="22"/>
        </w:rPr>
        <w:t>Student</w:t>
      </w:r>
      <w:r>
        <w:rPr>
          <w:b/>
          <w:spacing w:val="-4"/>
          <w:sz w:val="22"/>
        </w:rPr>
        <w:t> </w:t>
      </w:r>
      <w:r>
        <w:rPr>
          <w:b/>
          <w:sz w:val="22"/>
        </w:rPr>
        <w:t>Satisfaction</w:t>
      </w:r>
      <w:r>
        <w:rPr>
          <w:b/>
          <w:spacing w:val="-4"/>
          <w:sz w:val="22"/>
        </w:rPr>
        <w:t> </w:t>
      </w:r>
      <w:r>
        <w:rPr>
          <w:b/>
          <w:sz w:val="22"/>
        </w:rPr>
        <w:t>Among</w:t>
      </w:r>
      <w:r>
        <w:rPr>
          <w:b/>
          <w:spacing w:val="-4"/>
          <w:sz w:val="22"/>
        </w:rPr>
        <w:t> </w:t>
      </w:r>
      <w:r>
        <w:rPr>
          <w:b/>
          <w:sz w:val="22"/>
        </w:rPr>
        <w:t>the</w:t>
      </w:r>
      <w:r>
        <w:rPr>
          <w:b/>
          <w:spacing w:val="-4"/>
          <w:sz w:val="22"/>
        </w:rPr>
        <w:t> </w:t>
      </w:r>
      <w:r>
        <w:rPr>
          <w:b/>
          <w:sz w:val="22"/>
        </w:rPr>
        <w:t>Students</w:t>
      </w:r>
      <w:r>
        <w:rPr>
          <w:b/>
          <w:spacing w:val="-3"/>
          <w:sz w:val="22"/>
        </w:rPr>
        <w:t> </w:t>
      </w:r>
      <w:r>
        <w:rPr>
          <w:b/>
          <w:sz w:val="22"/>
        </w:rPr>
        <w:t>in</w:t>
      </w:r>
      <w:r>
        <w:rPr>
          <w:b/>
          <w:spacing w:val="-6"/>
          <w:sz w:val="22"/>
        </w:rPr>
        <w:t> </w:t>
      </w:r>
      <w:r>
        <w:rPr>
          <w:b/>
          <w:sz w:val="22"/>
        </w:rPr>
        <w:t>the Elementary</w:t>
      </w:r>
      <w:r>
        <w:rPr>
          <w:b/>
          <w:spacing w:val="-3"/>
          <w:sz w:val="22"/>
        </w:rPr>
        <w:t> </w:t>
      </w:r>
      <w:r>
        <w:rPr>
          <w:b/>
          <w:sz w:val="22"/>
        </w:rPr>
        <w:t>Department</w:t>
      </w:r>
      <w:r>
        <w:rPr>
          <w:b/>
          <w:spacing w:val="-1"/>
          <w:sz w:val="22"/>
        </w:rPr>
        <w:t> </w:t>
      </w:r>
      <w:r>
        <w:rPr>
          <w:b/>
          <w:sz w:val="22"/>
        </w:rPr>
        <w:t>- </w:t>
      </w:r>
      <w:r>
        <w:rPr>
          <w:b/>
          <w:spacing w:val="-4"/>
          <w:sz w:val="22"/>
        </w:rPr>
        <w:t>UCLM</w:t>
      </w:r>
    </w:p>
    <w:p>
      <w:pPr>
        <w:spacing w:line="269" w:lineRule="exact" w:before="0" w:after="21"/>
        <w:ind w:left="511" w:right="149" w:firstLine="0"/>
        <w:jc w:val="center"/>
        <w:rPr>
          <w:b/>
          <w:sz w:val="22"/>
        </w:rPr>
      </w:pPr>
      <w:r>
        <w:rPr>
          <w:b/>
          <w:sz w:val="22"/>
        </w:rPr>
        <w:t>(</w:t>
      </w:r>
      <w:r>
        <w:rPr>
          <w:rFonts w:ascii="Symbol" w:hAnsi="Symbol"/>
          <w:sz w:val="22"/>
        </w:rPr>
        <w:t></w:t>
      </w:r>
      <w:r>
        <w:rPr>
          <w:sz w:val="22"/>
        </w:rPr>
        <w:t> </w:t>
      </w:r>
      <w:r>
        <w:rPr>
          <w:b/>
          <w:sz w:val="22"/>
        </w:rPr>
        <w:t>=</w:t>
      </w:r>
      <w:r>
        <w:rPr>
          <w:b/>
          <w:spacing w:val="1"/>
          <w:sz w:val="22"/>
        </w:rPr>
        <w:t> </w:t>
      </w:r>
      <w:r>
        <w:rPr>
          <w:b/>
          <w:spacing w:val="-2"/>
          <w:sz w:val="22"/>
        </w:rPr>
        <w:t>0.05)</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5"/>
        <w:gridCol w:w="1887"/>
        <w:gridCol w:w="1772"/>
        <w:gridCol w:w="740"/>
        <w:gridCol w:w="1488"/>
        <w:gridCol w:w="1438"/>
      </w:tblGrid>
      <w:tr>
        <w:trPr>
          <w:trHeight w:val="760" w:hRule="atLeast"/>
        </w:trPr>
        <w:tc>
          <w:tcPr>
            <w:tcW w:w="2045" w:type="dxa"/>
            <w:tcBorders>
              <w:top w:val="single" w:sz="4" w:space="0" w:color="7E7E7E"/>
              <w:bottom w:val="single" w:sz="4" w:space="0" w:color="7E7E7E"/>
            </w:tcBorders>
          </w:tcPr>
          <w:p>
            <w:pPr>
              <w:pStyle w:val="TableParagraph"/>
              <w:spacing w:line="252" w:lineRule="exact"/>
              <w:ind w:left="120"/>
              <w:rPr>
                <w:b/>
                <w:sz w:val="22"/>
              </w:rPr>
            </w:pPr>
            <w:r>
              <w:rPr>
                <w:b/>
                <w:sz w:val="22"/>
              </w:rPr>
              <w:t>Predictor</w:t>
            </w:r>
            <w:r>
              <w:rPr>
                <w:b/>
                <w:spacing w:val="-3"/>
                <w:sz w:val="22"/>
              </w:rPr>
              <w:t> </w:t>
            </w:r>
            <w:r>
              <w:rPr>
                <w:b/>
                <w:spacing w:val="-2"/>
                <w:sz w:val="22"/>
              </w:rPr>
              <w:t>Variable</w:t>
            </w:r>
          </w:p>
        </w:tc>
        <w:tc>
          <w:tcPr>
            <w:tcW w:w="1887" w:type="dxa"/>
            <w:tcBorders>
              <w:top w:val="single" w:sz="4" w:space="0" w:color="7E7E7E"/>
              <w:bottom w:val="single" w:sz="4" w:space="0" w:color="7E7E7E"/>
            </w:tcBorders>
          </w:tcPr>
          <w:p>
            <w:pPr>
              <w:pStyle w:val="TableParagraph"/>
              <w:spacing w:line="252" w:lineRule="exact"/>
              <w:ind w:left="6" w:right="3"/>
              <w:jc w:val="center"/>
              <w:rPr>
                <w:b/>
                <w:sz w:val="22"/>
              </w:rPr>
            </w:pPr>
            <w:r>
              <w:rPr>
                <w:b/>
                <w:spacing w:val="-10"/>
                <w:sz w:val="22"/>
              </w:rPr>
              <w:t>B</w:t>
            </w:r>
          </w:p>
          <w:p>
            <w:pPr>
              <w:pStyle w:val="TableParagraph"/>
              <w:spacing w:line="252" w:lineRule="exact"/>
              <w:ind w:left="6"/>
              <w:jc w:val="center"/>
              <w:rPr>
                <w:b/>
                <w:sz w:val="22"/>
              </w:rPr>
            </w:pPr>
            <w:r>
              <w:rPr>
                <w:b/>
                <w:spacing w:val="-2"/>
                <w:sz w:val="22"/>
              </w:rPr>
              <w:t>(Unstandardized Coefficient)</w:t>
            </w:r>
          </w:p>
        </w:tc>
        <w:tc>
          <w:tcPr>
            <w:tcW w:w="1772" w:type="dxa"/>
            <w:tcBorders>
              <w:top w:val="single" w:sz="4" w:space="0" w:color="7E7E7E"/>
              <w:bottom w:val="single" w:sz="4" w:space="0" w:color="7E7E7E"/>
            </w:tcBorders>
          </w:tcPr>
          <w:p>
            <w:pPr>
              <w:pStyle w:val="TableParagraph"/>
              <w:ind w:left="352" w:right="112" w:hanging="202"/>
              <w:rPr>
                <w:b/>
                <w:sz w:val="22"/>
              </w:rPr>
            </w:pPr>
            <w:r>
              <w:rPr>
                <w:b/>
                <w:sz w:val="22"/>
              </w:rPr>
              <w:t>β</w:t>
            </w:r>
            <w:r>
              <w:rPr>
                <w:b/>
                <w:spacing w:val="-14"/>
                <w:sz w:val="22"/>
              </w:rPr>
              <w:t> </w:t>
            </w:r>
            <w:r>
              <w:rPr>
                <w:b/>
                <w:sz w:val="22"/>
              </w:rPr>
              <w:t>(Standardized </w:t>
            </w:r>
            <w:r>
              <w:rPr>
                <w:b/>
                <w:spacing w:val="-2"/>
                <w:sz w:val="22"/>
              </w:rPr>
              <w:t>Coefficient)</w:t>
            </w:r>
          </w:p>
        </w:tc>
        <w:tc>
          <w:tcPr>
            <w:tcW w:w="740" w:type="dxa"/>
            <w:tcBorders>
              <w:top w:val="single" w:sz="4" w:space="0" w:color="7E7E7E"/>
              <w:bottom w:val="single" w:sz="4" w:space="0" w:color="7E7E7E"/>
            </w:tcBorders>
          </w:tcPr>
          <w:p>
            <w:pPr>
              <w:pStyle w:val="TableParagraph"/>
              <w:ind w:left="115" w:right="120" w:firstLine="151"/>
              <w:rPr>
                <w:b/>
                <w:sz w:val="22"/>
              </w:rPr>
            </w:pPr>
            <w:r>
              <w:rPr>
                <w:b/>
                <w:sz w:val="22"/>
              </w:rPr>
              <w:t>p-</w:t>
            </w:r>
            <w:r>
              <w:rPr>
                <w:b/>
                <w:spacing w:val="-2"/>
                <w:sz w:val="22"/>
              </w:rPr>
              <w:t>value</w:t>
            </w:r>
          </w:p>
        </w:tc>
        <w:tc>
          <w:tcPr>
            <w:tcW w:w="1488" w:type="dxa"/>
            <w:tcBorders>
              <w:top w:val="single" w:sz="4" w:space="0" w:color="7E7E7E"/>
              <w:bottom w:val="single" w:sz="4" w:space="0" w:color="7E7E7E"/>
            </w:tcBorders>
          </w:tcPr>
          <w:p>
            <w:pPr>
              <w:pStyle w:val="TableParagraph"/>
              <w:spacing w:line="252" w:lineRule="exact"/>
              <w:ind w:left="109"/>
              <w:rPr>
                <w:b/>
                <w:sz w:val="22"/>
              </w:rPr>
            </w:pPr>
            <w:r>
              <w:rPr>
                <w:b/>
                <w:spacing w:val="-2"/>
                <w:sz w:val="22"/>
              </w:rPr>
              <w:t>Significance</w:t>
            </w:r>
          </w:p>
        </w:tc>
        <w:tc>
          <w:tcPr>
            <w:tcW w:w="1438" w:type="dxa"/>
            <w:tcBorders>
              <w:top w:val="single" w:sz="4" w:space="0" w:color="7E7E7E"/>
              <w:bottom w:val="single" w:sz="4" w:space="0" w:color="7E7E7E"/>
            </w:tcBorders>
          </w:tcPr>
          <w:p>
            <w:pPr>
              <w:pStyle w:val="TableParagraph"/>
              <w:spacing w:line="252" w:lineRule="exact"/>
              <w:ind w:right="110"/>
              <w:jc w:val="right"/>
              <w:rPr>
                <w:b/>
                <w:sz w:val="22"/>
              </w:rPr>
            </w:pPr>
            <w:r>
              <w:rPr>
                <w:b/>
                <w:spacing w:val="-2"/>
                <w:sz w:val="22"/>
              </w:rPr>
              <w:t>Decision</w:t>
            </w:r>
          </w:p>
        </w:tc>
      </w:tr>
      <w:tr>
        <w:trPr>
          <w:trHeight w:val="1009" w:hRule="atLeast"/>
        </w:trPr>
        <w:tc>
          <w:tcPr>
            <w:tcW w:w="2045" w:type="dxa"/>
            <w:tcBorders>
              <w:top w:val="single" w:sz="4" w:space="0" w:color="7E7E7E"/>
            </w:tcBorders>
          </w:tcPr>
          <w:p>
            <w:pPr>
              <w:pStyle w:val="TableParagraph"/>
              <w:ind w:left="108" w:right="507"/>
              <w:rPr>
                <w:sz w:val="22"/>
              </w:rPr>
            </w:pPr>
            <w:r>
              <w:rPr>
                <w:sz w:val="22"/>
              </w:rPr>
              <w:t>Student</w:t>
            </w:r>
            <w:r>
              <w:rPr>
                <w:spacing w:val="-14"/>
                <w:sz w:val="22"/>
              </w:rPr>
              <w:t> </w:t>
            </w:r>
            <w:r>
              <w:rPr>
                <w:sz w:val="22"/>
              </w:rPr>
              <w:t>Support Services and</w:t>
            </w:r>
          </w:p>
          <w:p>
            <w:pPr>
              <w:pStyle w:val="TableParagraph"/>
              <w:spacing w:line="252" w:lineRule="exact"/>
              <w:ind w:left="108"/>
              <w:rPr>
                <w:sz w:val="22"/>
              </w:rPr>
            </w:pPr>
            <w:r>
              <w:rPr>
                <w:spacing w:val="-2"/>
                <w:sz w:val="22"/>
              </w:rPr>
              <w:t>Extracurricular Activities</w:t>
            </w:r>
          </w:p>
        </w:tc>
        <w:tc>
          <w:tcPr>
            <w:tcW w:w="1887" w:type="dxa"/>
            <w:tcBorders>
              <w:top w:val="single" w:sz="4" w:space="0" w:color="7E7E7E"/>
            </w:tcBorders>
          </w:tcPr>
          <w:p>
            <w:pPr>
              <w:pStyle w:val="TableParagraph"/>
              <w:spacing w:line="246" w:lineRule="exact"/>
              <w:ind w:left="6" w:right="2"/>
              <w:jc w:val="center"/>
              <w:rPr>
                <w:sz w:val="22"/>
              </w:rPr>
            </w:pPr>
            <w:r>
              <w:rPr>
                <w:spacing w:val="-2"/>
                <w:sz w:val="22"/>
              </w:rPr>
              <w:t>0.200</w:t>
            </w:r>
          </w:p>
        </w:tc>
        <w:tc>
          <w:tcPr>
            <w:tcW w:w="1772" w:type="dxa"/>
            <w:tcBorders>
              <w:top w:val="single" w:sz="4" w:space="0" w:color="7E7E7E"/>
            </w:tcBorders>
          </w:tcPr>
          <w:p>
            <w:pPr>
              <w:pStyle w:val="TableParagraph"/>
              <w:spacing w:line="246" w:lineRule="exact"/>
              <w:ind w:left="33"/>
              <w:jc w:val="center"/>
              <w:rPr>
                <w:sz w:val="22"/>
              </w:rPr>
            </w:pPr>
            <w:r>
              <w:rPr>
                <w:spacing w:val="-2"/>
                <w:sz w:val="22"/>
              </w:rPr>
              <w:t>0.217</w:t>
            </w:r>
          </w:p>
        </w:tc>
        <w:tc>
          <w:tcPr>
            <w:tcW w:w="740" w:type="dxa"/>
            <w:tcBorders>
              <w:top w:val="single" w:sz="4" w:space="0" w:color="7E7E7E"/>
            </w:tcBorders>
          </w:tcPr>
          <w:p>
            <w:pPr>
              <w:pStyle w:val="TableParagraph"/>
              <w:spacing w:line="246" w:lineRule="exact"/>
              <w:ind w:right="5"/>
              <w:jc w:val="center"/>
              <w:rPr>
                <w:sz w:val="22"/>
              </w:rPr>
            </w:pPr>
            <w:r>
              <w:rPr>
                <w:spacing w:val="-2"/>
                <w:sz w:val="22"/>
              </w:rPr>
              <w:t>&lt;.001</w:t>
            </w:r>
          </w:p>
        </w:tc>
        <w:tc>
          <w:tcPr>
            <w:tcW w:w="1488" w:type="dxa"/>
            <w:tcBorders>
              <w:top w:val="single" w:sz="4" w:space="0" w:color="7E7E7E"/>
            </w:tcBorders>
          </w:tcPr>
          <w:p>
            <w:pPr>
              <w:pStyle w:val="TableParagraph"/>
              <w:spacing w:line="245" w:lineRule="exact"/>
              <w:ind w:left="2" w:right="130"/>
              <w:jc w:val="center"/>
              <w:rPr>
                <w:sz w:val="22"/>
              </w:rPr>
            </w:pPr>
            <w:r>
              <w:rPr>
                <w:spacing w:val="-2"/>
                <w:sz w:val="22"/>
              </w:rPr>
              <w:t>Significant</w:t>
            </w:r>
          </w:p>
          <w:p>
            <w:pPr>
              <w:pStyle w:val="TableParagraph"/>
              <w:spacing w:line="252" w:lineRule="exact"/>
              <w:ind w:right="130"/>
              <w:jc w:val="center"/>
              <w:rPr>
                <w:sz w:val="22"/>
              </w:rPr>
            </w:pPr>
            <w:r>
              <w:rPr>
                <w:spacing w:val="-5"/>
                <w:sz w:val="22"/>
              </w:rPr>
              <w:t>**</w:t>
            </w:r>
          </w:p>
        </w:tc>
        <w:tc>
          <w:tcPr>
            <w:tcW w:w="1438" w:type="dxa"/>
            <w:tcBorders>
              <w:top w:val="single" w:sz="4" w:space="0" w:color="7E7E7E"/>
            </w:tcBorders>
          </w:tcPr>
          <w:p>
            <w:pPr>
              <w:pStyle w:val="TableParagraph"/>
              <w:spacing w:line="246" w:lineRule="exact"/>
              <w:ind w:right="111"/>
              <w:jc w:val="right"/>
              <w:rPr>
                <w:sz w:val="22"/>
              </w:rPr>
            </w:pPr>
            <w:r>
              <w:rPr>
                <w:sz w:val="22"/>
              </w:rPr>
              <w:t>Ho</w:t>
            </w:r>
            <w:r>
              <w:rPr>
                <w:spacing w:val="-1"/>
                <w:sz w:val="22"/>
              </w:rPr>
              <w:t> </w:t>
            </w:r>
            <w:r>
              <w:rPr>
                <w:spacing w:val="-2"/>
                <w:sz w:val="22"/>
              </w:rPr>
              <w:t>Rejected</w:t>
            </w:r>
          </w:p>
        </w:tc>
      </w:tr>
      <w:tr>
        <w:trPr>
          <w:trHeight w:val="757" w:hRule="atLeast"/>
        </w:trPr>
        <w:tc>
          <w:tcPr>
            <w:tcW w:w="2045" w:type="dxa"/>
          </w:tcPr>
          <w:p>
            <w:pPr>
              <w:pStyle w:val="TableParagraph"/>
              <w:ind w:left="108" w:right="30"/>
              <w:rPr>
                <w:sz w:val="22"/>
              </w:rPr>
            </w:pPr>
            <w:r>
              <w:rPr>
                <w:spacing w:val="-2"/>
                <w:sz w:val="22"/>
              </w:rPr>
              <w:t>Learning </w:t>
            </w:r>
            <w:r>
              <w:rPr>
                <w:sz w:val="22"/>
              </w:rPr>
              <w:t>Environment</w:t>
            </w:r>
            <w:r>
              <w:rPr>
                <w:spacing w:val="-4"/>
                <w:sz w:val="22"/>
              </w:rPr>
              <w:t> </w:t>
            </w:r>
            <w:r>
              <w:rPr>
                <w:spacing w:val="-5"/>
                <w:sz w:val="22"/>
              </w:rPr>
              <w:t>and</w:t>
            </w:r>
          </w:p>
          <w:p>
            <w:pPr>
              <w:pStyle w:val="TableParagraph"/>
              <w:spacing w:line="237" w:lineRule="exact"/>
              <w:ind w:left="108"/>
              <w:rPr>
                <w:sz w:val="22"/>
              </w:rPr>
            </w:pPr>
            <w:r>
              <w:rPr>
                <w:sz w:val="22"/>
              </w:rPr>
              <w:t>Peer</w:t>
            </w:r>
            <w:r>
              <w:rPr>
                <w:spacing w:val="-1"/>
                <w:sz w:val="22"/>
              </w:rPr>
              <w:t> </w:t>
            </w:r>
            <w:r>
              <w:rPr>
                <w:spacing w:val="-2"/>
                <w:sz w:val="22"/>
              </w:rPr>
              <w:t>Interaction</w:t>
            </w:r>
          </w:p>
        </w:tc>
        <w:tc>
          <w:tcPr>
            <w:tcW w:w="1887" w:type="dxa"/>
          </w:tcPr>
          <w:p>
            <w:pPr>
              <w:pStyle w:val="TableParagraph"/>
              <w:spacing w:line="248" w:lineRule="exact"/>
              <w:ind w:left="6" w:right="2"/>
              <w:jc w:val="center"/>
              <w:rPr>
                <w:sz w:val="22"/>
              </w:rPr>
            </w:pPr>
            <w:r>
              <w:rPr>
                <w:spacing w:val="-2"/>
                <w:sz w:val="22"/>
              </w:rPr>
              <w:t>0.200</w:t>
            </w:r>
          </w:p>
        </w:tc>
        <w:tc>
          <w:tcPr>
            <w:tcW w:w="1772" w:type="dxa"/>
          </w:tcPr>
          <w:p>
            <w:pPr>
              <w:pStyle w:val="TableParagraph"/>
              <w:spacing w:line="248" w:lineRule="exact"/>
              <w:ind w:left="33"/>
              <w:jc w:val="center"/>
              <w:rPr>
                <w:sz w:val="22"/>
              </w:rPr>
            </w:pPr>
            <w:r>
              <w:rPr>
                <w:spacing w:val="-2"/>
                <w:sz w:val="22"/>
              </w:rPr>
              <w:t>0.255</w:t>
            </w:r>
          </w:p>
        </w:tc>
        <w:tc>
          <w:tcPr>
            <w:tcW w:w="740" w:type="dxa"/>
          </w:tcPr>
          <w:p>
            <w:pPr>
              <w:pStyle w:val="TableParagraph"/>
              <w:spacing w:line="248" w:lineRule="exact"/>
              <w:ind w:right="5"/>
              <w:jc w:val="center"/>
              <w:rPr>
                <w:sz w:val="22"/>
              </w:rPr>
            </w:pPr>
            <w:r>
              <w:rPr>
                <w:spacing w:val="-2"/>
                <w:sz w:val="22"/>
              </w:rPr>
              <w:t>&lt;.001</w:t>
            </w:r>
          </w:p>
        </w:tc>
        <w:tc>
          <w:tcPr>
            <w:tcW w:w="1488" w:type="dxa"/>
          </w:tcPr>
          <w:p>
            <w:pPr>
              <w:pStyle w:val="TableParagraph"/>
              <w:spacing w:line="248" w:lineRule="exact"/>
              <w:ind w:left="2" w:right="130"/>
              <w:jc w:val="center"/>
              <w:rPr>
                <w:sz w:val="22"/>
              </w:rPr>
            </w:pPr>
            <w:r>
              <w:rPr>
                <w:spacing w:val="-2"/>
                <w:sz w:val="22"/>
              </w:rPr>
              <w:t>Significant</w:t>
            </w:r>
          </w:p>
          <w:p>
            <w:pPr>
              <w:pStyle w:val="TableParagraph"/>
              <w:spacing w:line="252" w:lineRule="exact"/>
              <w:ind w:right="130"/>
              <w:jc w:val="center"/>
              <w:rPr>
                <w:sz w:val="22"/>
              </w:rPr>
            </w:pPr>
            <w:r>
              <w:rPr>
                <w:spacing w:val="-5"/>
                <w:sz w:val="22"/>
              </w:rPr>
              <w:t>**</w:t>
            </w:r>
          </w:p>
        </w:tc>
        <w:tc>
          <w:tcPr>
            <w:tcW w:w="1438" w:type="dxa"/>
          </w:tcPr>
          <w:p>
            <w:pPr>
              <w:pStyle w:val="TableParagraph"/>
              <w:spacing w:line="248" w:lineRule="exact"/>
              <w:ind w:right="111"/>
              <w:jc w:val="right"/>
              <w:rPr>
                <w:sz w:val="22"/>
              </w:rPr>
            </w:pPr>
            <w:r>
              <w:rPr>
                <w:sz w:val="22"/>
              </w:rPr>
              <w:t>Ho</w:t>
            </w:r>
            <w:r>
              <w:rPr>
                <w:spacing w:val="-1"/>
                <w:sz w:val="22"/>
              </w:rPr>
              <w:t> </w:t>
            </w:r>
            <w:r>
              <w:rPr>
                <w:spacing w:val="-2"/>
                <w:sz w:val="22"/>
              </w:rPr>
              <w:t>Rejected</w:t>
            </w:r>
          </w:p>
        </w:tc>
      </w:tr>
      <w:tr>
        <w:trPr>
          <w:trHeight w:val="759" w:hRule="atLeast"/>
        </w:trPr>
        <w:tc>
          <w:tcPr>
            <w:tcW w:w="2045" w:type="dxa"/>
          </w:tcPr>
          <w:p>
            <w:pPr>
              <w:pStyle w:val="TableParagraph"/>
              <w:spacing w:line="248" w:lineRule="exact"/>
              <w:ind w:left="108"/>
              <w:rPr>
                <w:sz w:val="22"/>
              </w:rPr>
            </w:pPr>
            <w:r>
              <w:rPr>
                <w:sz w:val="22"/>
              </w:rPr>
              <w:t>Curriculum</w:t>
            </w:r>
            <w:r>
              <w:rPr>
                <w:spacing w:val="-6"/>
                <w:sz w:val="22"/>
              </w:rPr>
              <w:t> </w:t>
            </w:r>
            <w:r>
              <w:rPr>
                <w:spacing w:val="-5"/>
                <w:sz w:val="22"/>
              </w:rPr>
              <w:t>and</w:t>
            </w:r>
          </w:p>
          <w:p>
            <w:pPr>
              <w:pStyle w:val="TableParagraph"/>
              <w:spacing w:line="252" w:lineRule="exact"/>
              <w:ind w:left="108" w:right="1041"/>
              <w:rPr>
                <w:sz w:val="22"/>
              </w:rPr>
            </w:pPr>
            <w:r>
              <w:rPr>
                <w:spacing w:val="-2"/>
                <w:sz w:val="22"/>
              </w:rPr>
              <w:t>Academic Workload</w:t>
            </w:r>
          </w:p>
        </w:tc>
        <w:tc>
          <w:tcPr>
            <w:tcW w:w="1887" w:type="dxa"/>
          </w:tcPr>
          <w:p>
            <w:pPr>
              <w:pStyle w:val="TableParagraph"/>
              <w:spacing w:line="248" w:lineRule="exact"/>
              <w:ind w:left="6" w:right="2"/>
              <w:jc w:val="center"/>
              <w:rPr>
                <w:sz w:val="22"/>
              </w:rPr>
            </w:pPr>
            <w:r>
              <w:rPr>
                <w:spacing w:val="-2"/>
                <w:sz w:val="22"/>
              </w:rPr>
              <w:t>0.200</w:t>
            </w:r>
          </w:p>
        </w:tc>
        <w:tc>
          <w:tcPr>
            <w:tcW w:w="1772" w:type="dxa"/>
          </w:tcPr>
          <w:p>
            <w:pPr>
              <w:pStyle w:val="TableParagraph"/>
              <w:spacing w:line="248" w:lineRule="exact"/>
              <w:ind w:left="33"/>
              <w:jc w:val="center"/>
              <w:rPr>
                <w:sz w:val="22"/>
              </w:rPr>
            </w:pPr>
            <w:r>
              <w:rPr>
                <w:spacing w:val="-2"/>
                <w:sz w:val="22"/>
              </w:rPr>
              <w:t>0.228</w:t>
            </w:r>
          </w:p>
        </w:tc>
        <w:tc>
          <w:tcPr>
            <w:tcW w:w="740" w:type="dxa"/>
          </w:tcPr>
          <w:p>
            <w:pPr>
              <w:pStyle w:val="TableParagraph"/>
              <w:spacing w:line="248" w:lineRule="exact"/>
              <w:ind w:right="5"/>
              <w:jc w:val="center"/>
              <w:rPr>
                <w:sz w:val="22"/>
              </w:rPr>
            </w:pPr>
            <w:r>
              <w:rPr>
                <w:spacing w:val="-2"/>
                <w:sz w:val="22"/>
              </w:rPr>
              <w:t>&lt;.001</w:t>
            </w:r>
          </w:p>
        </w:tc>
        <w:tc>
          <w:tcPr>
            <w:tcW w:w="1488" w:type="dxa"/>
          </w:tcPr>
          <w:p>
            <w:pPr>
              <w:pStyle w:val="TableParagraph"/>
              <w:spacing w:line="248" w:lineRule="exact"/>
              <w:ind w:left="2" w:right="130"/>
              <w:jc w:val="center"/>
              <w:rPr>
                <w:sz w:val="22"/>
              </w:rPr>
            </w:pPr>
            <w:r>
              <w:rPr>
                <w:spacing w:val="-2"/>
                <w:sz w:val="22"/>
              </w:rPr>
              <w:t>Significant</w:t>
            </w:r>
          </w:p>
          <w:p>
            <w:pPr>
              <w:pStyle w:val="TableParagraph"/>
              <w:spacing w:before="1"/>
              <w:ind w:right="130"/>
              <w:jc w:val="center"/>
              <w:rPr>
                <w:sz w:val="22"/>
              </w:rPr>
            </w:pPr>
            <w:r>
              <w:rPr>
                <w:spacing w:val="-5"/>
                <w:sz w:val="22"/>
              </w:rPr>
              <w:t>**</w:t>
            </w:r>
          </w:p>
        </w:tc>
        <w:tc>
          <w:tcPr>
            <w:tcW w:w="1438" w:type="dxa"/>
          </w:tcPr>
          <w:p>
            <w:pPr>
              <w:pStyle w:val="TableParagraph"/>
              <w:spacing w:line="248" w:lineRule="exact"/>
              <w:ind w:right="111"/>
              <w:jc w:val="right"/>
              <w:rPr>
                <w:sz w:val="22"/>
              </w:rPr>
            </w:pPr>
            <w:r>
              <w:rPr>
                <w:sz w:val="22"/>
              </w:rPr>
              <w:t>Ho</w:t>
            </w:r>
            <w:r>
              <w:rPr>
                <w:spacing w:val="-1"/>
                <w:sz w:val="22"/>
              </w:rPr>
              <w:t> </w:t>
            </w:r>
            <w:r>
              <w:rPr>
                <w:spacing w:val="-2"/>
                <w:sz w:val="22"/>
              </w:rPr>
              <w:t>Rejected</w:t>
            </w:r>
          </w:p>
        </w:tc>
      </w:tr>
      <w:tr>
        <w:trPr>
          <w:trHeight w:val="506" w:hRule="atLeast"/>
        </w:trPr>
        <w:tc>
          <w:tcPr>
            <w:tcW w:w="2045" w:type="dxa"/>
          </w:tcPr>
          <w:p>
            <w:pPr>
              <w:pStyle w:val="TableParagraph"/>
              <w:spacing w:line="248" w:lineRule="exact"/>
              <w:ind w:left="108"/>
              <w:rPr>
                <w:sz w:val="22"/>
              </w:rPr>
            </w:pPr>
            <w:r>
              <w:rPr>
                <w:sz w:val="22"/>
              </w:rPr>
              <w:t>School</w:t>
            </w:r>
            <w:r>
              <w:rPr>
                <w:spacing w:val="1"/>
                <w:sz w:val="22"/>
              </w:rPr>
              <w:t> </w:t>
            </w:r>
            <w:r>
              <w:rPr>
                <w:spacing w:val="-2"/>
                <w:sz w:val="22"/>
              </w:rPr>
              <w:t>Facilities</w:t>
            </w:r>
          </w:p>
          <w:p>
            <w:pPr>
              <w:pStyle w:val="TableParagraph"/>
              <w:spacing w:line="238" w:lineRule="exact"/>
              <w:ind w:left="108"/>
              <w:rPr>
                <w:sz w:val="22"/>
              </w:rPr>
            </w:pPr>
            <w:r>
              <w:rPr>
                <w:sz w:val="22"/>
              </w:rPr>
              <w:t>and</w:t>
            </w:r>
            <w:r>
              <w:rPr>
                <w:spacing w:val="1"/>
                <w:sz w:val="22"/>
              </w:rPr>
              <w:t> </w:t>
            </w:r>
            <w:r>
              <w:rPr>
                <w:spacing w:val="-2"/>
                <w:sz w:val="22"/>
              </w:rPr>
              <w:t>Resources</w:t>
            </w:r>
          </w:p>
        </w:tc>
        <w:tc>
          <w:tcPr>
            <w:tcW w:w="1887" w:type="dxa"/>
          </w:tcPr>
          <w:p>
            <w:pPr>
              <w:pStyle w:val="TableParagraph"/>
              <w:spacing w:line="249" w:lineRule="exact"/>
              <w:ind w:left="6" w:right="2"/>
              <w:jc w:val="center"/>
              <w:rPr>
                <w:sz w:val="22"/>
              </w:rPr>
            </w:pPr>
            <w:r>
              <w:rPr>
                <w:spacing w:val="-2"/>
                <w:sz w:val="22"/>
              </w:rPr>
              <w:t>0.200</w:t>
            </w:r>
          </w:p>
        </w:tc>
        <w:tc>
          <w:tcPr>
            <w:tcW w:w="1772" w:type="dxa"/>
          </w:tcPr>
          <w:p>
            <w:pPr>
              <w:pStyle w:val="TableParagraph"/>
              <w:spacing w:line="249" w:lineRule="exact"/>
              <w:ind w:left="33"/>
              <w:jc w:val="center"/>
              <w:rPr>
                <w:sz w:val="22"/>
              </w:rPr>
            </w:pPr>
            <w:r>
              <w:rPr>
                <w:spacing w:val="-2"/>
                <w:sz w:val="22"/>
              </w:rPr>
              <w:t>0.235</w:t>
            </w:r>
          </w:p>
        </w:tc>
        <w:tc>
          <w:tcPr>
            <w:tcW w:w="740" w:type="dxa"/>
          </w:tcPr>
          <w:p>
            <w:pPr>
              <w:pStyle w:val="TableParagraph"/>
              <w:spacing w:line="249" w:lineRule="exact"/>
              <w:ind w:right="5"/>
              <w:jc w:val="center"/>
              <w:rPr>
                <w:sz w:val="22"/>
              </w:rPr>
            </w:pPr>
            <w:r>
              <w:rPr>
                <w:spacing w:val="-2"/>
                <w:sz w:val="22"/>
              </w:rPr>
              <w:t>&lt;.001</w:t>
            </w:r>
          </w:p>
        </w:tc>
        <w:tc>
          <w:tcPr>
            <w:tcW w:w="1488" w:type="dxa"/>
          </w:tcPr>
          <w:p>
            <w:pPr>
              <w:pStyle w:val="TableParagraph"/>
              <w:spacing w:line="248" w:lineRule="exact"/>
              <w:ind w:left="2" w:right="130"/>
              <w:jc w:val="center"/>
              <w:rPr>
                <w:sz w:val="22"/>
              </w:rPr>
            </w:pPr>
            <w:r>
              <w:rPr>
                <w:spacing w:val="-2"/>
                <w:sz w:val="22"/>
              </w:rPr>
              <w:t>Significant</w:t>
            </w:r>
          </w:p>
          <w:p>
            <w:pPr>
              <w:pStyle w:val="TableParagraph"/>
              <w:spacing w:line="238" w:lineRule="exact"/>
              <w:ind w:right="130"/>
              <w:jc w:val="center"/>
              <w:rPr>
                <w:sz w:val="22"/>
              </w:rPr>
            </w:pPr>
            <w:r>
              <w:rPr>
                <w:spacing w:val="-5"/>
                <w:sz w:val="22"/>
              </w:rPr>
              <w:t>**</w:t>
            </w:r>
          </w:p>
        </w:tc>
        <w:tc>
          <w:tcPr>
            <w:tcW w:w="1438" w:type="dxa"/>
          </w:tcPr>
          <w:p>
            <w:pPr>
              <w:pStyle w:val="TableParagraph"/>
              <w:spacing w:line="249" w:lineRule="exact"/>
              <w:ind w:right="111"/>
              <w:jc w:val="right"/>
              <w:rPr>
                <w:sz w:val="22"/>
              </w:rPr>
            </w:pPr>
            <w:r>
              <w:rPr>
                <w:sz w:val="22"/>
              </w:rPr>
              <w:t>Ho</w:t>
            </w:r>
            <w:r>
              <w:rPr>
                <w:spacing w:val="-1"/>
                <w:sz w:val="22"/>
              </w:rPr>
              <w:t> </w:t>
            </w:r>
            <w:r>
              <w:rPr>
                <w:spacing w:val="-2"/>
                <w:sz w:val="22"/>
              </w:rPr>
              <w:t>Rejected</w:t>
            </w:r>
          </w:p>
        </w:tc>
      </w:tr>
      <w:tr>
        <w:trPr>
          <w:trHeight w:val="754" w:hRule="atLeast"/>
        </w:trPr>
        <w:tc>
          <w:tcPr>
            <w:tcW w:w="2045" w:type="dxa"/>
          </w:tcPr>
          <w:p>
            <w:pPr>
              <w:pStyle w:val="TableParagraph"/>
              <w:ind w:left="108" w:right="507"/>
              <w:rPr>
                <w:sz w:val="22"/>
              </w:rPr>
            </w:pPr>
            <w:r>
              <w:rPr>
                <w:sz w:val="22"/>
              </w:rPr>
              <w:t>Teacher</w:t>
            </w:r>
            <w:r>
              <w:rPr>
                <w:spacing w:val="-14"/>
                <w:sz w:val="22"/>
              </w:rPr>
              <w:t> </w:t>
            </w:r>
            <w:r>
              <w:rPr>
                <w:sz w:val="22"/>
              </w:rPr>
              <w:t>Quality and Instruction</w:t>
            </w:r>
          </w:p>
          <w:p>
            <w:pPr>
              <w:pStyle w:val="TableParagraph"/>
              <w:tabs>
                <w:tab w:pos="9361" w:val="left" w:leader="none"/>
              </w:tabs>
              <w:spacing w:line="233" w:lineRule="exact"/>
              <w:ind w:left="-15" w:right="-7330"/>
              <w:rPr>
                <w:sz w:val="22"/>
              </w:rPr>
            </w:pPr>
            <w:r>
              <w:rPr>
                <w:spacing w:val="67"/>
                <w:sz w:val="22"/>
                <w:u w:val="single" w:color="7E7E7E"/>
              </w:rPr>
              <w:t> </w:t>
            </w:r>
            <w:r>
              <w:rPr>
                <w:spacing w:val="-2"/>
                <w:sz w:val="22"/>
                <w:u w:val="single" w:color="7E7E7E"/>
              </w:rPr>
              <w:t>Delivery</w:t>
            </w:r>
            <w:r>
              <w:rPr>
                <w:sz w:val="22"/>
                <w:u w:val="single" w:color="7E7E7E"/>
              </w:rPr>
              <w:tab/>
            </w:r>
          </w:p>
        </w:tc>
        <w:tc>
          <w:tcPr>
            <w:tcW w:w="1887" w:type="dxa"/>
          </w:tcPr>
          <w:p>
            <w:pPr>
              <w:pStyle w:val="TableParagraph"/>
              <w:spacing w:line="249" w:lineRule="exact"/>
              <w:ind w:left="6" w:right="2"/>
              <w:jc w:val="center"/>
              <w:rPr>
                <w:sz w:val="22"/>
              </w:rPr>
            </w:pPr>
            <w:r>
              <w:rPr>
                <w:spacing w:val="-2"/>
                <w:sz w:val="22"/>
              </w:rPr>
              <w:t>0.200</w:t>
            </w:r>
          </w:p>
        </w:tc>
        <w:tc>
          <w:tcPr>
            <w:tcW w:w="1772" w:type="dxa"/>
          </w:tcPr>
          <w:p>
            <w:pPr>
              <w:pStyle w:val="TableParagraph"/>
              <w:spacing w:line="249" w:lineRule="exact"/>
              <w:ind w:left="33"/>
              <w:jc w:val="center"/>
              <w:rPr>
                <w:sz w:val="22"/>
              </w:rPr>
            </w:pPr>
            <w:r>
              <w:rPr>
                <w:spacing w:val="-2"/>
                <w:sz w:val="22"/>
              </w:rPr>
              <w:t>0.215</w:t>
            </w:r>
          </w:p>
        </w:tc>
        <w:tc>
          <w:tcPr>
            <w:tcW w:w="740" w:type="dxa"/>
          </w:tcPr>
          <w:p>
            <w:pPr>
              <w:pStyle w:val="TableParagraph"/>
              <w:spacing w:line="249" w:lineRule="exact"/>
              <w:ind w:right="5"/>
              <w:jc w:val="center"/>
              <w:rPr>
                <w:sz w:val="22"/>
              </w:rPr>
            </w:pPr>
            <w:r>
              <w:rPr>
                <w:spacing w:val="-2"/>
                <w:sz w:val="22"/>
              </w:rPr>
              <w:t>&lt;.001</w:t>
            </w:r>
          </w:p>
        </w:tc>
        <w:tc>
          <w:tcPr>
            <w:tcW w:w="1488" w:type="dxa"/>
          </w:tcPr>
          <w:p>
            <w:pPr>
              <w:pStyle w:val="TableParagraph"/>
              <w:spacing w:line="248" w:lineRule="exact"/>
              <w:ind w:left="2" w:right="130"/>
              <w:jc w:val="center"/>
              <w:rPr>
                <w:sz w:val="22"/>
              </w:rPr>
            </w:pPr>
            <w:r>
              <w:rPr>
                <w:spacing w:val="-2"/>
                <w:sz w:val="22"/>
              </w:rPr>
              <w:t>Significant</w:t>
            </w:r>
          </w:p>
          <w:p>
            <w:pPr>
              <w:pStyle w:val="TableParagraph"/>
              <w:spacing w:line="252" w:lineRule="exact"/>
              <w:ind w:right="130"/>
              <w:jc w:val="center"/>
              <w:rPr>
                <w:sz w:val="22"/>
              </w:rPr>
            </w:pPr>
            <w:r>
              <w:rPr>
                <w:spacing w:val="-5"/>
                <w:sz w:val="22"/>
              </w:rPr>
              <w:t>**</w:t>
            </w:r>
          </w:p>
        </w:tc>
        <w:tc>
          <w:tcPr>
            <w:tcW w:w="1438" w:type="dxa"/>
          </w:tcPr>
          <w:p>
            <w:pPr>
              <w:pStyle w:val="TableParagraph"/>
              <w:spacing w:line="249" w:lineRule="exact"/>
              <w:ind w:right="111"/>
              <w:jc w:val="right"/>
              <w:rPr>
                <w:sz w:val="22"/>
              </w:rPr>
            </w:pPr>
            <w:r>
              <w:rPr>
                <w:sz w:val="22"/>
              </w:rPr>
              <w:t>Ho</w:t>
            </w:r>
            <w:r>
              <w:rPr>
                <w:spacing w:val="-1"/>
                <w:sz w:val="22"/>
              </w:rPr>
              <w:t> </w:t>
            </w:r>
            <w:r>
              <w:rPr>
                <w:spacing w:val="-2"/>
                <w:sz w:val="22"/>
              </w:rPr>
              <w:t>Rejected</w:t>
            </w:r>
          </w:p>
        </w:tc>
      </w:tr>
    </w:tbl>
    <w:p>
      <w:pPr>
        <w:pStyle w:val="BodyText"/>
        <w:spacing w:before="192"/>
        <w:ind w:left="0"/>
        <w:jc w:val="left"/>
        <w:rPr>
          <w:b/>
        </w:rPr>
      </w:pPr>
    </w:p>
    <w:p>
      <w:pPr>
        <w:pStyle w:val="BodyText"/>
        <w:ind w:right="357" w:firstLine="720"/>
      </w:pPr>
      <w:r>
        <w:rPr/>
        <w:t>Table</w:t>
      </w:r>
      <w:r>
        <w:rPr>
          <w:spacing w:val="-4"/>
        </w:rPr>
        <w:t> </w:t>
      </w:r>
      <w:r>
        <w:rPr/>
        <w:t>5</w:t>
      </w:r>
      <w:r>
        <w:rPr>
          <w:spacing w:val="-7"/>
        </w:rPr>
        <w:t> </w:t>
      </w:r>
      <w:r>
        <w:rPr/>
        <w:t>presents</w:t>
      </w:r>
      <w:r>
        <w:rPr>
          <w:spacing w:val="-4"/>
        </w:rPr>
        <w:t> </w:t>
      </w:r>
      <w:r>
        <w:rPr/>
        <w:t>the</w:t>
      </w:r>
      <w:r>
        <w:rPr>
          <w:spacing w:val="-4"/>
        </w:rPr>
        <w:t> </w:t>
      </w:r>
      <w:r>
        <w:rPr/>
        <w:t>significant</w:t>
      </w:r>
      <w:r>
        <w:rPr>
          <w:spacing w:val="-5"/>
        </w:rPr>
        <w:t> </w:t>
      </w:r>
      <w:r>
        <w:rPr/>
        <w:t>predictors</w:t>
      </w:r>
      <w:r>
        <w:rPr>
          <w:spacing w:val="-3"/>
        </w:rPr>
        <w:t> </w:t>
      </w:r>
      <w:r>
        <w:rPr/>
        <w:t>of</w:t>
      </w:r>
      <w:r>
        <w:rPr>
          <w:spacing w:val="-6"/>
        </w:rPr>
        <w:t> </w:t>
      </w:r>
      <w:r>
        <w:rPr/>
        <w:t>student</w:t>
      </w:r>
      <w:r>
        <w:rPr>
          <w:spacing w:val="-5"/>
        </w:rPr>
        <w:t> </w:t>
      </w:r>
      <w:r>
        <w:rPr/>
        <w:t>satisfaction</w:t>
      </w:r>
      <w:r>
        <w:rPr>
          <w:spacing w:val="-6"/>
        </w:rPr>
        <w:t> </w:t>
      </w:r>
      <w:r>
        <w:rPr/>
        <w:t>among</w:t>
      </w:r>
      <w:r>
        <w:rPr>
          <w:spacing w:val="-5"/>
        </w:rPr>
        <w:t> </w:t>
      </w:r>
      <w:r>
        <w:rPr/>
        <w:t>the</w:t>
      </w:r>
      <w:r>
        <w:rPr>
          <w:spacing w:val="-6"/>
        </w:rPr>
        <w:t> </w:t>
      </w:r>
      <w:r>
        <w:rPr/>
        <w:t>elementary</w:t>
      </w:r>
      <w:r>
        <w:rPr>
          <w:spacing w:val="-13"/>
        </w:rPr>
        <w:t> </w:t>
      </w:r>
      <w:r>
        <w:rPr/>
        <w:t>students</w:t>
      </w:r>
      <w:r>
        <w:rPr>
          <w:spacing w:val="-6"/>
        </w:rPr>
        <w:t> </w:t>
      </w:r>
      <w:r>
        <w:rPr/>
        <w:t>at UCLM. All five dimensions, including student support services and extracurricular activities, learning environment and peer interaction, curriculum</w:t>
      </w:r>
      <w:r>
        <w:rPr>
          <w:spacing w:val="-2"/>
        </w:rPr>
        <w:t> </w:t>
      </w:r>
      <w:r>
        <w:rPr/>
        <w:t>and academic workload, school facilities and resources, and teacher quality and instruction delivery, were found to be significant predictors of satisfaction. It implies</w:t>
      </w:r>
    </w:p>
    <w:p>
      <w:pPr>
        <w:pStyle w:val="BodyText"/>
        <w:spacing w:after="0"/>
        <w:sectPr>
          <w:pgSz w:w="12240" w:h="15840"/>
          <w:pgMar w:header="98" w:footer="938" w:top="1340" w:bottom="1160" w:left="720" w:right="1080"/>
        </w:sectPr>
      </w:pPr>
    </w:p>
    <w:p>
      <w:pPr>
        <w:pStyle w:val="BodyText"/>
        <w:spacing w:before="104"/>
        <w:ind w:right="364"/>
      </w:pPr>
      <w:r>
        <w:rPr/>
        <w:t>that</w:t>
      </w:r>
      <w:r>
        <w:rPr>
          <w:spacing w:val="-13"/>
        </w:rPr>
        <w:t> </w:t>
      </w:r>
      <w:r>
        <w:rPr/>
        <w:t>the</w:t>
      </w:r>
      <w:r>
        <w:rPr>
          <w:spacing w:val="-12"/>
        </w:rPr>
        <w:t> </w:t>
      </w:r>
      <w:r>
        <w:rPr/>
        <w:t>holistic</w:t>
      </w:r>
      <w:r>
        <w:rPr>
          <w:spacing w:val="-14"/>
        </w:rPr>
        <w:t> </w:t>
      </w:r>
      <w:r>
        <w:rPr/>
        <w:t>academic</w:t>
      </w:r>
      <w:r>
        <w:rPr>
          <w:spacing w:val="-12"/>
        </w:rPr>
        <w:t> </w:t>
      </w:r>
      <w:r>
        <w:rPr/>
        <w:t>experience,</w:t>
      </w:r>
      <w:r>
        <w:rPr>
          <w:spacing w:val="-13"/>
        </w:rPr>
        <w:t> </w:t>
      </w:r>
      <w:r>
        <w:rPr/>
        <w:t>spanning</w:t>
      </w:r>
      <w:r>
        <w:rPr>
          <w:spacing w:val="-13"/>
        </w:rPr>
        <w:t> </w:t>
      </w:r>
      <w:r>
        <w:rPr/>
        <w:t>instruction,</w:t>
      </w:r>
      <w:r>
        <w:rPr>
          <w:spacing w:val="-14"/>
        </w:rPr>
        <w:t> </w:t>
      </w:r>
      <w:r>
        <w:rPr/>
        <w:t>curriculum,</w:t>
      </w:r>
      <w:r>
        <w:rPr>
          <w:spacing w:val="-12"/>
        </w:rPr>
        <w:t> </w:t>
      </w:r>
      <w:r>
        <w:rPr/>
        <w:t>environment,</w:t>
      </w:r>
      <w:r>
        <w:rPr>
          <w:spacing w:val="-14"/>
        </w:rPr>
        <w:t> </w:t>
      </w:r>
      <w:r>
        <w:rPr/>
        <w:t>facilities,</w:t>
      </w:r>
      <w:r>
        <w:rPr>
          <w:spacing w:val="-13"/>
        </w:rPr>
        <w:t> </w:t>
      </w:r>
      <w:r>
        <w:rPr/>
        <w:t>and</w:t>
      </w:r>
      <w:r>
        <w:rPr>
          <w:spacing w:val="-14"/>
        </w:rPr>
        <w:t> </w:t>
      </w:r>
      <w:r>
        <w:rPr/>
        <w:t>support services,</w:t>
      </w:r>
      <w:r>
        <w:rPr>
          <w:spacing w:val="-14"/>
        </w:rPr>
        <w:t> </w:t>
      </w:r>
      <w:r>
        <w:rPr/>
        <w:t>collectively</w:t>
      </w:r>
      <w:r>
        <w:rPr>
          <w:spacing w:val="-14"/>
        </w:rPr>
        <w:t> </w:t>
      </w:r>
      <w:r>
        <w:rPr/>
        <w:t>influences</w:t>
      </w:r>
      <w:r>
        <w:rPr>
          <w:spacing w:val="-14"/>
        </w:rPr>
        <w:t> </w:t>
      </w:r>
      <w:r>
        <w:rPr/>
        <w:t>the</w:t>
      </w:r>
      <w:r>
        <w:rPr>
          <w:spacing w:val="-12"/>
        </w:rPr>
        <w:t> </w:t>
      </w:r>
      <w:r>
        <w:rPr/>
        <w:t>overall</w:t>
      </w:r>
      <w:r>
        <w:rPr>
          <w:spacing w:val="-13"/>
        </w:rPr>
        <w:t> </w:t>
      </w:r>
      <w:r>
        <w:rPr/>
        <w:t>satisfaction</w:t>
      </w:r>
      <w:r>
        <w:rPr>
          <w:spacing w:val="-11"/>
        </w:rPr>
        <w:t> </w:t>
      </w:r>
      <w:r>
        <w:rPr/>
        <w:t>of</w:t>
      </w:r>
      <w:r>
        <w:rPr>
          <w:spacing w:val="-13"/>
        </w:rPr>
        <w:t> </w:t>
      </w:r>
      <w:r>
        <w:rPr/>
        <w:t>students.</w:t>
      </w:r>
      <w:r>
        <w:rPr>
          <w:spacing w:val="-13"/>
        </w:rPr>
        <w:t> </w:t>
      </w:r>
      <w:r>
        <w:rPr/>
        <w:t>Among</w:t>
      </w:r>
      <w:r>
        <w:rPr>
          <w:spacing w:val="-12"/>
        </w:rPr>
        <w:t> </w:t>
      </w:r>
      <w:r>
        <w:rPr/>
        <w:t>these,</w:t>
      </w:r>
      <w:r>
        <w:rPr>
          <w:spacing w:val="-13"/>
        </w:rPr>
        <w:t> </w:t>
      </w:r>
      <w:r>
        <w:rPr/>
        <w:t>the</w:t>
      </w:r>
      <w:r>
        <w:rPr>
          <w:spacing w:val="-13"/>
        </w:rPr>
        <w:t> </w:t>
      </w:r>
      <w:r>
        <w:rPr/>
        <w:t>learning</w:t>
      </w:r>
      <w:r>
        <w:rPr>
          <w:spacing w:val="-12"/>
        </w:rPr>
        <w:t> </w:t>
      </w:r>
      <w:r>
        <w:rPr/>
        <w:t>environment and</w:t>
      </w:r>
      <w:r>
        <w:rPr>
          <w:spacing w:val="-6"/>
        </w:rPr>
        <w:t> </w:t>
      </w:r>
      <w:r>
        <w:rPr/>
        <w:t>peer</w:t>
      </w:r>
      <w:r>
        <w:rPr>
          <w:spacing w:val="-7"/>
        </w:rPr>
        <w:t> </w:t>
      </w:r>
      <w:r>
        <w:rPr/>
        <w:t>interaction</w:t>
      </w:r>
      <w:r>
        <w:rPr>
          <w:spacing w:val="-9"/>
        </w:rPr>
        <w:t> </w:t>
      </w:r>
      <w:r>
        <w:rPr/>
        <w:t>obtained</w:t>
      </w:r>
      <w:r>
        <w:rPr>
          <w:spacing w:val="-8"/>
        </w:rPr>
        <w:t> </w:t>
      </w:r>
      <w:r>
        <w:rPr/>
        <w:t>the</w:t>
      </w:r>
      <w:r>
        <w:rPr>
          <w:spacing w:val="-8"/>
        </w:rPr>
        <w:t> </w:t>
      </w:r>
      <w:r>
        <w:rPr/>
        <w:t>highest</w:t>
      </w:r>
      <w:r>
        <w:rPr>
          <w:spacing w:val="-6"/>
        </w:rPr>
        <w:t> </w:t>
      </w:r>
      <w:r>
        <w:rPr/>
        <w:t>standardized</w:t>
      </w:r>
      <w:r>
        <w:rPr>
          <w:spacing w:val="-8"/>
        </w:rPr>
        <w:t> </w:t>
      </w:r>
      <w:r>
        <w:rPr/>
        <w:t>coefficient,</w:t>
      </w:r>
      <w:r>
        <w:rPr>
          <w:spacing w:val="-6"/>
        </w:rPr>
        <w:t> </w:t>
      </w:r>
      <w:r>
        <w:rPr/>
        <w:t>highlighting</w:t>
      </w:r>
      <w:r>
        <w:rPr>
          <w:spacing w:val="-9"/>
        </w:rPr>
        <w:t> </w:t>
      </w:r>
      <w:r>
        <w:rPr/>
        <w:t>their</w:t>
      </w:r>
      <w:r>
        <w:rPr>
          <w:spacing w:val="-6"/>
        </w:rPr>
        <w:t> </w:t>
      </w:r>
      <w:r>
        <w:rPr/>
        <w:t>critical</w:t>
      </w:r>
      <w:r>
        <w:rPr>
          <w:spacing w:val="-8"/>
        </w:rPr>
        <w:t> </w:t>
      </w:r>
      <w:r>
        <w:rPr/>
        <w:t>role</w:t>
      </w:r>
      <w:r>
        <w:rPr>
          <w:spacing w:val="-8"/>
        </w:rPr>
        <w:t> </w:t>
      </w:r>
      <w:r>
        <w:rPr/>
        <w:t>in</w:t>
      </w:r>
      <w:r>
        <w:rPr>
          <w:spacing w:val="-9"/>
        </w:rPr>
        <w:t> </w:t>
      </w:r>
      <w:r>
        <w:rPr/>
        <w:t>shaping student satisfaction. At the same time, teacher quality and instruction delivery had the lowest yet still significant influence.</w:t>
      </w:r>
    </w:p>
    <w:p>
      <w:pPr>
        <w:pStyle w:val="BodyText"/>
        <w:ind w:right="359" w:firstLine="720"/>
      </w:pPr>
      <w:r>
        <w:rPr/>
        <w:t>These findings suggest that student satisfaction is not dependent on a single factor but is multidimensional. A supportive and inclusive learning environment, engaging curriculum, accessible facilities, and comprehensive support services work in synergy to promote positive student experiences. Schools must therefore adopt a holistic approach to quality</w:t>
      </w:r>
      <w:r>
        <w:rPr>
          <w:spacing w:val="-4"/>
        </w:rPr>
        <w:t> </w:t>
      </w:r>
      <w:r>
        <w:rPr/>
        <w:t>assurance, ensuring</w:t>
      </w:r>
      <w:r>
        <w:rPr>
          <w:spacing w:val="-1"/>
        </w:rPr>
        <w:t> </w:t>
      </w:r>
      <w:r>
        <w:rPr/>
        <w:t>that improvements extend across all domains of the educational process. The strong predictive power of learning environments and peer interactions underscores the importance of fostering collaboration, inclusivity, and positive relationships among students. The consistent emphasis on teacher quality and curriculum design further highlights the centrality of instructional excellence in education.</w:t>
      </w:r>
    </w:p>
    <w:p>
      <w:pPr>
        <w:pStyle w:val="BodyText"/>
        <w:ind w:right="357" w:firstLine="720"/>
      </w:pPr>
      <w:r>
        <w:rPr/>
        <w:t>Recent studies support these findings, affirming that multiple dimensions significantly</w:t>
      </w:r>
      <w:r>
        <w:rPr>
          <w:spacing w:val="-1"/>
        </w:rPr>
        <w:t> </w:t>
      </w:r>
      <w:r>
        <w:rPr/>
        <w:t>contribute to student satisfaction. For instance, Elshami et al. (2021) highlighted that teaching quality, curriculum design,</w:t>
      </w:r>
      <w:r>
        <w:rPr>
          <w:spacing w:val="-4"/>
        </w:rPr>
        <w:t> </w:t>
      </w:r>
      <w:r>
        <w:rPr/>
        <w:t>and</w:t>
      </w:r>
      <w:r>
        <w:rPr>
          <w:spacing w:val="-5"/>
        </w:rPr>
        <w:t> </w:t>
      </w:r>
      <w:r>
        <w:rPr/>
        <w:t>learning</w:t>
      </w:r>
      <w:r>
        <w:rPr>
          <w:spacing w:val="-4"/>
        </w:rPr>
        <w:t> </w:t>
      </w:r>
      <w:r>
        <w:rPr/>
        <w:t>resources</w:t>
      </w:r>
      <w:r>
        <w:rPr>
          <w:spacing w:val="-3"/>
        </w:rPr>
        <w:t> </w:t>
      </w:r>
      <w:r>
        <w:rPr/>
        <w:t>are</w:t>
      </w:r>
      <w:r>
        <w:rPr>
          <w:spacing w:val="-4"/>
        </w:rPr>
        <w:t> </w:t>
      </w:r>
      <w:r>
        <w:rPr/>
        <w:t>key</w:t>
      </w:r>
      <w:r>
        <w:rPr>
          <w:spacing w:val="-10"/>
        </w:rPr>
        <w:t> </w:t>
      </w:r>
      <w:r>
        <w:rPr/>
        <w:t>determinants</w:t>
      </w:r>
      <w:r>
        <w:rPr>
          <w:spacing w:val="-4"/>
        </w:rPr>
        <w:t> </w:t>
      </w:r>
      <w:r>
        <w:rPr/>
        <w:t>of</w:t>
      </w:r>
      <w:r>
        <w:rPr>
          <w:spacing w:val="-4"/>
        </w:rPr>
        <w:t> </w:t>
      </w:r>
      <w:r>
        <w:rPr/>
        <w:t>satisfaction</w:t>
      </w:r>
      <w:r>
        <w:rPr>
          <w:spacing w:val="-4"/>
        </w:rPr>
        <w:t> </w:t>
      </w:r>
      <w:r>
        <w:rPr/>
        <w:t>in</w:t>
      </w:r>
      <w:r>
        <w:rPr>
          <w:spacing w:val="-4"/>
        </w:rPr>
        <w:t> </w:t>
      </w:r>
      <w:r>
        <w:rPr/>
        <w:t>higher</w:t>
      </w:r>
      <w:r>
        <w:rPr>
          <w:spacing w:val="-3"/>
        </w:rPr>
        <w:t> </w:t>
      </w:r>
      <w:r>
        <w:rPr/>
        <w:t>education</w:t>
      </w:r>
      <w:r>
        <w:rPr>
          <w:spacing w:val="-4"/>
        </w:rPr>
        <w:t> </w:t>
      </w:r>
      <w:r>
        <w:rPr/>
        <w:t>contexts.</w:t>
      </w:r>
      <w:r>
        <w:rPr>
          <w:spacing w:val="-3"/>
        </w:rPr>
        <w:t> </w:t>
      </w:r>
      <w:r>
        <w:rPr/>
        <w:t>Similarly, Richardson et al. (2022) argued that a supportive environment and positive peer interaction enhance both satisfaction</w:t>
      </w:r>
      <w:r>
        <w:rPr>
          <w:spacing w:val="-11"/>
        </w:rPr>
        <w:t> </w:t>
      </w:r>
      <w:r>
        <w:rPr/>
        <w:t>and</w:t>
      </w:r>
      <w:r>
        <w:rPr>
          <w:spacing w:val="-12"/>
        </w:rPr>
        <w:t> </w:t>
      </w:r>
      <w:r>
        <w:rPr/>
        <w:t>academic</w:t>
      </w:r>
      <w:r>
        <w:rPr>
          <w:spacing w:val="-10"/>
        </w:rPr>
        <w:t> </w:t>
      </w:r>
      <w:r>
        <w:rPr/>
        <w:t>performance.</w:t>
      </w:r>
      <w:r>
        <w:rPr>
          <w:spacing w:val="-10"/>
        </w:rPr>
        <w:t> </w:t>
      </w:r>
      <w:r>
        <w:rPr/>
        <w:t>Moreover,</w:t>
      </w:r>
      <w:r>
        <w:rPr>
          <w:spacing w:val="-10"/>
        </w:rPr>
        <w:t> </w:t>
      </w:r>
      <w:r>
        <w:rPr/>
        <w:t>Al-Kumaim</w:t>
      </w:r>
      <w:r>
        <w:rPr>
          <w:spacing w:val="-14"/>
        </w:rPr>
        <w:t> </w:t>
      </w:r>
      <w:r>
        <w:rPr/>
        <w:t>et</w:t>
      </w:r>
      <w:r>
        <w:rPr>
          <w:spacing w:val="-10"/>
        </w:rPr>
        <w:t> </w:t>
      </w:r>
      <w:r>
        <w:rPr/>
        <w:t>al.</w:t>
      </w:r>
      <w:r>
        <w:rPr>
          <w:spacing w:val="-12"/>
        </w:rPr>
        <w:t> </w:t>
      </w:r>
      <w:r>
        <w:rPr/>
        <w:t>(2021)</w:t>
      </w:r>
      <w:r>
        <w:rPr>
          <w:spacing w:val="-10"/>
        </w:rPr>
        <w:t> </w:t>
      </w:r>
      <w:r>
        <w:rPr/>
        <w:t>emphasized</w:t>
      </w:r>
      <w:r>
        <w:rPr>
          <w:spacing w:val="-10"/>
        </w:rPr>
        <w:t> </w:t>
      </w:r>
      <w:r>
        <w:rPr/>
        <w:t>the</w:t>
      </w:r>
      <w:r>
        <w:rPr>
          <w:spacing w:val="-10"/>
        </w:rPr>
        <w:t> </w:t>
      </w:r>
      <w:r>
        <w:rPr/>
        <w:t>integrated</w:t>
      </w:r>
      <w:r>
        <w:rPr>
          <w:spacing w:val="-10"/>
        </w:rPr>
        <w:t> </w:t>
      </w:r>
      <w:r>
        <w:rPr/>
        <w:t>role of facilities, support services, and extracurricular activities in fostering students' engagement and holistic development. These findings align with the present study, reinforcing that student satisfaction arises from the combined influence of instructional, environmental, and institutional factors.</w:t>
      </w:r>
    </w:p>
    <w:p>
      <w:pPr>
        <w:pStyle w:val="BodyText"/>
        <w:ind w:left="0"/>
        <w:jc w:val="left"/>
      </w:pPr>
    </w:p>
    <w:p>
      <w:pPr>
        <w:pStyle w:val="BodyText"/>
        <w:spacing w:before="6"/>
        <w:ind w:left="0"/>
        <w:jc w:val="left"/>
      </w:pPr>
    </w:p>
    <w:p>
      <w:pPr>
        <w:pStyle w:val="Heading2"/>
        <w:spacing w:before="1"/>
        <w:ind w:left="720" w:right="0"/>
        <w:jc w:val="left"/>
      </w:pPr>
      <w:r>
        <w:rPr>
          <w:spacing w:val="-2"/>
        </w:rPr>
        <w:t>Conclusion</w:t>
      </w:r>
    </w:p>
    <w:p>
      <w:pPr>
        <w:pStyle w:val="BodyText"/>
        <w:spacing w:before="175"/>
        <w:ind w:right="353" w:firstLine="720"/>
      </w:pPr>
      <w:r>
        <w:rPr/>
        <w:t>Student satisfaction is a multidimensional construct that reflects the ability of educational institutions</w:t>
      </w:r>
      <w:r>
        <w:rPr>
          <w:spacing w:val="-3"/>
        </w:rPr>
        <w:t> </w:t>
      </w:r>
      <w:r>
        <w:rPr/>
        <w:t>to</w:t>
      </w:r>
      <w:r>
        <w:rPr>
          <w:spacing w:val="-4"/>
        </w:rPr>
        <w:t> </w:t>
      </w:r>
      <w:r>
        <w:rPr/>
        <w:t>effectively</w:t>
      </w:r>
      <w:r>
        <w:rPr>
          <w:spacing w:val="-10"/>
        </w:rPr>
        <w:t> </w:t>
      </w:r>
      <w:r>
        <w:rPr/>
        <w:t>respond</w:t>
      </w:r>
      <w:r>
        <w:rPr>
          <w:spacing w:val="-2"/>
        </w:rPr>
        <w:t> </w:t>
      </w:r>
      <w:r>
        <w:rPr/>
        <w:t>to</w:t>
      </w:r>
      <w:r>
        <w:rPr>
          <w:spacing w:val="-6"/>
        </w:rPr>
        <w:t> </w:t>
      </w:r>
      <w:r>
        <w:rPr/>
        <w:t>the</w:t>
      </w:r>
      <w:r>
        <w:rPr>
          <w:spacing w:val="-3"/>
        </w:rPr>
        <w:t> </w:t>
      </w:r>
      <w:r>
        <w:rPr/>
        <w:t>academic,</w:t>
      </w:r>
      <w:r>
        <w:rPr>
          <w:spacing w:val="-2"/>
        </w:rPr>
        <w:t> </w:t>
      </w:r>
      <w:r>
        <w:rPr/>
        <w:t>social,</w:t>
      </w:r>
      <w:r>
        <w:rPr>
          <w:spacing w:val="-5"/>
        </w:rPr>
        <w:t> </w:t>
      </w:r>
      <w:r>
        <w:rPr/>
        <w:t>and</w:t>
      </w:r>
      <w:r>
        <w:rPr>
          <w:spacing w:val="-2"/>
        </w:rPr>
        <w:t> </w:t>
      </w:r>
      <w:r>
        <w:rPr/>
        <w:t>developmental</w:t>
      </w:r>
      <w:r>
        <w:rPr>
          <w:spacing w:val="-2"/>
        </w:rPr>
        <w:t> </w:t>
      </w:r>
      <w:r>
        <w:rPr/>
        <w:t>needs</w:t>
      </w:r>
      <w:r>
        <w:rPr>
          <w:spacing w:val="-2"/>
        </w:rPr>
        <w:t> </w:t>
      </w:r>
      <w:r>
        <w:rPr/>
        <w:t>of</w:t>
      </w:r>
      <w:r>
        <w:rPr>
          <w:spacing w:val="-5"/>
        </w:rPr>
        <w:t> </w:t>
      </w:r>
      <w:r>
        <w:rPr/>
        <w:t>adolescent</w:t>
      </w:r>
      <w:r>
        <w:rPr>
          <w:spacing w:val="-2"/>
        </w:rPr>
        <w:t> </w:t>
      </w:r>
      <w:r>
        <w:rPr/>
        <w:t>learners. The deliberate attention to teacher quality and instructional delivery, curriculum relevance and workload balance, school facilities and resources, learning environment and peer interaction, as well as student support services and extracurricular opportunities, is vital in ensuring that junior high students experience both</w:t>
      </w:r>
      <w:r>
        <w:rPr>
          <w:spacing w:val="-8"/>
        </w:rPr>
        <w:t> </w:t>
      </w:r>
      <w:r>
        <w:rPr/>
        <w:t>academic</w:t>
      </w:r>
      <w:r>
        <w:rPr>
          <w:spacing w:val="-5"/>
        </w:rPr>
        <w:t> </w:t>
      </w:r>
      <w:r>
        <w:rPr/>
        <w:t>growth</w:t>
      </w:r>
      <w:r>
        <w:rPr>
          <w:spacing w:val="-10"/>
        </w:rPr>
        <w:t> </w:t>
      </w:r>
      <w:r>
        <w:rPr/>
        <w:t>and</w:t>
      </w:r>
      <w:r>
        <w:rPr>
          <w:spacing w:val="-5"/>
        </w:rPr>
        <w:t> </w:t>
      </w:r>
      <w:r>
        <w:rPr/>
        <w:t>personal</w:t>
      </w:r>
      <w:r>
        <w:rPr>
          <w:spacing w:val="-7"/>
        </w:rPr>
        <w:t> </w:t>
      </w:r>
      <w:r>
        <w:rPr/>
        <w:t>development.</w:t>
      </w:r>
      <w:r>
        <w:rPr>
          <w:spacing w:val="-7"/>
        </w:rPr>
        <w:t> </w:t>
      </w:r>
      <w:r>
        <w:rPr/>
        <w:t>A</w:t>
      </w:r>
      <w:r>
        <w:rPr>
          <w:spacing w:val="-8"/>
        </w:rPr>
        <w:t> </w:t>
      </w:r>
      <w:r>
        <w:rPr/>
        <w:t>significant</w:t>
      </w:r>
      <w:r>
        <w:rPr>
          <w:spacing w:val="-6"/>
        </w:rPr>
        <w:t> </w:t>
      </w:r>
      <w:r>
        <w:rPr/>
        <w:t>contribution</w:t>
      </w:r>
      <w:r>
        <w:rPr>
          <w:spacing w:val="-8"/>
        </w:rPr>
        <w:t> </w:t>
      </w:r>
      <w:r>
        <w:rPr/>
        <w:t>of</w:t>
      </w:r>
      <w:r>
        <w:rPr>
          <w:spacing w:val="-7"/>
        </w:rPr>
        <w:t> </w:t>
      </w:r>
      <w:r>
        <w:rPr/>
        <w:t>this</w:t>
      </w:r>
      <w:r>
        <w:rPr>
          <w:spacing w:val="-7"/>
        </w:rPr>
        <w:t> </w:t>
      </w:r>
      <w:r>
        <w:rPr/>
        <w:t>study</w:t>
      </w:r>
      <w:r>
        <w:rPr>
          <w:spacing w:val="-13"/>
        </w:rPr>
        <w:t> </w:t>
      </w:r>
      <w:r>
        <w:rPr/>
        <w:t>is</w:t>
      </w:r>
      <w:r>
        <w:rPr>
          <w:spacing w:val="-7"/>
        </w:rPr>
        <w:t> </w:t>
      </w:r>
      <w:r>
        <w:rPr/>
        <w:t>the</w:t>
      </w:r>
      <w:r>
        <w:rPr>
          <w:spacing w:val="-7"/>
        </w:rPr>
        <w:t> </w:t>
      </w:r>
      <w:r>
        <w:rPr/>
        <w:t>recognition that, at the junior high level, the interaction between curriculum demands, supportive learning environments, and extracurricular engagement fosters a more profound sense of identity formation, resilience,</w:t>
      </w:r>
      <w:r>
        <w:rPr>
          <w:spacing w:val="-9"/>
        </w:rPr>
        <w:t> </w:t>
      </w:r>
      <w:r>
        <w:rPr/>
        <w:t>and</w:t>
      </w:r>
      <w:r>
        <w:rPr>
          <w:spacing w:val="-12"/>
        </w:rPr>
        <w:t> </w:t>
      </w:r>
      <w:r>
        <w:rPr/>
        <w:t>academic</w:t>
      </w:r>
      <w:r>
        <w:rPr>
          <w:spacing w:val="-8"/>
        </w:rPr>
        <w:t> </w:t>
      </w:r>
      <w:r>
        <w:rPr/>
        <w:t>motivation.</w:t>
      </w:r>
      <w:r>
        <w:rPr>
          <w:spacing w:val="-10"/>
        </w:rPr>
        <w:t> </w:t>
      </w:r>
      <w:r>
        <w:rPr/>
        <w:t>The</w:t>
      </w:r>
      <w:r>
        <w:rPr>
          <w:spacing w:val="-11"/>
        </w:rPr>
        <w:t> </w:t>
      </w:r>
      <w:r>
        <w:rPr/>
        <w:t>study</w:t>
      </w:r>
      <w:r>
        <w:rPr>
          <w:spacing w:val="-13"/>
        </w:rPr>
        <w:t> </w:t>
      </w:r>
      <w:r>
        <w:rPr/>
        <w:t>reinforces</w:t>
      </w:r>
      <w:r>
        <w:rPr>
          <w:spacing w:val="-12"/>
        </w:rPr>
        <w:t> </w:t>
      </w:r>
      <w:r>
        <w:rPr/>
        <w:t>and</w:t>
      </w:r>
      <w:r>
        <w:rPr>
          <w:spacing w:val="-10"/>
        </w:rPr>
        <w:t> </w:t>
      </w:r>
      <w:r>
        <w:rPr/>
        <w:t>extends</w:t>
      </w:r>
      <w:r>
        <w:rPr>
          <w:spacing w:val="-10"/>
        </w:rPr>
        <w:t> </w:t>
      </w:r>
      <w:r>
        <w:rPr/>
        <w:t>theoretical</w:t>
      </w:r>
      <w:r>
        <w:rPr>
          <w:spacing w:val="-10"/>
        </w:rPr>
        <w:t> </w:t>
      </w:r>
      <w:r>
        <w:rPr/>
        <w:t>frameworks</w:t>
      </w:r>
      <w:r>
        <w:rPr>
          <w:spacing w:val="-10"/>
        </w:rPr>
        <w:t> </w:t>
      </w:r>
      <w:r>
        <w:rPr/>
        <w:t>emphasizing student-centered</w:t>
      </w:r>
      <w:r>
        <w:rPr>
          <w:spacing w:val="-1"/>
        </w:rPr>
        <w:t> </w:t>
      </w:r>
      <w:r>
        <w:rPr/>
        <w:t>pedagogy, holistic support systems, and the alignment of curriculum</w:t>
      </w:r>
      <w:r>
        <w:rPr>
          <w:spacing w:val="-4"/>
        </w:rPr>
        <w:t> </w:t>
      </w:r>
      <w:r>
        <w:rPr/>
        <w:t>with</w:t>
      </w:r>
      <w:r>
        <w:rPr>
          <w:spacing w:val="-1"/>
        </w:rPr>
        <w:t> </w:t>
      </w:r>
      <w:r>
        <w:rPr/>
        <w:t>developmental needs, while offering practical implications for strengthening school policies and instructional practices.</w:t>
      </w:r>
    </w:p>
    <w:p>
      <w:pPr>
        <w:pStyle w:val="BodyText"/>
        <w:ind w:right="354" w:firstLine="720"/>
      </w:pPr>
      <w:r>
        <w:rPr/>
        <w:t>The study concluded that these key dimensions collectively shape the satisfaction of junior high students, demonstrating that targeted efforts in these areas can establish inclusive, future-oriented, and empowering</w:t>
      </w:r>
      <w:r>
        <w:rPr>
          <w:spacing w:val="-12"/>
        </w:rPr>
        <w:t> </w:t>
      </w:r>
      <w:r>
        <w:rPr/>
        <w:t>learning</w:t>
      </w:r>
      <w:r>
        <w:rPr>
          <w:spacing w:val="-12"/>
        </w:rPr>
        <w:t> </w:t>
      </w:r>
      <w:r>
        <w:rPr/>
        <w:t>environments</w:t>
      </w:r>
      <w:r>
        <w:rPr>
          <w:spacing w:val="-9"/>
        </w:rPr>
        <w:t> </w:t>
      </w:r>
      <w:r>
        <w:rPr/>
        <w:t>tailored</w:t>
      </w:r>
      <w:r>
        <w:rPr>
          <w:spacing w:val="-11"/>
        </w:rPr>
        <w:t> </w:t>
      </w:r>
      <w:r>
        <w:rPr/>
        <w:t>to</w:t>
      </w:r>
      <w:r>
        <w:rPr>
          <w:spacing w:val="-12"/>
        </w:rPr>
        <w:t> </w:t>
      </w:r>
      <w:r>
        <w:rPr/>
        <w:t>the</w:t>
      </w:r>
      <w:r>
        <w:rPr>
          <w:spacing w:val="-9"/>
        </w:rPr>
        <w:t> </w:t>
      </w:r>
      <w:r>
        <w:rPr/>
        <w:t>unique</w:t>
      </w:r>
      <w:r>
        <w:rPr>
          <w:spacing w:val="-9"/>
        </w:rPr>
        <w:t> </w:t>
      </w:r>
      <w:r>
        <w:rPr/>
        <w:t>challenges</w:t>
      </w:r>
      <w:r>
        <w:rPr>
          <w:spacing w:val="-11"/>
        </w:rPr>
        <w:t> </w:t>
      </w:r>
      <w:r>
        <w:rPr/>
        <w:t>and</w:t>
      </w:r>
      <w:r>
        <w:rPr>
          <w:spacing w:val="-9"/>
        </w:rPr>
        <w:t> </w:t>
      </w:r>
      <w:r>
        <w:rPr/>
        <w:t>aspirations</w:t>
      </w:r>
      <w:r>
        <w:rPr>
          <w:spacing w:val="-9"/>
        </w:rPr>
        <w:t> </w:t>
      </w:r>
      <w:r>
        <w:rPr/>
        <w:t>of</w:t>
      </w:r>
      <w:r>
        <w:rPr>
          <w:spacing w:val="-9"/>
        </w:rPr>
        <w:t> </w:t>
      </w:r>
      <w:r>
        <w:rPr/>
        <w:t>adolescent</w:t>
      </w:r>
      <w:r>
        <w:rPr>
          <w:spacing w:val="-10"/>
        </w:rPr>
        <w:t> </w:t>
      </w:r>
      <w:r>
        <w:rPr>
          <w:spacing w:val="-2"/>
        </w:rPr>
        <w:t>learners.</w:t>
      </w:r>
    </w:p>
    <w:p>
      <w:pPr>
        <w:pStyle w:val="BodyText"/>
        <w:ind w:left="0"/>
        <w:jc w:val="left"/>
      </w:pPr>
    </w:p>
    <w:p>
      <w:pPr>
        <w:pStyle w:val="BodyText"/>
        <w:spacing w:before="6"/>
        <w:ind w:left="0"/>
        <w:jc w:val="left"/>
      </w:pPr>
    </w:p>
    <w:p>
      <w:pPr>
        <w:pStyle w:val="Heading2"/>
        <w:ind w:left="720" w:right="0"/>
        <w:jc w:val="left"/>
      </w:pPr>
      <w:r>
        <w:rPr>
          <w:spacing w:val="-2"/>
        </w:rPr>
        <w:t>Recommendation</w:t>
      </w:r>
    </w:p>
    <w:p>
      <w:pPr>
        <w:pStyle w:val="BodyText"/>
        <w:spacing w:before="40"/>
        <w:ind w:left="0"/>
        <w:jc w:val="left"/>
        <w:rPr>
          <w:b/>
        </w:rPr>
      </w:pPr>
    </w:p>
    <w:p>
      <w:pPr>
        <w:pStyle w:val="BodyText"/>
        <w:ind w:right="357" w:firstLine="720"/>
      </w:pPr>
      <w:r>
        <w:rPr/>
        <w:t>The results revealed that the lowest-rated aspects of satisfaction among Junior High students centered</w:t>
      </w:r>
      <w:r>
        <w:rPr>
          <w:spacing w:val="-14"/>
        </w:rPr>
        <w:t> </w:t>
      </w:r>
      <w:r>
        <w:rPr/>
        <w:t>on</w:t>
      </w:r>
      <w:r>
        <w:rPr>
          <w:spacing w:val="-14"/>
        </w:rPr>
        <w:t> </w:t>
      </w:r>
      <w:r>
        <w:rPr/>
        <w:t>the</w:t>
      </w:r>
      <w:r>
        <w:rPr>
          <w:spacing w:val="-14"/>
        </w:rPr>
        <w:t> </w:t>
      </w:r>
      <w:r>
        <w:rPr/>
        <w:t>curriculum</w:t>
      </w:r>
      <w:r>
        <w:rPr>
          <w:spacing w:val="-13"/>
        </w:rPr>
        <w:t> </w:t>
      </w:r>
      <w:r>
        <w:rPr/>
        <w:t>and</w:t>
      </w:r>
      <w:r>
        <w:rPr>
          <w:spacing w:val="-14"/>
        </w:rPr>
        <w:t> </w:t>
      </w:r>
      <w:r>
        <w:rPr/>
        <w:t>academic</w:t>
      </w:r>
      <w:r>
        <w:rPr>
          <w:spacing w:val="-14"/>
        </w:rPr>
        <w:t> </w:t>
      </w:r>
      <w:r>
        <w:rPr/>
        <w:t>workload,</w:t>
      </w:r>
      <w:r>
        <w:rPr>
          <w:spacing w:val="-14"/>
        </w:rPr>
        <w:t> </w:t>
      </w:r>
      <w:r>
        <w:rPr/>
        <w:t>classroom</w:t>
      </w:r>
      <w:r>
        <w:rPr>
          <w:spacing w:val="-13"/>
        </w:rPr>
        <w:t> </w:t>
      </w:r>
      <w:r>
        <w:rPr/>
        <w:t>learning</w:t>
      </w:r>
      <w:r>
        <w:rPr>
          <w:spacing w:val="-14"/>
        </w:rPr>
        <w:t> </w:t>
      </w:r>
      <w:r>
        <w:rPr/>
        <w:t>environment,</w:t>
      </w:r>
      <w:r>
        <w:rPr>
          <w:spacing w:val="-13"/>
        </w:rPr>
        <w:t> </w:t>
      </w:r>
      <w:r>
        <w:rPr/>
        <w:t>and</w:t>
      </w:r>
      <w:r>
        <w:rPr>
          <w:spacing w:val="-14"/>
        </w:rPr>
        <w:t> </w:t>
      </w:r>
      <w:r>
        <w:rPr/>
        <w:t>specific</w:t>
      </w:r>
      <w:r>
        <w:rPr>
          <w:spacing w:val="-14"/>
        </w:rPr>
        <w:t> </w:t>
      </w:r>
      <w:r>
        <w:rPr/>
        <w:t>facilities. To address these, several strategic recommendations are proposed.</w:t>
      </w:r>
    </w:p>
    <w:p>
      <w:pPr>
        <w:pStyle w:val="BodyText"/>
        <w:spacing w:before="1"/>
        <w:ind w:left="0"/>
        <w:jc w:val="left"/>
      </w:pPr>
    </w:p>
    <w:p>
      <w:pPr>
        <w:pStyle w:val="BodyText"/>
        <w:ind w:right="356" w:firstLine="720"/>
      </w:pPr>
      <w:r>
        <w:rPr/>
        <w:t>First, in terms of the </w:t>
      </w:r>
      <w:r>
        <w:rPr>
          <w:b/>
        </w:rPr>
        <w:t>curriculum and academic workload</w:t>
      </w:r>
      <w:r>
        <w:rPr/>
        <w:t>, the school may consider conducting regular reviews of subject content to ensure alignment with the interests, abilities, and developmental readiness</w:t>
      </w:r>
      <w:r>
        <w:rPr>
          <w:spacing w:val="-1"/>
        </w:rPr>
        <w:t> </w:t>
      </w:r>
      <w:r>
        <w:rPr/>
        <w:t>of</w:t>
      </w:r>
      <w:r>
        <w:rPr>
          <w:spacing w:val="-1"/>
        </w:rPr>
        <w:t> </w:t>
      </w:r>
      <w:r>
        <w:rPr/>
        <w:t>adolescent</w:t>
      </w:r>
      <w:r>
        <w:rPr>
          <w:spacing w:val="-1"/>
        </w:rPr>
        <w:t> </w:t>
      </w:r>
      <w:r>
        <w:rPr/>
        <w:t>learners.</w:t>
      </w:r>
      <w:r>
        <w:rPr>
          <w:spacing w:val="-2"/>
        </w:rPr>
        <w:t> </w:t>
      </w:r>
      <w:r>
        <w:rPr/>
        <w:t>Integrating project-based</w:t>
      </w:r>
      <w:r>
        <w:rPr>
          <w:spacing w:val="-1"/>
        </w:rPr>
        <w:t> </w:t>
      </w:r>
      <w:r>
        <w:rPr/>
        <w:t>learning,</w:t>
      </w:r>
      <w:r>
        <w:rPr>
          <w:spacing w:val="-1"/>
        </w:rPr>
        <w:t> </w:t>
      </w:r>
      <w:r>
        <w:rPr/>
        <w:t>differentiated</w:t>
      </w:r>
      <w:r>
        <w:rPr>
          <w:spacing w:val="-1"/>
        </w:rPr>
        <w:t> </w:t>
      </w:r>
      <w:r>
        <w:rPr/>
        <w:t>instruction,</w:t>
      </w:r>
      <w:r>
        <w:rPr>
          <w:spacing w:val="-1"/>
        </w:rPr>
        <w:t> </w:t>
      </w:r>
      <w:r>
        <w:rPr/>
        <w:t>and</w:t>
      </w:r>
      <w:r>
        <w:rPr>
          <w:spacing w:val="-1"/>
        </w:rPr>
        <w:t> </w:t>
      </w:r>
      <w:r>
        <w:rPr/>
        <w:t>flexible pacing</w:t>
      </w:r>
      <w:r>
        <w:rPr>
          <w:spacing w:val="6"/>
        </w:rPr>
        <w:t> </w:t>
      </w:r>
      <w:r>
        <w:rPr/>
        <w:t>can</w:t>
      </w:r>
      <w:r>
        <w:rPr>
          <w:spacing w:val="9"/>
        </w:rPr>
        <w:t> </w:t>
      </w:r>
      <w:r>
        <w:rPr/>
        <w:t>help</w:t>
      </w:r>
      <w:r>
        <w:rPr>
          <w:spacing w:val="6"/>
        </w:rPr>
        <w:t> </w:t>
      </w:r>
      <w:r>
        <w:rPr/>
        <w:t>reduce</w:t>
      </w:r>
      <w:r>
        <w:rPr>
          <w:spacing w:val="12"/>
        </w:rPr>
        <w:t> </w:t>
      </w:r>
      <w:r>
        <w:rPr/>
        <w:t>academic</w:t>
      </w:r>
      <w:r>
        <w:rPr>
          <w:spacing w:val="11"/>
        </w:rPr>
        <w:t> </w:t>
      </w:r>
      <w:r>
        <w:rPr/>
        <w:t>strain</w:t>
      </w:r>
      <w:r>
        <w:rPr>
          <w:spacing w:val="8"/>
        </w:rPr>
        <w:t> </w:t>
      </w:r>
      <w:r>
        <w:rPr/>
        <w:t>while</w:t>
      </w:r>
      <w:r>
        <w:rPr>
          <w:spacing w:val="13"/>
        </w:rPr>
        <w:t> </w:t>
      </w:r>
      <w:r>
        <w:rPr/>
        <w:t>maintaining</w:t>
      </w:r>
      <w:r>
        <w:rPr>
          <w:spacing w:val="8"/>
        </w:rPr>
        <w:t> </w:t>
      </w:r>
      <w:r>
        <w:rPr/>
        <w:t>rigor.</w:t>
      </w:r>
      <w:r>
        <w:rPr>
          <w:spacing w:val="10"/>
        </w:rPr>
        <w:t> </w:t>
      </w:r>
      <w:r>
        <w:rPr/>
        <w:t>Teacher</w:t>
      </w:r>
      <w:r>
        <w:rPr>
          <w:spacing w:val="9"/>
        </w:rPr>
        <w:t> </w:t>
      </w:r>
      <w:r>
        <w:rPr/>
        <w:t>training</w:t>
      </w:r>
      <w:r>
        <w:rPr>
          <w:spacing w:val="8"/>
        </w:rPr>
        <w:t> </w:t>
      </w:r>
      <w:r>
        <w:rPr/>
        <w:t>on</w:t>
      </w:r>
      <w:r>
        <w:rPr>
          <w:spacing w:val="10"/>
        </w:rPr>
        <w:t> </w:t>
      </w:r>
      <w:r>
        <w:rPr/>
        <w:t>balancing</w:t>
      </w:r>
      <w:r>
        <w:rPr>
          <w:spacing w:val="11"/>
        </w:rPr>
        <w:t> </w:t>
      </w:r>
      <w:r>
        <w:rPr>
          <w:spacing w:val="-2"/>
        </w:rPr>
        <w:t>workload</w:t>
      </w:r>
    </w:p>
    <w:p>
      <w:pPr>
        <w:pStyle w:val="BodyText"/>
        <w:spacing w:after="0"/>
        <w:sectPr>
          <w:pgSz w:w="12240" w:h="15840"/>
          <w:pgMar w:header="98" w:footer="938" w:top="1340" w:bottom="1160" w:left="720" w:right="1080"/>
        </w:sectPr>
      </w:pPr>
    </w:p>
    <w:p>
      <w:pPr>
        <w:pStyle w:val="BodyText"/>
        <w:spacing w:before="104"/>
        <w:jc w:val="left"/>
      </w:pPr>
      <w:r>
        <w:rPr/>
        <w:t>distribution across subjects is also encouraged to promote a more manageable and meaningful learning</w:t>
      </w:r>
      <w:r>
        <w:rPr>
          <w:spacing w:val="80"/>
        </w:rPr>
        <w:t> </w:t>
      </w:r>
      <w:r>
        <w:rPr>
          <w:spacing w:val="-2"/>
        </w:rPr>
        <w:t>experience.</w:t>
      </w:r>
    </w:p>
    <w:p>
      <w:pPr>
        <w:pStyle w:val="BodyText"/>
        <w:spacing w:before="1"/>
        <w:ind w:left="0"/>
        <w:jc w:val="left"/>
      </w:pPr>
    </w:p>
    <w:p>
      <w:pPr>
        <w:pStyle w:val="BodyText"/>
        <w:spacing w:before="1"/>
        <w:ind w:right="356" w:firstLine="720"/>
      </w:pPr>
      <w:r>
        <w:rPr/>
        <w:t>Second, regarding the </w:t>
      </w:r>
      <w:r>
        <w:rPr>
          <w:b/>
        </w:rPr>
        <w:t>learning environment and peer interaction</w:t>
      </w:r>
      <w:r>
        <w:rPr/>
        <w:t>, programs that foster inclusivity, respect, and positive peer relationships should be strengthened. Initiatives such as peer mentoring, classroom guidance sessions, and anti-bullying campaigns can help create a safer and more welcoming</w:t>
      </w:r>
      <w:r>
        <w:rPr>
          <w:spacing w:val="-10"/>
        </w:rPr>
        <w:t> </w:t>
      </w:r>
      <w:r>
        <w:rPr/>
        <w:t>climate.</w:t>
      </w:r>
      <w:r>
        <w:rPr>
          <w:spacing w:val="-8"/>
        </w:rPr>
        <w:t> </w:t>
      </w:r>
      <w:r>
        <w:rPr/>
        <w:t>Teachers</w:t>
      </w:r>
      <w:r>
        <w:rPr>
          <w:spacing w:val="-11"/>
        </w:rPr>
        <w:t> </w:t>
      </w:r>
      <w:r>
        <w:rPr/>
        <w:t>should</w:t>
      </w:r>
      <w:r>
        <w:rPr>
          <w:spacing w:val="-10"/>
        </w:rPr>
        <w:t> </w:t>
      </w:r>
      <w:r>
        <w:rPr/>
        <w:t>also</w:t>
      </w:r>
      <w:r>
        <w:rPr>
          <w:spacing w:val="-11"/>
        </w:rPr>
        <w:t> </w:t>
      </w:r>
      <w:r>
        <w:rPr/>
        <w:t>be</w:t>
      </w:r>
      <w:r>
        <w:rPr>
          <w:spacing w:val="-11"/>
        </w:rPr>
        <w:t> </w:t>
      </w:r>
      <w:r>
        <w:rPr/>
        <w:t>supported</w:t>
      </w:r>
      <w:r>
        <w:rPr>
          <w:spacing w:val="-11"/>
        </w:rPr>
        <w:t> </w:t>
      </w:r>
      <w:r>
        <w:rPr/>
        <w:t>in</w:t>
      </w:r>
      <w:r>
        <w:rPr>
          <w:spacing w:val="-12"/>
        </w:rPr>
        <w:t> </w:t>
      </w:r>
      <w:r>
        <w:rPr/>
        <w:t>employing</w:t>
      </w:r>
      <w:r>
        <w:rPr>
          <w:spacing w:val="-8"/>
        </w:rPr>
        <w:t> </w:t>
      </w:r>
      <w:r>
        <w:rPr/>
        <w:t>classroom</w:t>
      </w:r>
      <w:r>
        <w:rPr>
          <w:spacing w:val="-13"/>
        </w:rPr>
        <w:t> </w:t>
      </w:r>
      <w:r>
        <w:rPr/>
        <w:t>management</w:t>
      </w:r>
      <w:r>
        <w:rPr>
          <w:spacing w:val="-9"/>
        </w:rPr>
        <w:t> </w:t>
      </w:r>
      <w:r>
        <w:rPr/>
        <w:t>strategies</w:t>
      </w:r>
      <w:r>
        <w:rPr>
          <w:spacing w:val="-11"/>
        </w:rPr>
        <w:t> </w:t>
      </w:r>
      <w:r>
        <w:rPr/>
        <w:t>that cultivate cooperation, empathy, and respect among students.</w:t>
      </w:r>
    </w:p>
    <w:p>
      <w:pPr>
        <w:pStyle w:val="BodyText"/>
        <w:spacing w:before="251"/>
        <w:ind w:right="361" w:firstLine="720"/>
      </w:pPr>
      <w:r>
        <w:rPr/>
        <w:t>Third, particular attention should be given to the maintenance of school facilities and resources, with</w:t>
      </w:r>
      <w:r>
        <w:rPr>
          <w:spacing w:val="-9"/>
        </w:rPr>
        <w:t> </w:t>
      </w:r>
      <w:r>
        <w:rPr/>
        <w:t>a</w:t>
      </w:r>
      <w:r>
        <w:rPr>
          <w:spacing w:val="-10"/>
        </w:rPr>
        <w:t> </w:t>
      </w:r>
      <w:r>
        <w:rPr/>
        <w:t>focus</w:t>
      </w:r>
      <w:r>
        <w:rPr>
          <w:spacing w:val="-10"/>
        </w:rPr>
        <w:t> </w:t>
      </w:r>
      <w:r>
        <w:rPr/>
        <w:t>on</w:t>
      </w:r>
      <w:r>
        <w:rPr>
          <w:spacing w:val="-11"/>
        </w:rPr>
        <w:t> </w:t>
      </w:r>
      <w:r>
        <w:rPr/>
        <w:t>restrooms,</w:t>
      </w:r>
      <w:r>
        <w:rPr>
          <w:spacing w:val="-7"/>
        </w:rPr>
        <w:t> </w:t>
      </w:r>
      <w:r>
        <w:rPr/>
        <w:t>classrooms,</w:t>
      </w:r>
      <w:r>
        <w:rPr>
          <w:spacing w:val="-7"/>
        </w:rPr>
        <w:t> </w:t>
      </w:r>
      <w:r>
        <w:rPr/>
        <w:t>and</w:t>
      </w:r>
      <w:r>
        <w:rPr>
          <w:spacing w:val="-8"/>
        </w:rPr>
        <w:t> </w:t>
      </w:r>
      <w:r>
        <w:rPr/>
        <w:t>other</w:t>
      </w:r>
      <w:r>
        <w:rPr>
          <w:spacing w:val="-8"/>
        </w:rPr>
        <w:t> </w:t>
      </w:r>
      <w:r>
        <w:rPr/>
        <w:t>basic</w:t>
      </w:r>
      <w:r>
        <w:rPr>
          <w:spacing w:val="-10"/>
        </w:rPr>
        <w:t> </w:t>
      </w:r>
      <w:r>
        <w:rPr/>
        <w:t>amenities,</w:t>
      </w:r>
      <w:r>
        <w:rPr>
          <w:spacing w:val="-10"/>
        </w:rPr>
        <w:t> </w:t>
      </w:r>
      <w:r>
        <w:rPr/>
        <w:t>as</w:t>
      </w:r>
      <w:r>
        <w:rPr>
          <w:spacing w:val="-12"/>
        </w:rPr>
        <w:t> </w:t>
      </w:r>
      <w:r>
        <w:rPr/>
        <w:t>these</w:t>
      </w:r>
      <w:r>
        <w:rPr>
          <w:spacing w:val="-8"/>
        </w:rPr>
        <w:t> </w:t>
      </w:r>
      <w:r>
        <w:rPr/>
        <w:t>directly</w:t>
      </w:r>
      <w:r>
        <w:rPr>
          <w:spacing w:val="-8"/>
        </w:rPr>
        <w:t> </w:t>
      </w:r>
      <w:r>
        <w:rPr/>
        <w:t>impact</w:t>
      </w:r>
      <w:r>
        <w:rPr>
          <w:spacing w:val="-7"/>
        </w:rPr>
        <w:t> </w:t>
      </w:r>
      <w:r>
        <w:rPr/>
        <w:t>students'</w:t>
      </w:r>
      <w:r>
        <w:rPr>
          <w:spacing w:val="-10"/>
        </w:rPr>
        <w:t> </w:t>
      </w:r>
      <w:r>
        <w:rPr/>
        <w:t>comfort and well being. Allocating budgetary support for sanitation, regular monitoring of facilities, and establishing student-led cleanliness campaigns can significantly improve satisfaction in this area.</w:t>
      </w:r>
    </w:p>
    <w:p>
      <w:pPr>
        <w:pStyle w:val="BodyText"/>
        <w:spacing w:before="1"/>
        <w:ind w:left="0"/>
        <w:jc w:val="left"/>
      </w:pPr>
    </w:p>
    <w:p>
      <w:pPr>
        <w:pStyle w:val="BodyText"/>
        <w:ind w:right="355" w:firstLine="720"/>
      </w:pPr>
      <w:r>
        <w:rPr/>
        <w:t>Overall, addressing these lowest-rated dimensions will not only enhance student satisfaction but also contribute to a more holistic and supportive junior high learning environment. By systematically improving workload balance, peer interactions, and facility conditions, the school strengthens its commitment to</w:t>
      </w:r>
      <w:r>
        <w:rPr>
          <w:spacing w:val="-1"/>
        </w:rPr>
        <w:t> </w:t>
      </w:r>
      <w:r>
        <w:rPr/>
        <w:t>fostering</w:t>
      </w:r>
      <w:r>
        <w:rPr>
          <w:spacing w:val="-1"/>
        </w:rPr>
        <w:t> </w:t>
      </w:r>
      <w:r>
        <w:rPr/>
        <w:t>both</w:t>
      </w:r>
      <w:r>
        <w:rPr>
          <w:spacing w:val="-3"/>
        </w:rPr>
        <w:t> </w:t>
      </w:r>
      <w:r>
        <w:rPr/>
        <w:t>academic success and</w:t>
      </w:r>
      <w:r>
        <w:rPr>
          <w:spacing w:val="-2"/>
        </w:rPr>
        <w:t> </w:t>
      </w:r>
      <w:r>
        <w:rPr/>
        <w:t>the</w:t>
      </w:r>
      <w:r>
        <w:rPr>
          <w:spacing w:val="-2"/>
        </w:rPr>
        <w:t> </w:t>
      </w:r>
      <w:r>
        <w:rPr/>
        <w:t>personal</w:t>
      </w:r>
      <w:r>
        <w:rPr>
          <w:spacing w:val="-2"/>
        </w:rPr>
        <w:t> </w:t>
      </w:r>
      <w:r>
        <w:rPr/>
        <w:t>growth</w:t>
      </w:r>
      <w:r>
        <w:rPr>
          <w:spacing w:val="-1"/>
        </w:rPr>
        <w:t> </w:t>
      </w:r>
      <w:r>
        <w:rPr/>
        <w:t>and healthy</w:t>
      </w:r>
      <w:r>
        <w:rPr>
          <w:spacing w:val="-9"/>
        </w:rPr>
        <w:t> </w:t>
      </w:r>
      <w:r>
        <w:rPr/>
        <w:t>being</w:t>
      </w:r>
      <w:r>
        <w:rPr>
          <w:spacing w:val="-1"/>
        </w:rPr>
        <w:t> </w:t>
      </w:r>
      <w:r>
        <w:rPr/>
        <w:t>of</w:t>
      </w:r>
      <w:r>
        <w:rPr>
          <w:spacing w:val="-2"/>
        </w:rPr>
        <w:t> </w:t>
      </w:r>
      <w:r>
        <w:rPr/>
        <w:t>its</w:t>
      </w:r>
      <w:r>
        <w:rPr>
          <w:spacing w:val="-2"/>
        </w:rPr>
        <w:t> </w:t>
      </w:r>
      <w:r>
        <w:rPr/>
        <w:t>students.</w:t>
      </w:r>
    </w:p>
    <w:p>
      <w:pPr>
        <w:pStyle w:val="BodyText"/>
        <w:ind w:left="0"/>
        <w:jc w:val="left"/>
      </w:pPr>
    </w:p>
    <w:p>
      <w:pPr>
        <w:pStyle w:val="BodyText"/>
        <w:spacing w:before="212"/>
        <w:ind w:left="0"/>
        <w:jc w:val="left"/>
      </w:pPr>
    </w:p>
    <w:p>
      <w:pPr>
        <w:pStyle w:val="Heading1"/>
      </w:pPr>
      <w:r>
        <w:rPr>
          <w:spacing w:val="-2"/>
        </w:rPr>
        <w:t>REFERENCES</w:t>
      </w:r>
    </w:p>
    <w:p>
      <w:pPr>
        <w:pStyle w:val="BodyText"/>
        <w:spacing w:before="175"/>
        <w:ind w:left="1798" w:right="360" w:hanging="721"/>
      </w:pPr>
      <w:r>
        <w:rPr/>
        <w:t>Al-Kumaim,</w:t>
      </w:r>
      <w:r>
        <w:rPr>
          <w:spacing w:val="-12"/>
        </w:rPr>
        <w:t> </w:t>
      </w:r>
      <w:r>
        <w:rPr/>
        <w:t>N.</w:t>
      </w:r>
      <w:r>
        <w:rPr>
          <w:spacing w:val="-12"/>
        </w:rPr>
        <w:t> </w:t>
      </w:r>
      <w:r>
        <w:rPr/>
        <w:t>H.,</w:t>
      </w:r>
      <w:r>
        <w:rPr>
          <w:spacing w:val="-12"/>
        </w:rPr>
        <w:t> </w:t>
      </w:r>
      <w:r>
        <w:rPr/>
        <w:t>Alhazmi,</w:t>
      </w:r>
      <w:r>
        <w:rPr>
          <w:spacing w:val="-12"/>
        </w:rPr>
        <w:t> </w:t>
      </w:r>
      <w:r>
        <w:rPr/>
        <w:t>A.</w:t>
      </w:r>
      <w:r>
        <w:rPr>
          <w:spacing w:val="-12"/>
        </w:rPr>
        <w:t> </w:t>
      </w:r>
      <w:r>
        <w:rPr/>
        <w:t>K.,</w:t>
      </w:r>
      <w:r>
        <w:rPr>
          <w:spacing w:val="-12"/>
        </w:rPr>
        <w:t> </w:t>
      </w:r>
      <w:r>
        <w:rPr/>
        <w:t>Mohammed,</w:t>
      </w:r>
      <w:r>
        <w:rPr>
          <w:spacing w:val="-11"/>
        </w:rPr>
        <w:t> </w:t>
      </w:r>
      <w:r>
        <w:rPr/>
        <w:t>F.,</w:t>
      </w:r>
      <w:r>
        <w:rPr>
          <w:spacing w:val="-12"/>
        </w:rPr>
        <w:t> </w:t>
      </w:r>
      <w:r>
        <w:rPr/>
        <w:t>Gazem,</w:t>
      </w:r>
      <w:r>
        <w:rPr>
          <w:spacing w:val="-12"/>
        </w:rPr>
        <w:t> </w:t>
      </w:r>
      <w:r>
        <w:rPr/>
        <w:t>N.</w:t>
      </w:r>
      <w:r>
        <w:rPr>
          <w:spacing w:val="-12"/>
        </w:rPr>
        <w:t> </w:t>
      </w:r>
      <w:r>
        <w:rPr/>
        <w:t>A.,</w:t>
      </w:r>
      <w:r>
        <w:rPr>
          <w:spacing w:val="-12"/>
        </w:rPr>
        <w:t> </w:t>
      </w:r>
      <w:r>
        <w:rPr/>
        <w:t>Shabbir,</w:t>
      </w:r>
      <w:r>
        <w:rPr>
          <w:spacing w:val="-14"/>
        </w:rPr>
        <w:t> </w:t>
      </w:r>
      <w:r>
        <w:rPr/>
        <w:t>M.</w:t>
      </w:r>
      <w:r>
        <w:rPr>
          <w:spacing w:val="-11"/>
        </w:rPr>
        <w:t> </w:t>
      </w:r>
      <w:r>
        <w:rPr/>
        <w:t>S.,</w:t>
      </w:r>
      <w:r>
        <w:rPr>
          <w:spacing w:val="-14"/>
        </w:rPr>
        <w:t> </w:t>
      </w:r>
      <w:r>
        <w:rPr/>
        <w:t>&amp;</w:t>
      </w:r>
      <w:r>
        <w:rPr>
          <w:spacing w:val="-12"/>
        </w:rPr>
        <w:t> </w:t>
      </w:r>
      <w:r>
        <w:rPr/>
        <w:t>Fazea,</w:t>
      </w:r>
      <w:r>
        <w:rPr>
          <w:spacing w:val="-11"/>
        </w:rPr>
        <w:t> </w:t>
      </w:r>
      <w:r>
        <w:rPr/>
        <w:t>Y.</w:t>
      </w:r>
      <w:r>
        <w:rPr>
          <w:spacing w:val="-12"/>
        </w:rPr>
        <w:t> </w:t>
      </w:r>
      <w:r>
        <w:rPr/>
        <w:t>(2021). Exploring the impact of the COVID-19 pandemic on university students’ learning life: An integrated conceptual motivational model for sustainable and healthy online learning. </w:t>
      </w:r>
      <w:r>
        <w:rPr>
          <w:i/>
        </w:rPr>
        <w:t>Sustainability, 13</w:t>
      </w:r>
      <w:r>
        <w:rPr/>
        <w:t>(5), 2546.</w:t>
      </w:r>
    </w:p>
    <w:p>
      <w:pPr>
        <w:pStyle w:val="BodyText"/>
        <w:spacing w:before="253"/>
        <w:ind w:left="1798" w:hanging="721"/>
        <w:jc w:val="left"/>
      </w:pPr>
      <w:r>
        <w:rPr/>
        <w:t>Anit, J. (2024). Customer Satisfaction</w:t>
      </w:r>
      <w:r>
        <w:rPr>
          <w:spacing w:val="-1"/>
        </w:rPr>
        <w:t> </w:t>
      </w:r>
      <w:r>
        <w:rPr/>
        <w:t>of Students with</w:t>
      </w:r>
      <w:r>
        <w:rPr>
          <w:spacing w:val="-1"/>
        </w:rPr>
        <w:t> </w:t>
      </w:r>
      <w:r>
        <w:rPr/>
        <w:t>Frontline Service Delivery at a Private Higher Institution in Cavite, Philippines. JPAIR Institutional Research, 23(1), 77–99.</w:t>
      </w:r>
    </w:p>
    <w:p>
      <w:pPr>
        <w:pStyle w:val="BodyText"/>
        <w:spacing w:line="500" w:lineRule="atLeast" w:before="7"/>
        <w:ind w:left="1078" w:right="356"/>
        <w:jc w:val="left"/>
      </w:pPr>
      <w:r>
        <w:rPr/>
        <w:t>Averion, R. F., &amp; Caleja, H. B. F. (2020). International Journal of Learning and Teaching. Bachanicha, R., Dorio Jr, P., &amp; Taoc, M. (2025). Needs assessment of beneficiaries in the “Adopt-A-</w:t>
      </w:r>
    </w:p>
    <w:p>
      <w:pPr>
        <w:pStyle w:val="BodyText"/>
        <w:spacing w:before="5"/>
        <w:ind w:left="1798"/>
        <w:jc w:val="left"/>
      </w:pPr>
      <w:r>
        <w:rPr/>
        <w:t>Trainee”</w:t>
      </w:r>
      <w:r>
        <w:rPr>
          <w:spacing w:val="-3"/>
        </w:rPr>
        <w:t> </w:t>
      </w:r>
      <w:r>
        <w:rPr/>
        <w:t>program</w:t>
      </w:r>
      <w:r>
        <w:rPr>
          <w:spacing w:val="-6"/>
        </w:rPr>
        <w:t> </w:t>
      </w:r>
      <w:r>
        <w:rPr/>
        <w:t>of the university.</w:t>
      </w:r>
      <w:r>
        <w:rPr>
          <w:spacing w:val="-1"/>
        </w:rPr>
        <w:t> </w:t>
      </w:r>
      <w:r>
        <w:rPr/>
        <w:t>JPAIR</w:t>
      </w:r>
      <w:r>
        <w:rPr>
          <w:spacing w:val="-1"/>
        </w:rPr>
        <w:t> </w:t>
      </w:r>
      <w:r>
        <w:rPr/>
        <w:t>Multidisciplinary</w:t>
      </w:r>
      <w:r>
        <w:rPr>
          <w:spacing w:val="-7"/>
        </w:rPr>
        <w:t> </w:t>
      </w:r>
      <w:r>
        <w:rPr/>
        <w:t>Research, 59(1),</w:t>
      </w:r>
      <w:r>
        <w:rPr>
          <w:spacing w:val="-2"/>
        </w:rPr>
        <w:t> </w:t>
      </w:r>
      <w:r>
        <w:rPr/>
        <w:t>158-</w:t>
      </w:r>
      <w:r>
        <w:rPr>
          <w:spacing w:val="-4"/>
        </w:rPr>
        <w:t>174.</w:t>
      </w:r>
    </w:p>
    <w:p>
      <w:pPr>
        <w:pStyle w:val="BodyText"/>
        <w:spacing w:before="161"/>
        <w:ind w:left="1798" w:right="354" w:hanging="721"/>
      </w:pPr>
      <w:r>
        <w:rPr/>
        <w:t>Bachanicha,</w:t>
      </w:r>
      <w:r>
        <w:rPr>
          <w:spacing w:val="-1"/>
        </w:rPr>
        <w:t> </w:t>
      </w:r>
      <w:r>
        <w:rPr/>
        <w:t>R.</w:t>
      </w:r>
      <w:r>
        <w:rPr>
          <w:spacing w:val="-2"/>
        </w:rPr>
        <w:t> </w:t>
      </w:r>
      <w:r>
        <w:rPr/>
        <w:t>M.,</w:t>
      </w:r>
      <w:r>
        <w:rPr>
          <w:spacing w:val="-2"/>
        </w:rPr>
        <w:t> </w:t>
      </w:r>
      <w:r>
        <w:rPr/>
        <w:t>Micabalo,</w:t>
      </w:r>
      <w:r>
        <w:rPr>
          <w:spacing w:val="-2"/>
        </w:rPr>
        <w:t> </w:t>
      </w:r>
      <w:r>
        <w:rPr/>
        <w:t>K.</w:t>
      </w:r>
      <w:r>
        <w:rPr>
          <w:spacing w:val="-2"/>
        </w:rPr>
        <w:t> </w:t>
      </w:r>
      <w:r>
        <w:rPr/>
        <w:t>G.,</w:t>
      </w:r>
      <w:r>
        <w:rPr>
          <w:spacing w:val="-4"/>
        </w:rPr>
        <w:t> </w:t>
      </w:r>
      <w:r>
        <w:rPr/>
        <w:t>&amp;</w:t>
      </w:r>
      <w:r>
        <w:rPr>
          <w:spacing w:val="-2"/>
        </w:rPr>
        <w:t> </w:t>
      </w:r>
      <w:r>
        <w:rPr/>
        <w:t>Lauron,</w:t>
      </w:r>
      <w:r>
        <w:rPr>
          <w:spacing w:val="-2"/>
        </w:rPr>
        <w:t> </w:t>
      </w:r>
      <w:r>
        <w:rPr/>
        <w:t>R.</w:t>
      </w:r>
      <w:r>
        <w:rPr>
          <w:spacing w:val="-2"/>
        </w:rPr>
        <w:t> </w:t>
      </w:r>
      <w:r>
        <w:rPr/>
        <w:t>P.</w:t>
      </w:r>
      <w:r>
        <w:rPr>
          <w:spacing w:val="-2"/>
        </w:rPr>
        <w:t> </w:t>
      </w:r>
      <w:r>
        <w:rPr/>
        <w:t>(2025).</w:t>
      </w:r>
      <w:r>
        <w:rPr>
          <w:spacing w:val="-2"/>
        </w:rPr>
        <w:t> </w:t>
      </w:r>
      <w:r>
        <w:rPr/>
        <w:t>Assessment</w:t>
      </w:r>
      <w:r>
        <w:rPr>
          <w:spacing w:val="-2"/>
        </w:rPr>
        <w:t> </w:t>
      </w:r>
      <w:r>
        <w:rPr/>
        <w:t>of</w:t>
      </w:r>
      <w:r>
        <w:rPr>
          <w:spacing w:val="-2"/>
        </w:rPr>
        <w:t> </w:t>
      </w:r>
      <w:r>
        <w:rPr/>
        <w:t>Student</w:t>
      </w:r>
      <w:r>
        <w:rPr>
          <w:spacing w:val="-2"/>
        </w:rPr>
        <w:t> </w:t>
      </w:r>
      <w:r>
        <w:rPr/>
        <w:t>Satisfaction</w:t>
      </w:r>
      <w:r>
        <w:rPr>
          <w:spacing w:val="-3"/>
        </w:rPr>
        <w:t> </w:t>
      </w:r>
      <w:r>
        <w:rPr/>
        <w:t>with the</w:t>
      </w:r>
      <w:r>
        <w:rPr>
          <w:spacing w:val="-14"/>
        </w:rPr>
        <w:t> </w:t>
      </w:r>
      <w:r>
        <w:rPr/>
        <w:t>Institu-tional</w:t>
      </w:r>
      <w:r>
        <w:rPr>
          <w:spacing w:val="-14"/>
        </w:rPr>
        <w:t> </w:t>
      </w:r>
      <w:r>
        <w:rPr/>
        <w:t>Services</w:t>
      </w:r>
      <w:r>
        <w:rPr>
          <w:spacing w:val="-14"/>
        </w:rPr>
        <w:t> </w:t>
      </w:r>
      <w:r>
        <w:rPr/>
        <w:t>Offered</w:t>
      </w:r>
      <w:r>
        <w:rPr>
          <w:spacing w:val="-13"/>
        </w:rPr>
        <w:t> </w:t>
      </w:r>
      <w:r>
        <w:rPr/>
        <w:t>by</w:t>
      </w:r>
      <w:r>
        <w:rPr>
          <w:spacing w:val="-14"/>
        </w:rPr>
        <w:t> </w:t>
      </w:r>
      <w:r>
        <w:rPr/>
        <w:t>the</w:t>
      </w:r>
      <w:r>
        <w:rPr>
          <w:spacing w:val="-14"/>
        </w:rPr>
        <w:t> </w:t>
      </w:r>
      <w:r>
        <w:rPr/>
        <w:t>University</w:t>
      </w:r>
      <w:r>
        <w:rPr>
          <w:spacing w:val="-14"/>
        </w:rPr>
        <w:t> </w:t>
      </w:r>
      <w:r>
        <w:rPr/>
        <w:t>of</w:t>
      </w:r>
      <w:r>
        <w:rPr>
          <w:spacing w:val="-13"/>
        </w:rPr>
        <w:t> </w:t>
      </w:r>
      <w:r>
        <w:rPr/>
        <w:t>Cebu</w:t>
      </w:r>
      <w:r>
        <w:rPr>
          <w:spacing w:val="-14"/>
        </w:rPr>
        <w:t> </w:t>
      </w:r>
      <w:r>
        <w:rPr/>
        <w:t>Lapu-lapu</w:t>
      </w:r>
      <w:r>
        <w:rPr>
          <w:spacing w:val="-14"/>
        </w:rPr>
        <w:t> </w:t>
      </w:r>
      <w:r>
        <w:rPr/>
        <w:t>and</w:t>
      </w:r>
      <w:r>
        <w:rPr>
          <w:spacing w:val="-14"/>
        </w:rPr>
        <w:t> </w:t>
      </w:r>
      <w:r>
        <w:rPr/>
        <w:t>Mandaue</w:t>
      </w:r>
      <w:r>
        <w:rPr>
          <w:spacing w:val="-13"/>
        </w:rPr>
        <w:t> </w:t>
      </w:r>
      <w:r>
        <w:rPr/>
        <w:t>SY</w:t>
      </w:r>
      <w:r>
        <w:rPr>
          <w:spacing w:val="-14"/>
        </w:rPr>
        <w:t> </w:t>
      </w:r>
      <w:r>
        <w:rPr/>
        <w:t>2025-2026. International Journal of Teaching, Learning and Education, 4(6), 657076.</w:t>
      </w:r>
    </w:p>
    <w:p>
      <w:pPr>
        <w:pStyle w:val="BodyText"/>
        <w:ind w:left="0"/>
        <w:jc w:val="left"/>
      </w:pPr>
    </w:p>
    <w:p>
      <w:pPr>
        <w:pStyle w:val="BodyText"/>
        <w:spacing w:line="252" w:lineRule="exact"/>
        <w:ind w:left="1078"/>
        <w:jc w:val="left"/>
      </w:pPr>
      <w:r>
        <w:rPr/>
        <w:t>Barrot,</w:t>
      </w:r>
      <w:r>
        <w:rPr>
          <w:spacing w:val="35"/>
        </w:rPr>
        <w:t> </w:t>
      </w:r>
      <w:r>
        <w:rPr/>
        <w:t>J.</w:t>
      </w:r>
      <w:r>
        <w:rPr>
          <w:spacing w:val="39"/>
        </w:rPr>
        <w:t> </w:t>
      </w:r>
      <w:r>
        <w:rPr/>
        <w:t>S.</w:t>
      </w:r>
      <w:r>
        <w:rPr>
          <w:spacing w:val="37"/>
        </w:rPr>
        <w:t> </w:t>
      </w:r>
      <w:r>
        <w:rPr/>
        <w:t>(2021).</w:t>
      </w:r>
      <w:r>
        <w:rPr>
          <w:spacing w:val="38"/>
        </w:rPr>
        <w:t> </w:t>
      </w:r>
      <w:r>
        <w:rPr/>
        <w:t>Social</w:t>
      </w:r>
      <w:r>
        <w:rPr>
          <w:spacing w:val="40"/>
        </w:rPr>
        <w:t> </w:t>
      </w:r>
      <w:r>
        <w:rPr/>
        <w:t>media</w:t>
      </w:r>
      <w:r>
        <w:rPr>
          <w:spacing w:val="39"/>
        </w:rPr>
        <w:t> </w:t>
      </w:r>
      <w:r>
        <w:rPr/>
        <w:t>use</w:t>
      </w:r>
      <w:r>
        <w:rPr>
          <w:spacing w:val="40"/>
        </w:rPr>
        <w:t> </w:t>
      </w:r>
      <w:r>
        <w:rPr/>
        <w:t>and</w:t>
      </w:r>
      <w:r>
        <w:rPr>
          <w:spacing w:val="37"/>
        </w:rPr>
        <w:t> </w:t>
      </w:r>
      <w:r>
        <w:rPr/>
        <w:t>academic</w:t>
      </w:r>
      <w:r>
        <w:rPr>
          <w:spacing w:val="39"/>
        </w:rPr>
        <w:t> </w:t>
      </w:r>
      <w:r>
        <w:rPr/>
        <w:t>performance</w:t>
      </w:r>
      <w:r>
        <w:rPr>
          <w:spacing w:val="40"/>
        </w:rPr>
        <w:t> </w:t>
      </w:r>
      <w:r>
        <w:rPr/>
        <w:t>of</w:t>
      </w:r>
      <w:r>
        <w:rPr>
          <w:spacing w:val="38"/>
        </w:rPr>
        <w:t> </w:t>
      </w:r>
      <w:r>
        <w:rPr/>
        <w:t>junior</w:t>
      </w:r>
      <w:r>
        <w:rPr>
          <w:spacing w:val="37"/>
        </w:rPr>
        <w:t> </w:t>
      </w:r>
      <w:r>
        <w:rPr/>
        <w:t>high</w:t>
      </w:r>
      <w:r>
        <w:rPr>
          <w:spacing w:val="37"/>
        </w:rPr>
        <w:t> </w:t>
      </w:r>
      <w:r>
        <w:rPr/>
        <w:t>school</w:t>
      </w:r>
      <w:r>
        <w:rPr>
          <w:spacing w:val="40"/>
        </w:rPr>
        <w:t> </w:t>
      </w:r>
      <w:r>
        <w:rPr>
          <w:spacing w:val="-2"/>
        </w:rPr>
        <w:t>students.</w:t>
      </w:r>
    </w:p>
    <w:p>
      <w:pPr>
        <w:spacing w:line="252" w:lineRule="exact" w:before="0"/>
        <w:ind w:left="1798" w:right="0" w:firstLine="0"/>
        <w:jc w:val="left"/>
        <w:rPr>
          <w:sz w:val="22"/>
        </w:rPr>
      </w:pPr>
      <w:r>
        <w:rPr>
          <w:i/>
          <w:sz w:val="22"/>
        </w:rPr>
        <w:t>Computers</w:t>
      </w:r>
      <w:r>
        <w:rPr>
          <w:i/>
          <w:spacing w:val="4"/>
          <w:sz w:val="22"/>
        </w:rPr>
        <w:t> </w:t>
      </w:r>
      <w:r>
        <w:rPr>
          <w:i/>
          <w:sz w:val="22"/>
        </w:rPr>
        <w:t>&amp;</w:t>
      </w:r>
      <w:r>
        <w:rPr>
          <w:i/>
          <w:spacing w:val="-7"/>
          <w:sz w:val="22"/>
        </w:rPr>
        <w:t> </w:t>
      </w:r>
      <w:r>
        <w:rPr>
          <w:i/>
          <w:sz w:val="22"/>
        </w:rPr>
        <w:t>Education,</w:t>
      </w:r>
      <w:r>
        <w:rPr>
          <w:i/>
          <w:spacing w:val="1"/>
          <w:sz w:val="22"/>
        </w:rPr>
        <w:t> </w:t>
      </w:r>
      <w:r>
        <w:rPr>
          <w:i/>
          <w:sz w:val="22"/>
        </w:rPr>
        <w:t>172, </w:t>
      </w:r>
      <w:r>
        <w:rPr>
          <w:spacing w:val="-2"/>
          <w:sz w:val="22"/>
        </w:rPr>
        <w:t>104665.</w:t>
      </w:r>
    </w:p>
    <w:p>
      <w:pPr>
        <w:pStyle w:val="BodyText"/>
        <w:ind w:left="0"/>
        <w:jc w:val="left"/>
      </w:pPr>
    </w:p>
    <w:p>
      <w:pPr>
        <w:pStyle w:val="BodyText"/>
        <w:ind w:left="1798" w:right="364" w:hanging="721"/>
      </w:pPr>
      <w:r>
        <w:rPr/>
        <w:t>Bironia, M., &amp; Ecat, J. E. (2023). Students' Level of Satisfaction with Student Services in a Private Tertiary Educational Institution. Psychology and Education: A Multidisciplinary Journal, 12(7), 1–1.</w:t>
      </w:r>
    </w:p>
    <w:p>
      <w:pPr>
        <w:pStyle w:val="BodyText"/>
        <w:spacing w:before="161"/>
        <w:ind w:left="1798" w:right="354" w:hanging="721"/>
      </w:pPr>
      <w:r>
        <w:rPr/>
        <w:t>Cardenal, F., Sandoval-Hernández, A., &amp; Yoon, E. S. (2024). Gender differences in Students' perceptions of teacher-student relationships: Evidence from international large-scale assessments. </w:t>
      </w:r>
      <w:r>
        <w:rPr>
          <w:i/>
        </w:rPr>
        <w:t>Frontiers in Education, 9, </w:t>
      </w:r>
      <w:r>
        <w:rPr/>
        <w:t>1353170.</w:t>
      </w:r>
    </w:p>
    <w:p>
      <w:pPr>
        <w:pStyle w:val="BodyText"/>
        <w:spacing w:after="0"/>
        <w:sectPr>
          <w:pgSz w:w="12240" w:h="15840"/>
          <w:pgMar w:header="98" w:footer="938" w:top="1340" w:bottom="1160" w:left="720" w:right="1080"/>
        </w:sectPr>
      </w:pPr>
    </w:p>
    <w:p>
      <w:pPr>
        <w:spacing w:before="104"/>
        <w:ind w:left="1798" w:right="353" w:hanging="721"/>
        <w:jc w:val="both"/>
        <w:rPr>
          <w:sz w:val="22"/>
        </w:rPr>
      </w:pPr>
      <w:r>
        <w:rPr>
          <w:sz w:val="22"/>
        </w:rPr>
        <w:t>Castillo, R., Miranda, D., &amp; Figueroa, C. (2021). Academic workload and student well being-Being: Balancing stress and engagement. </w:t>
      </w:r>
      <w:r>
        <w:rPr>
          <w:i/>
          <w:sz w:val="22"/>
        </w:rPr>
        <w:t>Journal of Educational Psychology, 113</w:t>
      </w:r>
      <w:r>
        <w:rPr>
          <w:sz w:val="22"/>
        </w:rPr>
        <w:t>(4), 657–672.</w:t>
      </w:r>
    </w:p>
    <w:p>
      <w:pPr>
        <w:pStyle w:val="BodyText"/>
        <w:spacing w:before="1"/>
        <w:ind w:left="0"/>
        <w:jc w:val="left"/>
      </w:pPr>
    </w:p>
    <w:p>
      <w:pPr>
        <w:pStyle w:val="BodyText"/>
        <w:spacing w:before="1"/>
        <w:ind w:left="1798" w:right="360" w:hanging="721"/>
      </w:pPr>
      <w:r>
        <w:rPr/>
        <w:t>Cinches,</w:t>
      </w:r>
      <w:r>
        <w:rPr>
          <w:spacing w:val="-14"/>
        </w:rPr>
        <w:t> </w:t>
      </w:r>
      <w:r>
        <w:rPr/>
        <w:t>M.</w:t>
      </w:r>
      <w:r>
        <w:rPr>
          <w:spacing w:val="-14"/>
        </w:rPr>
        <w:t> </w:t>
      </w:r>
      <w:r>
        <w:rPr/>
        <w:t>F.</w:t>
      </w:r>
      <w:r>
        <w:rPr>
          <w:spacing w:val="-14"/>
        </w:rPr>
        <w:t> </w:t>
      </w:r>
      <w:r>
        <w:rPr/>
        <w:t>C.,</w:t>
      </w:r>
      <w:r>
        <w:rPr>
          <w:spacing w:val="-13"/>
        </w:rPr>
        <w:t> </w:t>
      </w:r>
      <w:r>
        <w:rPr/>
        <w:t>Russell,</w:t>
      </w:r>
      <w:r>
        <w:rPr>
          <w:spacing w:val="-14"/>
        </w:rPr>
        <w:t> </w:t>
      </w:r>
      <w:r>
        <w:rPr/>
        <w:t>R.</w:t>
      </w:r>
      <w:r>
        <w:rPr>
          <w:spacing w:val="-14"/>
        </w:rPr>
        <w:t> </w:t>
      </w:r>
      <w:r>
        <w:rPr/>
        <w:t>L.</w:t>
      </w:r>
      <w:r>
        <w:rPr>
          <w:spacing w:val="-14"/>
        </w:rPr>
        <w:t> </w:t>
      </w:r>
      <w:r>
        <w:rPr/>
        <w:t>V.,</w:t>
      </w:r>
      <w:r>
        <w:rPr>
          <w:spacing w:val="-13"/>
        </w:rPr>
        <w:t> </w:t>
      </w:r>
      <w:r>
        <w:rPr/>
        <w:t>Chavez,</w:t>
      </w:r>
      <w:r>
        <w:rPr>
          <w:spacing w:val="-14"/>
        </w:rPr>
        <w:t> </w:t>
      </w:r>
      <w:r>
        <w:rPr/>
        <w:t>J.</w:t>
      </w:r>
      <w:r>
        <w:rPr>
          <w:spacing w:val="-14"/>
        </w:rPr>
        <w:t> </w:t>
      </w:r>
      <w:r>
        <w:rPr/>
        <w:t>C.,</w:t>
      </w:r>
      <w:r>
        <w:rPr>
          <w:spacing w:val="-14"/>
        </w:rPr>
        <w:t> </w:t>
      </w:r>
      <w:r>
        <w:rPr/>
        <w:t>&amp;</w:t>
      </w:r>
      <w:r>
        <w:rPr>
          <w:spacing w:val="-13"/>
        </w:rPr>
        <w:t> </w:t>
      </w:r>
      <w:r>
        <w:rPr/>
        <w:t>Ortiz,</w:t>
      </w:r>
      <w:r>
        <w:rPr>
          <w:spacing w:val="-14"/>
        </w:rPr>
        <w:t> </w:t>
      </w:r>
      <w:r>
        <w:rPr/>
        <w:t>R.</w:t>
      </w:r>
      <w:r>
        <w:rPr>
          <w:spacing w:val="-14"/>
        </w:rPr>
        <w:t> </w:t>
      </w:r>
      <w:r>
        <w:rPr/>
        <w:t>O.</w:t>
      </w:r>
      <w:r>
        <w:rPr>
          <w:spacing w:val="-14"/>
        </w:rPr>
        <w:t> </w:t>
      </w:r>
      <w:r>
        <w:rPr/>
        <w:t>(2017).</w:t>
      </w:r>
      <w:r>
        <w:rPr>
          <w:spacing w:val="-13"/>
        </w:rPr>
        <w:t> </w:t>
      </w:r>
      <w:r>
        <w:rPr/>
        <w:t>Student</w:t>
      </w:r>
      <w:r>
        <w:rPr>
          <w:spacing w:val="-14"/>
        </w:rPr>
        <w:t> </w:t>
      </w:r>
      <w:r>
        <w:rPr/>
        <w:t>engagement:</w:t>
      </w:r>
      <w:r>
        <w:rPr>
          <w:spacing w:val="-14"/>
        </w:rPr>
        <w:t> </w:t>
      </w:r>
      <w:r>
        <w:rPr/>
        <w:t>Defining teacher effectiveness and teacher engagement. Journal of Institutional Research South East Asia, 15(1).</w:t>
      </w:r>
    </w:p>
    <w:p>
      <w:pPr>
        <w:pStyle w:val="BodyText"/>
        <w:spacing w:before="159"/>
        <w:ind w:left="1798" w:right="363" w:hanging="721"/>
      </w:pPr>
      <w:r>
        <w:rPr/>
        <w:t>Deniega,</w:t>
      </w:r>
      <w:r>
        <w:rPr>
          <w:spacing w:val="-3"/>
        </w:rPr>
        <w:t> </w:t>
      </w:r>
      <w:r>
        <w:rPr/>
        <w:t>G.,</w:t>
      </w:r>
      <w:r>
        <w:rPr>
          <w:spacing w:val="-4"/>
        </w:rPr>
        <w:t> </w:t>
      </w:r>
      <w:r>
        <w:rPr/>
        <w:t>Micabalo,</w:t>
      </w:r>
      <w:r>
        <w:rPr>
          <w:spacing w:val="-4"/>
        </w:rPr>
        <w:t> </w:t>
      </w:r>
      <w:r>
        <w:rPr/>
        <w:t>K.,</w:t>
      </w:r>
      <w:r>
        <w:rPr>
          <w:spacing w:val="-6"/>
        </w:rPr>
        <w:t> </w:t>
      </w:r>
      <w:r>
        <w:rPr/>
        <w:t>&amp;</w:t>
      </w:r>
      <w:r>
        <w:rPr>
          <w:spacing w:val="-4"/>
        </w:rPr>
        <w:t> </w:t>
      </w:r>
      <w:r>
        <w:rPr/>
        <w:t>Bachanicha,</w:t>
      </w:r>
      <w:r>
        <w:rPr>
          <w:spacing w:val="-3"/>
        </w:rPr>
        <w:t> </w:t>
      </w:r>
      <w:r>
        <w:rPr/>
        <w:t>R.</w:t>
      </w:r>
      <w:r>
        <w:rPr>
          <w:spacing w:val="-6"/>
        </w:rPr>
        <w:t> </w:t>
      </w:r>
      <w:r>
        <w:rPr/>
        <w:t>(2026).</w:t>
      </w:r>
      <w:r>
        <w:rPr>
          <w:spacing w:val="-4"/>
        </w:rPr>
        <w:t> </w:t>
      </w:r>
      <w:r>
        <w:rPr/>
        <w:t>Parental</w:t>
      </w:r>
      <w:r>
        <w:rPr>
          <w:spacing w:val="-4"/>
        </w:rPr>
        <w:t> </w:t>
      </w:r>
      <w:r>
        <w:rPr/>
        <w:t>Satisfaction</w:t>
      </w:r>
      <w:r>
        <w:rPr>
          <w:spacing w:val="-5"/>
        </w:rPr>
        <w:t> </w:t>
      </w:r>
      <w:r>
        <w:rPr/>
        <w:t>with</w:t>
      </w:r>
      <w:r>
        <w:rPr>
          <w:spacing w:val="-5"/>
        </w:rPr>
        <w:t> </w:t>
      </w:r>
      <w:r>
        <w:rPr/>
        <w:t>University</w:t>
      </w:r>
      <w:r>
        <w:rPr>
          <w:spacing w:val="-9"/>
        </w:rPr>
        <w:t> </w:t>
      </w:r>
      <w:r>
        <w:rPr/>
        <w:t>Services</w:t>
      </w:r>
      <w:r>
        <w:rPr>
          <w:spacing w:val="-8"/>
        </w:rPr>
        <w:t> </w:t>
      </w:r>
      <w:r>
        <w:rPr/>
        <w:t>in a Philippine Private University. Journal of Interdisciplinary Perspectives, 4(1), 252-261.</w:t>
      </w:r>
    </w:p>
    <w:p>
      <w:pPr>
        <w:spacing w:before="252"/>
        <w:ind w:left="1798" w:right="357" w:hanging="721"/>
        <w:jc w:val="both"/>
        <w:rPr>
          <w:sz w:val="22"/>
        </w:rPr>
      </w:pPr>
      <w:r>
        <w:rPr>
          <w:sz w:val="22"/>
        </w:rPr>
        <w:t>El-Hamamsy,</w:t>
      </w:r>
      <w:r>
        <w:rPr>
          <w:spacing w:val="-9"/>
          <w:sz w:val="22"/>
        </w:rPr>
        <w:t> </w:t>
      </w:r>
      <w:r>
        <w:rPr>
          <w:sz w:val="22"/>
        </w:rPr>
        <w:t>L.,</w:t>
      </w:r>
      <w:r>
        <w:rPr>
          <w:spacing w:val="-7"/>
          <w:sz w:val="22"/>
        </w:rPr>
        <w:t> </w:t>
      </w:r>
      <w:r>
        <w:rPr>
          <w:sz w:val="22"/>
        </w:rPr>
        <w:t>Berga,</w:t>
      </w:r>
      <w:r>
        <w:rPr>
          <w:spacing w:val="-9"/>
          <w:sz w:val="22"/>
        </w:rPr>
        <w:t> </w:t>
      </w:r>
      <w:r>
        <w:rPr>
          <w:sz w:val="22"/>
        </w:rPr>
        <w:t>D.,</w:t>
      </w:r>
      <w:r>
        <w:rPr>
          <w:spacing w:val="-10"/>
          <w:sz w:val="22"/>
        </w:rPr>
        <w:t> </w:t>
      </w:r>
      <w:r>
        <w:rPr>
          <w:sz w:val="22"/>
        </w:rPr>
        <w:t>&amp;</w:t>
      </w:r>
      <w:r>
        <w:rPr>
          <w:spacing w:val="-10"/>
          <w:sz w:val="22"/>
        </w:rPr>
        <w:t> </w:t>
      </w:r>
      <w:r>
        <w:rPr>
          <w:sz w:val="22"/>
        </w:rPr>
        <w:t>Pons,</w:t>
      </w:r>
      <w:r>
        <w:rPr>
          <w:spacing w:val="-10"/>
          <w:sz w:val="22"/>
        </w:rPr>
        <w:t> </w:t>
      </w:r>
      <w:r>
        <w:rPr>
          <w:sz w:val="22"/>
        </w:rPr>
        <w:t>X.</w:t>
      </w:r>
      <w:r>
        <w:rPr>
          <w:spacing w:val="-10"/>
          <w:sz w:val="22"/>
        </w:rPr>
        <w:t> </w:t>
      </w:r>
      <w:r>
        <w:rPr>
          <w:sz w:val="22"/>
        </w:rPr>
        <w:t>(2023).</w:t>
      </w:r>
      <w:r>
        <w:rPr>
          <w:spacing w:val="-10"/>
          <w:sz w:val="22"/>
        </w:rPr>
        <w:t> </w:t>
      </w:r>
      <w:r>
        <w:rPr>
          <w:sz w:val="22"/>
        </w:rPr>
        <w:t>Equity</w:t>
      </w:r>
      <w:r>
        <w:rPr>
          <w:spacing w:val="-14"/>
          <w:sz w:val="22"/>
        </w:rPr>
        <w:t> </w:t>
      </w:r>
      <w:r>
        <w:rPr>
          <w:sz w:val="22"/>
        </w:rPr>
        <w:t>and</w:t>
      </w:r>
      <w:r>
        <w:rPr>
          <w:spacing w:val="-7"/>
          <w:sz w:val="22"/>
        </w:rPr>
        <w:t> </w:t>
      </w:r>
      <w:r>
        <w:rPr>
          <w:sz w:val="22"/>
        </w:rPr>
        <w:t>inclusion</w:t>
      </w:r>
      <w:r>
        <w:rPr>
          <w:spacing w:val="-12"/>
          <w:sz w:val="22"/>
        </w:rPr>
        <w:t> </w:t>
      </w:r>
      <w:r>
        <w:rPr>
          <w:sz w:val="22"/>
        </w:rPr>
        <w:t>in</w:t>
      </w:r>
      <w:r>
        <w:rPr>
          <w:spacing w:val="-10"/>
          <w:sz w:val="22"/>
        </w:rPr>
        <w:t> </w:t>
      </w:r>
      <w:r>
        <w:rPr>
          <w:sz w:val="22"/>
        </w:rPr>
        <w:t>curriculum</w:t>
      </w:r>
      <w:r>
        <w:rPr>
          <w:spacing w:val="-13"/>
          <w:sz w:val="22"/>
        </w:rPr>
        <w:t> </w:t>
      </w:r>
      <w:r>
        <w:rPr>
          <w:sz w:val="22"/>
        </w:rPr>
        <w:t>Design:</w:t>
      </w:r>
      <w:r>
        <w:rPr>
          <w:spacing w:val="-10"/>
          <w:sz w:val="22"/>
        </w:rPr>
        <w:t> </w:t>
      </w:r>
      <w:r>
        <w:rPr>
          <w:sz w:val="22"/>
        </w:rPr>
        <w:t>Challenges and opportunities in global contexts. </w:t>
      </w:r>
      <w:r>
        <w:rPr>
          <w:i/>
          <w:sz w:val="22"/>
        </w:rPr>
        <w:t>International Journal of Inclusive Education. </w:t>
      </w:r>
      <w:r>
        <w:rPr>
          <w:sz w:val="22"/>
        </w:rPr>
        <w:t>Advance online publication.</w:t>
      </w:r>
    </w:p>
    <w:p>
      <w:pPr>
        <w:pStyle w:val="BodyText"/>
        <w:spacing w:before="253"/>
        <w:ind w:left="1798" w:right="364" w:hanging="721"/>
      </w:pPr>
      <w:r>
        <w:rPr/>
        <w:t>Elshami, W., Taha, M. H., Abuzaid, M., Saravanan, C., Al Kawas, S., &amp; Abdalla, M. E. (2021). Satisfaction with online learning in the new normal: Perspective of students and faculty at medical and health sciences colleges. </w:t>
      </w:r>
      <w:r>
        <w:rPr>
          <w:i/>
        </w:rPr>
        <w:t>Medical Education Online, 26</w:t>
      </w:r>
      <w:r>
        <w:rPr/>
        <w:t>(1), 1920090.</w:t>
      </w:r>
    </w:p>
    <w:p>
      <w:pPr>
        <w:pStyle w:val="BodyText"/>
        <w:ind w:left="0"/>
        <w:jc w:val="left"/>
      </w:pPr>
    </w:p>
    <w:p>
      <w:pPr>
        <w:pStyle w:val="BodyText"/>
        <w:ind w:left="1798" w:right="363" w:hanging="721"/>
      </w:pPr>
      <w:r>
        <w:rPr/>
        <w:t>Espelage,</w:t>
      </w:r>
      <w:r>
        <w:rPr>
          <w:spacing w:val="-14"/>
        </w:rPr>
        <w:t> </w:t>
      </w:r>
      <w:r>
        <w:rPr/>
        <w:t>D.</w:t>
      </w:r>
      <w:r>
        <w:rPr>
          <w:spacing w:val="-13"/>
        </w:rPr>
        <w:t> </w:t>
      </w:r>
      <w:r>
        <w:rPr/>
        <w:t>L.,</w:t>
      </w:r>
      <w:r>
        <w:rPr>
          <w:spacing w:val="-12"/>
        </w:rPr>
        <w:t> </w:t>
      </w:r>
      <w:r>
        <w:rPr/>
        <w:t>Hong,</w:t>
      </w:r>
      <w:r>
        <w:rPr>
          <w:spacing w:val="-14"/>
        </w:rPr>
        <w:t> </w:t>
      </w:r>
      <w:r>
        <w:rPr/>
        <w:t>J.</w:t>
      </w:r>
      <w:r>
        <w:rPr>
          <w:spacing w:val="-11"/>
        </w:rPr>
        <w:t> </w:t>
      </w:r>
      <w:r>
        <w:rPr/>
        <w:t>S.,</w:t>
      </w:r>
      <w:r>
        <w:rPr>
          <w:spacing w:val="-14"/>
        </w:rPr>
        <w:t> </w:t>
      </w:r>
      <w:r>
        <w:rPr/>
        <w:t>&amp;</w:t>
      </w:r>
      <w:r>
        <w:rPr>
          <w:spacing w:val="-12"/>
        </w:rPr>
        <w:t> </w:t>
      </w:r>
      <w:r>
        <w:rPr/>
        <w:t>Mebane,</w:t>
      </w:r>
      <w:r>
        <w:rPr>
          <w:spacing w:val="-13"/>
        </w:rPr>
        <w:t> </w:t>
      </w:r>
      <w:r>
        <w:rPr/>
        <w:t>S.</w:t>
      </w:r>
      <w:r>
        <w:rPr>
          <w:spacing w:val="-12"/>
        </w:rPr>
        <w:t> </w:t>
      </w:r>
      <w:r>
        <w:rPr/>
        <w:t>E.</w:t>
      </w:r>
      <w:r>
        <w:rPr>
          <w:spacing w:val="-12"/>
        </w:rPr>
        <w:t> </w:t>
      </w:r>
      <w:r>
        <w:rPr/>
        <w:t>(2020).</w:t>
      </w:r>
      <w:r>
        <w:rPr>
          <w:spacing w:val="-12"/>
        </w:rPr>
        <w:t> </w:t>
      </w:r>
      <w:r>
        <w:rPr/>
        <w:t>School</w:t>
      </w:r>
      <w:r>
        <w:rPr>
          <w:spacing w:val="-12"/>
        </w:rPr>
        <w:t> </w:t>
      </w:r>
      <w:r>
        <w:rPr/>
        <w:t>climate,</w:t>
      </w:r>
      <w:r>
        <w:rPr>
          <w:spacing w:val="-11"/>
        </w:rPr>
        <w:t> </w:t>
      </w:r>
      <w:r>
        <w:rPr/>
        <w:t>peer</w:t>
      </w:r>
      <w:r>
        <w:rPr>
          <w:spacing w:val="-11"/>
        </w:rPr>
        <w:t> </w:t>
      </w:r>
      <w:r>
        <w:rPr/>
        <w:t>Victimization</w:t>
      </w:r>
      <w:r>
        <w:rPr>
          <w:spacing w:val="-13"/>
        </w:rPr>
        <w:t> </w:t>
      </w:r>
      <w:r>
        <w:rPr/>
        <w:t>and</w:t>
      </w:r>
      <w:r>
        <w:rPr>
          <w:spacing w:val="-14"/>
        </w:rPr>
        <w:t> </w:t>
      </w:r>
      <w:r>
        <w:rPr/>
        <w:t>Academic Outcomes Across Developmental Periods. </w:t>
      </w:r>
      <w:r>
        <w:rPr>
          <w:i/>
        </w:rPr>
        <w:t>Child Development, 91</w:t>
      </w:r>
      <w:r>
        <w:rPr/>
        <w:t>(2), 327–344.</w:t>
      </w:r>
    </w:p>
    <w:p>
      <w:pPr>
        <w:pStyle w:val="BodyText"/>
        <w:spacing w:before="1"/>
        <w:ind w:left="0"/>
        <w:jc w:val="left"/>
      </w:pPr>
    </w:p>
    <w:p>
      <w:pPr>
        <w:pStyle w:val="BodyText"/>
        <w:ind w:left="1798" w:right="364" w:hanging="721"/>
      </w:pPr>
      <w:r>
        <w:rPr/>
        <w:t>Galvez, R. (2018). Student Affairs and Services of La Consolacion University Philippines: An Evaluation. International Journal of Education and Research, 6(2), 75-84.</w:t>
      </w:r>
    </w:p>
    <w:p>
      <w:pPr>
        <w:spacing w:before="252"/>
        <w:ind w:left="1798" w:right="355" w:hanging="721"/>
        <w:jc w:val="both"/>
        <w:rPr>
          <w:sz w:val="22"/>
        </w:rPr>
      </w:pPr>
      <w:r>
        <w:rPr>
          <w:sz w:val="22"/>
        </w:rPr>
        <w:t>Garrett,</w:t>
      </w:r>
      <w:r>
        <w:rPr>
          <w:spacing w:val="-4"/>
          <w:sz w:val="22"/>
        </w:rPr>
        <w:t> </w:t>
      </w:r>
      <w:r>
        <w:rPr>
          <w:sz w:val="22"/>
        </w:rPr>
        <w:t>M.</w:t>
      </w:r>
      <w:r>
        <w:rPr>
          <w:spacing w:val="-2"/>
          <w:sz w:val="22"/>
        </w:rPr>
        <w:t> </w:t>
      </w:r>
      <w:r>
        <w:rPr>
          <w:sz w:val="22"/>
        </w:rPr>
        <w:t>D.,</w:t>
      </w:r>
      <w:r>
        <w:rPr>
          <w:spacing w:val="-4"/>
          <w:sz w:val="22"/>
        </w:rPr>
        <w:t> </w:t>
      </w:r>
      <w:r>
        <w:rPr>
          <w:sz w:val="22"/>
        </w:rPr>
        <w:t>&amp;</w:t>
      </w:r>
      <w:r>
        <w:rPr>
          <w:spacing w:val="-4"/>
          <w:sz w:val="22"/>
        </w:rPr>
        <w:t> </w:t>
      </w:r>
      <w:r>
        <w:rPr>
          <w:sz w:val="22"/>
        </w:rPr>
        <w:t>Poock,</w:t>
      </w:r>
      <w:r>
        <w:rPr>
          <w:spacing w:val="-4"/>
          <w:sz w:val="22"/>
        </w:rPr>
        <w:t> </w:t>
      </w:r>
      <w:r>
        <w:rPr>
          <w:sz w:val="22"/>
        </w:rPr>
        <w:t>M.</w:t>
      </w:r>
      <w:r>
        <w:rPr>
          <w:spacing w:val="-3"/>
          <w:sz w:val="22"/>
        </w:rPr>
        <w:t> </w:t>
      </w:r>
      <w:r>
        <w:rPr>
          <w:sz w:val="22"/>
        </w:rPr>
        <w:t>C.</w:t>
      </w:r>
      <w:r>
        <w:rPr>
          <w:spacing w:val="-4"/>
          <w:sz w:val="22"/>
        </w:rPr>
        <w:t> </w:t>
      </w:r>
      <w:r>
        <w:rPr>
          <w:sz w:val="22"/>
        </w:rPr>
        <w:t>(2021).</w:t>
      </w:r>
      <w:r>
        <w:rPr>
          <w:spacing w:val="-4"/>
          <w:sz w:val="22"/>
        </w:rPr>
        <w:t> </w:t>
      </w:r>
      <w:r>
        <w:rPr>
          <w:sz w:val="22"/>
        </w:rPr>
        <w:t>Student</w:t>
      </w:r>
      <w:r>
        <w:rPr>
          <w:spacing w:val="-2"/>
          <w:sz w:val="22"/>
        </w:rPr>
        <w:t> </w:t>
      </w:r>
      <w:r>
        <w:rPr>
          <w:sz w:val="22"/>
        </w:rPr>
        <w:t>satisfaction</w:t>
      </w:r>
      <w:r>
        <w:rPr>
          <w:spacing w:val="-5"/>
          <w:sz w:val="22"/>
        </w:rPr>
        <w:t> </w:t>
      </w:r>
      <w:r>
        <w:rPr>
          <w:sz w:val="22"/>
        </w:rPr>
        <w:t>across</w:t>
      </w:r>
      <w:r>
        <w:rPr>
          <w:spacing w:val="-4"/>
          <w:sz w:val="22"/>
        </w:rPr>
        <w:t> </w:t>
      </w:r>
      <w:r>
        <w:rPr>
          <w:sz w:val="22"/>
        </w:rPr>
        <w:t>grade</w:t>
      </w:r>
      <w:r>
        <w:rPr>
          <w:spacing w:val="-4"/>
          <w:sz w:val="22"/>
        </w:rPr>
        <w:t> </w:t>
      </w:r>
      <w:r>
        <w:rPr>
          <w:sz w:val="22"/>
        </w:rPr>
        <w:t>levels:</w:t>
      </w:r>
      <w:r>
        <w:rPr>
          <w:spacing w:val="-5"/>
          <w:sz w:val="22"/>
        </w:rPr>
        <w:t> </w:t>
      </w:r>
      <w:r>
        <w:rPr>
          <w:sz w:val="22"/>
        </w:rPr>
        <w:t>Instructional</w:t>
      </w:r>
      <w:r>
        <w:rPr>
          <w:spacing w:val="-2"/>
          <w:sz w:val="22"/>
        </w:rPr>
        <w:t> </w:t>
      </w:r>
      <w:r>
        <w:rPr>
          <w:sz w:val="22"/>
        </w:rPr>
        <w:t>delivery, workload,</w:t>
      </w:r>
      <w:r>
        <w:rPr>
          <w:spacing w:val="-14"/>
          <w:sz w:val="22"/>
        </w:rPr>
        <w:t> </w:t>
      </w:r>
      <w:r>
        <w:rPr>
          <w:sz w:val="22"/>
        </w:rPr>
        <w:t>and</w:t>
      </w:r>
      <w:r>
        <w:rPr>
          <w:spacing w:val="-13"/>
          <w:sz w:val="22"/>
        </w:rPr>
        <w:t> </w:t>
      </w:r>
      <w:r>
        <w:rPr>
          <w:sz w:val="22"/>
        </w:rPr>
        <w:t>academic</w:t>
      </w:r>
      <w:r>
        <w:rPr>
          <w:spacing w:val="-13"/>
          <w:sz w:val="22"/>
        </w:rPr>
        <w:t> </w:t>
      </w:r>
      <w:r>
        <w:rPr>
          <w:sz w:val="22"/>
        </w:rPr>
        <w:t>experience.</w:t>
      </w:r>
      <w:r>
        <w:rPr>
          <w:spacing w:val="-10"/>
          <w:sz w:val="22"/>
        </w:rPr>
        <w:t> </w:t>
      </w:r>
      <w:r>
        <w:rPr>
          <w:i/>
          <w:sz w:val="22"/>
        </w:rPr>
        <w:t>Journal</w:t>
      </w:r>
      <w:r>
        <w:rPr>
          <w:i/>
          <w:spacing w:val="-13"/>
          <w:sz w:val="22"/>
        </w:rPr>
        <w:t> </w:t>
      </w:r>
      <w:r>
        <w:rPr>
          <w:i/>
          <w:sz w:val="22"/>
        </w:rPr>
        <w:t>of</w:t>
      </w:r>
      <w:r>
        <w:rPr>
          <w:i/>
          <w:spacing w:val="-13"/>
          <w:sz w:val="22"/>
        </w:rPr>
        <w:t> </w:t>
      </w:r>
      <w:r>
        <w:rPr>
          <w:i/>
          <w:sz w:val="22"/>
        </w:rPr>
        <w:t>Educational</w:t>
      </w:r>
      <w:r>
        <w:rPr>
          <w:i/>
          <w:spacing w:val="-13"/>
          <w:sz w:val="22"/>
        </w:rPr>
        <w:t> </w:t>
      </w:r>
      <w:r>
        <w:rPr>
          <w:i/>
          <w:sz w:val="22"/>
        </w:rPr>
        <w:t>Research</w:t>
      </w:r>
      <w:r>
        <w:rPr>
          <w:i/>
          <w:spacing w:val="-14"/>
          <w:sz w:val="22"/>
        </w:rPr>
        <w:t> </w:t>
      </w:r>
      <w:r>
        <w:rPr>
          <w:i/>
          <w:sz w:val="22"/>
        </w:rPr>
        <w:t>and</w:t>
      </w:r>
      <w:r>
        <w:rPr>
          <w:i/>
          <w:spacing w:val="-14"/>
          <w:sz w:val="22"/>
        </w:rPr>
        <w:t> </w:t>
      </w:r>
      <w:r>
        <w:rPr>
          <w:i/>
          <w:sz w:val="22"/>
        </w:rPr>
        <w:t>Practice,</w:t>
      </w:r>
      <w:r>
        <w:rPr>
          <w:i/>
          <w:spacing w:val="-14"/>
          <w:sz w:val="22"/>
        </w:rPr>
        <w:t> </w:t>
      </w:r>
      <w:r>
        <w:rPr>
          <w:i/>
          <w:sz w:val="22"/>
        </w:rPr>
        <w:t>11</w:t>
      </w:r>
      <w:r>
        <w:rPr>
          <w:sz w:val="22"/>
        </w:rPr>
        <w:t>(1),</w:t>
      </w:r>
      <w:r>
        <w:rPr>
          <w:spacing w:val="-12"/>
          <w:sz w:val="22"/>
        </w:rPr>
        <w:t> </w:t>
      </w:r>
      <w:r>
        <w:rPr>
          <w:sz w:val="22"/>
        </w:rPr>
        <w:t>45–</w:t>
      </w:r>
      <w:r>
        <w:rPr>
          <w:spacing w:val="-4"/>
          <w:sz w:val="22"/>
        </w:rPr>
        <w:t>59.</w:t>
      </w:r>
    </w:p>
    <w:p>
      <w:pPr>
        <w:pStyle w:val="BodyText"/>
        <w:ind w:left="0"/>
        <w:jc w:val="left"/>
      </w:pPr>
    </w:p>
    <w:p>
      <w:pPr>
        <w:spacing w:before="1"/>
        <w:ind w:left="1798" w:right="359" w:hanging="721"/>
        <w:jc w:val="both"/>
        <w:rPr>
          <w:sz w:val="22"/>
        </w:rPr>
      </w:pPr>
      <w:r>
        <w:rPr>
          <w:sz w:val="22"/>
        </w:rPr>
        <w:t>García-Moya, I., Brooks, F., &amp; Moreno, C. (2019). The relationship between school Belonging and student well being: A cross-country</w:t>
      </w:r>
      <w:r>
        <w:rPr>
          <w:spacing w:val="-3"/>
          <w:sz w:val="22"/>
        </w:rPr>
        <w:t> </w:t>
      </w:r>
      <w:r>
        <w:rPr>
          <w:sz w:val="22"/>
        </w:rPr>
        <w:t>analysis. </w:t>
      </w:r>
      <w:r>
        <w:rPr>
          <w:i/>
          <w:sz w:val="22"/>
        </w:rPr>
        <w:t>International Journal of Educational Research, 93, </w:t>
      </w:r>
      <w:r>
        <w:rPr>
          <w:sz w:val="22"/>
        </w:rPr>
        <w:t>50–64.</w:t>
      </w:r>
    </w:p>
    <w:p>
      <w:pPr>
        <w:pStyle w:val="BodyText"/>
        <w:ind w:left="0"/>
        <w:jc w:val="left"/>
      </w:pPr>
    </w:p>
    <w:p>
      <w:pPr>
        <w:pStyle w:val="BodyText"/>
        <w:ind w:left="1798" w:right="357" w:hanging="721"/>
        <w:rPr>
          <w:i/>
        </w:rPr>
      </w:pPr>
      <w:r>
        <w:rPr/>
        <w:t>García, E., &amp; Weiss, E. (2020). COVID-19 and student performance, equity, and the U.S. Education policy. </w:t>
      </w:r>
      <w:r>
        <w:rPr>
          <w:i/>
        </w:rPr>
        <w:t>Economic Policy Institute.</w:t>
      </w:r>
    </w:p>
    <w:p>
      <w:pPr>
        <w:pStyle w:val="BodyText"/>
        <w:spacing w:before="1"/>
        <w:ind w:left="0"/>
        <w:jc w:val="left"/>
        <w:rPr>
          <w:i/>
        </w:rPr>
      </w:pPr>
    </w:p>
    <w:p>
      <w:pPr>
        <w:pStyle w:val="BodyText"/>
        <w:ind w:left="1798" w:right="357" w:hanging="721"/>
      </w:pPr>
      <w:r>
        <w:rPr/>
        <w:t>Gorospe, M. A., Rabanal, M. A. S., &amp; Talosa, A. D. (2021). Satisfaction with the university</w:t>
      </w:r>
      <w:r>
        <w:rPr>
          <w:spacing w:val="-2"/>
        </w:rPr>
        <w:t> </w:t>
      </w:r>
      <w:r>
        <w:rPr/>
        <w:t>frontline services: From the lens of transacting students and employees. International Journal of Evaluation and Research in Education (IJERE), 10(3), 984–992.</w:t>
      </w:r>
    </w:p>
    <w:p>
      <w:pPr>
        <w:pStyle w:val="BodyText"/>
        <w:ind w:left="0"/>
        <w:jc w:val="left"/>
      </w:pPr>
    </w:p>
    <w:p>
      <w:pPr>
        <w:spacing w:line="252" w:lineRule="exact" w:before="0"/>
        <w:ind w:left="1078" w:right="0" w:firstLine="0"/>
        <w:jc w:val="left"/>
        <w:rPr>
          <w:i/>
          <w:sz w:val="22"/>
        </w:rPr>
      </w:pPr>
      <w:r>
        <w:rPr>
          <w:sz w:val="22"/>
        </w:rPr>
        <w:t>Hattie,</w:t>
      </w:r>
      <w:r>
        <w:rPr>
          <w:spacing w:val="25"/>
          <w:sz w:val="22"/>
        </w:rPr>
        <w:t> </w:t>
      </w:r>
      <w:r>
        <w:rPr>
          <w:sz w:val="22"/>
        </w:rPr>
        <w:t>J.</w:t>
      </w:r>
      <w:r>
        <w:rPr>
          <w:spacing w:val="29"/>
          <w:sz w:val="22"/>
        </w:rPr>
        <w:t> </w:t>
      </w:r>
      <w:r>
        <w:rPr>
          <w:sz w:val="22"/>
        </w:rPr>
        <w:t>(2015).</w:t>
      </w:r>
      <w:r>
        <w:rPr>
          <w:spacing w:val="31"/>
          <w:sz w:val="22"/>
        </w:rPr>
        <w:t> </w:t>
      </w:r>
      <w:r>
        <w:rPr>
          <w:i/>
          <w:sz w:val="22"/>
        </w:rPr>
        <w:t>Visible</w:t>
      </w:r>
      <w:r>
        <w:rPr>
          <w:i/>
          <w:spacing w:val="28"/>
          <w:sz w:val="22"/>
        </w:rPr>
        <w:t> </w:t>
      </w:r>
      <w:r>
        <w:rPr>
          <w:i/>
          <w:sz w:val="22"/>
        </w:rPr>
        <w:t>learning:</w:t>
      </w:r>
      <w:r>
        <w:rPr>
          <w:i/>
          <w:spacing w:val="27"/>
          <w:sz w:val="22"/>
        </w:rPr>
        <w:t> </w:t>
      </w:r>
      <w:r>
        <w:rPr>
          <w:i/>
          <w:sz w:val="22"/>
        </w:rPr>
        <w:t>A</w:t>
      </w:r>
      <w:r>
        <w:rPr>
          <w:i/>
          <w:spacing w:val="27"/>
          <w:sz w:val="22"/>
        </w:rPr>
        <w:t> </w:t>
      </w:r>
      <w:r>
        <w:rPr>
          <w:i/>
          <w:sz w:val="22"/>
        </w:rPr>
        <w:t>synthesis</w:t>
      </w:r>
      <w:r>
        <w:rPr>
          <w:i/>
          <w:spacing w:val="28"/>
          <w:sz w:val="22"/>
        </w:rPr>
        <w:t> </w:t>
      </w:r>
      <w:r>
        <w:rPr>
          <w:i/>
          <w:sz w:val="22"/>
        </w:rPr>
        <w:t>of</w:t>
      </w:r>
      <w:r>
        <w:rPr>
          <w:i/>
          <w:spacing w:val="28"/>
          <w:sz w:val="22"/>
        </w:rPr>
        <w:t> </w:t>
      </w:r>
      <w:r>
        <w:rPr>
          <w:i/>
          <w:sz w:val="22"/>
        </w:rPr>
        <w:t>over</w:t>
      </w:r>
      <w:r>
        <w:rPr>
          <w:i/>
          <w:spacing w:val="27"/>
          <w:sz w:val="22"/>
        </w:rPr>
        <w:t> </w:t>
      </w:r>
      <w:r>
        <w:rPr>
          <w:i/>
          <w:sz w:val="22"/>
        </w:rPr>
        <w:t>800</w:t>
      </w:r>
      <w:r>
        <w:rPr>
          <w:i/>
          <w:spacing w:val="27"/>
          <w:sz w:val="22"/>
        </w:rPr>
        <w:t> </w:t>
      </w:r>
      <w:r>
        <w:rPr>
          <w:i/>
          <w:sz w:val="22"/>
        </w:rPr>
        <w:t>meta-analyses</w:t>
      </w:r>
      <w:r>
        <w:rPr>
          <w:i/>
          <w:spacing w:val="28"/>
          <w:sz w:val="22"/>
        </w:rPr>
        <w:t> </w:t>
      </w:r>
      <w:r>
        <w:rPr>
          <w:i/>
          <w:sz w:val="22"/>
        </w:rPr>
        <w:t>relating</w:t>
      </w:r>
      <w:r>
        <w:rPr>
          <w:i/>
          <w:spacing w:val="27"/>
          <w:sz w:val="22"/>
        </w:rPr>
        <w:t> </w:t>
      </w:r>
      <w:r>
        <w:rPr>
          <w:i/>
          <w:sz w:val="22"/>
        </w:rPr>
        <w:t>to</w:t>
      </w:r>
      <w:r>
        <w:rPr>
          <w:i/>
          <w:spacing w:val="27"/>
          <w:sz w:val="22"/>
        </w:rPr>
        <w:t> </w:t>
      </w:r>
      <w:r>
        <w:rPr>
          <w:i/>
          <w:spacing w:val="-2"/>
          <w:sz w:val="22"/>
        </w:rPr>
        <w:t>achievement.</w:t>
      </w:r>
    </w:p>
    <w:p>
      <w:pPr>
        <w:pStyle w:val="BodyText"/>
        <w:spacing w:line="252" w:lineRule="exact"/>
        <w:ind w:left="1798"/>
        <w:jc w:val="left"/>
      </w:pPr>
      <w:r>
        <w:rPr>
          <w:spacing w:val="-2"/>
        </w:rPr>
        <w:t>Routledge.</w:t>
      </w:r>
    </w:p>
    <w:p>
      <w:pPr>
        <w:pStyle w:val="BodyText"/>
        <w:ind w:left="0"/>
        <w:jc w:val="left"/>
      </w:pPr>
    </w:p>
    <w:p>
      <w:pPr>
        <w:spacing w:before="0"/>
        <w:ind w:left="1798" w:right="359" w:hanging="721"/>
        <w:jc w:val="both"/>
        <w:rPr>
          <w:sz w:val="22"/>
        </w:rPr>
      </w:pPr>
      <w:r>
        <w:rPr>
          <w:sz w:val="22"/>
        </w:rPr>
        <w:t>Kim,</w:t>
      </w:r>
      <w:r>
        <w:rPr>
          <w:spacing w:val="-2"/>
          <w:sz w:val="22"/>
        </w:rPr>
        <w:t> </w:t>
      </w:r>
      <w:r>
        <w:rPr>
          <w:sz w:val="22"/>
        </w:rPr>
        <w:t>H.,</w:t>
      </w:r>
      <w:r>
        <w:rPr>
          <w:spacing w:val="-2"/>
          <w:sz w:val="22"/>
        </w:rPr>
        <w:t> </w:t>
      </w:r>
      <w:r>
        <w:rPr>
          <w:sz w:val="22"/>
        </w:rPr>
        <w:t>&amp;</w:t>
      </w:r>
      <w:r>
        <w:rPr>
          <w:spacing w:val="-2"/>
          <w:sz w:val="22"/>
        </w:rPr>
        <w:t> </w:t>
      </w:r>
      <w:r>
        <w:rPr>
          <w:sz w:val="22"/>
        </w:rPr>
        <w:t>Park,</w:t>
      </w:r>
      <w:r>
        <w:rPr>
          <w:spacing w:val="-4"/>
          <w:sz w:val="22"/>
        </w:rPr>
        <w:t> </w:t>
      </w:r>
      <w:r>
        <w:rPr>
          <w:sz w:val="22"/>
        </w:rPr>
        <w:t>J.</w:t>
      </w:r>
      <w:r>
        <w:rPr>
          <w:spacing w:val="-3"/>
          <w:sz w:val="22"/>
        </w:rPr>
        <w:t> </w:t>
      </w:r>
      <w:r>
        <w:rPr>
          <w:sz w:val="22"/>
        </w:rPr>
        <w:t>(2022).</w:t>
      </w:r>
      <w:r>
        <w:rPr>
          <w:spacing w:val="-2"/>
          <w:sz w:val="22"/>
        </w:rPr>
        <w:t> </w:t>
      </w:r>
      <w:r>
        <w:rPr>
          <w:sz w:val="22"/>
        </w:rPr>
        <w:t>Gender</w:t>
      </w:r>
      <w:r>
        <w:rPr>
          <w:spacing w:val="-2"/>
          <w:sz w:val="22"/>
        </w:rPr>
        <w:t> </w:t>
      </w:r>
      <w:r>
        <w:rPr>
          <w:sz w:val="22"/>
        </w:rPr>
        <w:t>differences</w:t>
      </w:r>
      <w:r>
        <w:rPr>
          <w:spacing w:val="-2"/>
          <w:sz w:val="22"/>
        </w:rPr>
        <w:t> </w:t>
      </w:r>
      <w:r>
        <w:rPr>
          <w:sz w:val="22"/>
        </w:rPr>
        <w:t>in</w:t>
      </w:r>
      <w:r>
        <w:rPr>
          <w:spacing w:val="-5"/>
          <w:sz w:val="22"/>
        </w:rPr>
        <w:t> </w:t>
      </w:r>
      <w:r>
        <w:rPr>
          <w:sz w:val="22"/>
        </w:rPr>
        <w:t>student</w:t>
      </w:r>
      <w:r>
        <w:rPr>
          <w:spacing w:val="-2"/>
          <w:sz w:val="22"/>
        </w:rPr>
        <w:t> </w:t>
      </w:r>
      <w:r>
        <w:rPr>
          <w:sz w:val="22"/>
        </w:rPr>
        <w:t>perceptions</w:t>
      </w:r>
      <w:r>
        <w:rPr>
          <w:spacing w:val="-2"/>
          <w:sz w:val="22"/>
        </w:rPr>
        <w:t> </w:t>
      </w:r>
      <w:r>
        <w:rPr>
          <w:sz w:val="22"/>
        </w:rPr>
        <w:t>of</w:t>
      </w:r>
      <w:r>
        <w:rPr>
          <w:spacing w:val="-4"/>
          <w:sz w:val="22"/>
        </w:rPr>
        <w:t> </w:t>
      </w:r>
      <w:r>
        <w:rPr>
          <w:sz w:val="22"/>
        </w:rPr>
        <w:t>school</w:t>
      </w:r>
      <w:r>
        <w:rPr>
          <w:spacing w:val="-4"/>
          <w:sz w:val="22"/>
        </w:rPr>
        <w:t> </w:t>
      </w:r>
      <w:r>
        <w:rPr>
          <w:sz w:val="22"/>
        </w:rPr>
        <w:t>Facilities</w:t>
      </w:r>
      <w:r>
        <w:rPr>
          <w:spacing w:val="-6"/>
          <w:sz w:val="22"/>
        </w:rPr>
        <w:t> </w:t>
      </w:r>
      <w:r>
        <w:rPr>
          <w:sz w:val="22"/>
        </w:rPr>
        <w:t>and</w:t>
      </w:r>
      <w:r>
        <w:rPr>
          <w:spacing w:val="-2"/>
          <w:sz w:val="22"/>
        </w:rPr>
        <w:t> </w:t>
      </w:r>
      <w:r>
        <w:rPr>
          <w:sz w:val="22"/>
        </w:rPr>
        <w:t>learning resources. </w:t>
      </w:r>
      <w:r>
        <w:rPr>
          <w:i/>
          <w:sz w:val="22"/>
        </w:rPr>
        <w:t>International Journal of Educational Development, 90, </w:t>
      </w:r>
      <w:r>
        <w:rPr>
          <w:sz w:val="22"/>
        </w:rPr>
        <w:t>102567.</w:t>
      </w:r>
    </w:p>
    <w:p>
      <w:pPr>
        <w:pStyle w:val="BodyText"/>
        <w:spacing w:before="1"/>
        <w:ind w:left="0"/>
        <w:jc w:val="left"/>
      </w:pPr>
    </w:p>
    <w:p>
      <w:pPr>
        <w:pStyle w:val="BodyText"/>
        <w:ind w:left="1798" w:right="362" w:hanging="721"/>
      </w:pPr>
      <w:r>
        <w:rPr/>
        <w:t>Lardier, D. T., Barrios, V. R., &amp; Garcia-Reid, P. (2022). The role of extracurricular Participation in promoting youth development: A multilevel perspective. </w:t>
      </w:r>
      <w:r>
        <w:rPr>
          <w:i/>
        </w:rPr>
        <w:t>Youth &amp;</w:t>
      </w:r>
      <w:r>
        <w:rPr>
          <w:i/>
          <w:spacing w:val="-9"/>
        </w:rPr>
        <w:t> </w:t>
      </w:r>
      <w:r>
        <w:rPr>
          <w:i/>
        </w:rPr>
        <w:t>Society, 54</w:t>
      </w:r>
      <w:r>
        <w:rPr/>
        <w:t>(7), 1231–1255.</w:t>
      </w:r>
    </w:p>
    <w:p>
      <w:pPr>
        <w:pStyle w:val="BodyText"/>
        <w:ind w:left="0"/>
        <w:jc w:val="left"/>
      </w:pPr>
    </w:p>
    <w:p>
      <w:pPr>
        <w:pStyle w:val="BodyText"/>
        <w:ind w:left="1798" w:right="365" w:hanging="721"/>
      </w:pPr>
      <w:r>
        <w:rPr/>
        <w:t>Marasigan, A. C., &amp; De Borja, J. M. A. (2020). Status of Science Laboratory</w:t>
      </w:r>
      <w:r>
        <w:rPr>
          <w:spacing w:val="-1"/>
        </w:rPr>
        <w:t> </w:t>
      </w:r>
      <w:r>
        <w:rPr/>
        <w:t>in a Public Junior High School. Available at SSRN 5075881.</w:t>
      </w:r>
    </w:p>
    <w:p>
      <w:pPr>
        <w:pStyle w:val="BodyText"/>
        <w:spacing w:after="0"/>
        <w:sectPr>
          <w:pgSz w:w="12240" w:h="15840"/>
          <w:pgMar w:header="98" w:footer="938" w:top="1340" w:bottom="1160" w:left="720" w:right="1080"/>
        </w:sectPr>
      </w:pPr>
    </w:p>
    <w:p>
      <w:pPr>
        <w:pStyle w:val="BodyText"/>
        <w:spacing w:before="104"/>
        <w:ind w:left="1798" w:right="355" w:hanging="721"/>
      </w:pPr>
      <w:r>
        <w:rPr/>
        <w:t>Micabalo,</w:t>
      </w:r>
      <w:r>
        <w:rPr>
          <w:spacing w:val="-5"/>
        </w:rPr>
        <w:t> </w:t>
      </w:r>
      <w:r>
        <w:rPr/>
        <w:t>K.</w:t>
      </w:r>
      <w:r>
        <w:rPr>
          <w:spacing w:val="-5"/>
        </w:rPr>
        <w:t> </w:t>
      </w:r>
      <w:r>
        <w:rPr/>
        <w:t>G.,</w:t>
      </w:r>
      <w:r>
        <w:rPr>
          <w:spacing w:val="-5"/>
        </w:rPr>
        <w:t> </w:t>
      </w:r>
      <w:r>
        <w:rPr/>
        <w:t>Cano,</w:t>
      </w:r>
      <w:r>
        <w:rPr>
          <w:spacing w:val="-6"/>
        </w:rPr>
        <w:t> </w:t>
      </w:r>
      <w:r>
        <w:rPr/>
        <w:t>J.</w:t>
      </w:r>
      <w:r>
        <w:rPr>
          <w:spacing w:val="-4"/>
        </w:rPr>
        <w:t> </w:t>
      </w:r>
      <w:r>
        <w:rPr/>
        <w:t>B.,</w:t>
      </w:r>
      <w:r>
        <w:rPr>
          <w:spacing w:val="-7"/>
        </w:rPr>
        <w:t> </w:t>
      </w:r>
      <w:r>
        <w:rPr/>
        <w:t>&amp;</w:t>
      </w:r>
      <w:r>
        <w:rPr>
          <w:spacing w:val="-5"/>
        </w:rPr>
        <w:t> </w:t>
      </w:r>
      <w:r>
        <w:rPr/>
        <w:t>Montilla,</w:t>
      </w:r>
      <w:r>
        <w:rPr>
          <w:spacing w:val="-5"/>
        </w:rPr>
        <w:t> </w:t>
      </w:r>
      <w:r>
        <w:rPr/>
        <w:t>R.</w:t>
      </w:r>
      <w:r>
        <w:rPr>
          <w:spacing w:val="-7"/>
        </w:rPr>
        <w:t> </w:t>
      </w:r>
      <w:r>
        <w:rPr/>
        <w:t>D.</w:t>
      </w:r>
      <w:r>
        <w:rPr>
          <w:spacing w:val="-5"/>
        </w:rPr>
        <w:t> </w:t>
      </w:r>
      <w:r>
        <w:rPr/>
        <w:t>(2020).</w:t>
      </w:r>
      <w:r>
        <w:rPr>
          <w:spacing w:val="-5"/>
        </w:rPr>
        <w:t> </w:t>
      </w:r>
      <w:r>
        <w:rPr/>
        <w:t>University</w:t>
      </w:r>
      <w:r>
        <w:rPr>
          <w:spacing w:val="-10"/>
        </w:rPr>
        <w:t> </w:t>
      </w:r>
      <w:r>
        <w:rPr/>
        <w:t>performance</w:t>
      </w:r>
      <w:r>
        <w:rPr>
          <w:spacing w:val="-5"/>
        </w:rPr>
        <w:t> </w:t>
      </w:r>
      <w:r>
        <w:rPr/>
        <w:t>satisfaction:</w:t>
      </w:r>
      <w:r>
        <w:rPr>
          <w:spacing w:val="-5"/>
        </w:rPr>
        <w:t> </w:t>
      </w:r>
      <w:r>
        <w:rPr/>
        <w:t>A</w:t>
      </w:r>
      <w:r>
        <w:rPr>
          <w:spacing w:val="-6"/>
        </w:rPr>
        <w:t> </w:t>
      </w:r>
      <w:r>
        <w:rPr/>
        <w:t>student experience</w:t>
      </w:r>
      <w:r>
        <w:rPr>
          <w:spacing w:val="-13"/>
        </w:rPr>
        <w:t> </w:t>
      </w:r>
      <w:r>
        <w:rPr/>
        <w:t>in</w:t>
      </w:r>
      <w:r>
        <w:rPr>
          <w:spacing w:val="-12"/>
        </w:rPr>
        <w:t> </w:t>
      </w:r>
      <w:r>
        <w:rPr/>
        <w:t>the</w:t>
      </w:r>
      <w:r>
        <w:rPr>
          <w:spacing w:val="-11"/>
        </w:rPr>
        <w:t> </w:t>
      </w:r>
      <w:r>
        <w:rPr/>
        <w:t>Philippines.</w:t>
      </w:r>
      <w:r>
        <w:rPr>
          <w:spacing w:val="-13"/>
        </w:rPr>
        <w:t> </w:t>
      </w:r>
      <w:r>
        <w:rPr/>
        <w:t>Asian</w:t>
      </w:r>
      <w:r>
        <w:rPr>
          <w:spacing w:val="-13"/>
        </w:rPr>
        <w:t> </w:t>
      </w:r>
      <w:r>
        <w:rPr/>
        <w:t>Journal</w:t>
      </w:r>
      <w:r>
        <w:rPr>
          <w:spacing w:val="-11"/>
        </w:rPr>
        <w:t> </w:t>
      </w:r>
      <w:r>
        <w:rPr/>
        <w:t>of</w:t>
      </w:r>
      <w:r>
        <w:rPr>
          <w:spacing w:val="-11"/>
        </w:rPr>
        <w:t> </w:t>
      </w:r>
      <w:r>
        <w:rPr/>
        <w:t>Engineering</w:t>
      </w:r>
      <w:r>
        <w:rPr>
          <w:spacing w:val="-13"/>
        </w:rPr>
        <w:t> </w:t>
      </w:r>
      <w:r>
        <w:rPr/>
        <w:t>and</w:t>
      </w:r>
      <w:r>
        <w:rPr>
          <w:spacing w:val="-11"/>
        </w:rPr>
        <w:t> </w:t>
      </w:r>
      <w:r>
        <w:rPr/>
        <w:t>Applied</w:t>
      </w:r>
      <w:r>
        <w:rPr>
          <w:spacing w:val="-11"/>
        </w:rPr>
        <w:t> </w:t>
      </w:r>
      <w:r>
        <w:rPr/>
        <w:t>Technology,</w:t>
      </w:r>
      <w:r>
        <w:rPr>
          <w:spacing w:val="-11"/>
        </w:rPr>
        <w:t> </w:t>
      </w:r>
      <w:r>
        <w:rPr/>
        <w:t>9(2),</w:t>
      </w:r>
      <w:r>
        <w:rPr>
          <w:spacing w:val="-10"/>
        </w:rPr>
        <w:t> </w:t>
      </w:r>
      <w:r>
        <w:rPr>
          <w:spacing w:val="-5"/>
        </w:rPr>
        <w:t>29–</w:t>
      </w:r>
    </w:p>
    <w:p>
      <w:pPr>
        <w:pStyle w:val="BodyText"/>
        <w:ind w:left="1798"/>
        <w:jc w:val="left"/>
      </w:pPr>
      <w:r>
        <w:rPr/>
        <w:t>35.</w:t>
      </w:r>
      <w:r>
        <w:rPr>
          <w:spacing w:val="-10"/>
        </w:rPr>
        <w:t> </w:t>
      </w:r>
      <w:hyperlink r:id="rId19">
        <w:r>
          <w:rPr/>
          <w:t>https://doi.org/10.51983/ajeat-</w:t>
        </w:r>
        <w:r>
          <w:rPr>
            <w:spacing w:val="-2"/>
          </w:rPr>
          <w:t>2020.9.2.1088</w:t>
        </w:r>
      </w:hyperlink>
    </w:p>
    <w:p>
      <w:pPr>
        <w:pStyle w:val="BodyText"/>
        <w:ind w:left="0"/>
        <w:jc w:val="left"/>
      </w:pPr>
    </w:p>
    <w:p>
      <w:pPr>
        <w:pStyle w:val="BodyText"/>
        <w:ind w:left="1798" w:right="358" w:hanging="721"/>
      </w:pPr>
      <w:r>
        <w:rPr/>
        <w:t>Montebon, Richie L., and Rafael M. Bachanicha. "Assessment of the Student Satisfaction on the Consultation Program." JPAIR Institutional Research Journal 11, no. 1 (2018): 1-1.</w:t>
      </w:r>
    </w:p>
    <w:p>
      <w:pPr>
        <w:pStyle w:val="BodyText"/>
        <w:ind w:left="0"/>
        <w:jc w:val="left"/>
      </w:pPr>
    </w:p>
    <w:p>
      <w:pPr>
        <w:pStyle w:val="BodyText"/>
        <w:ind w:left="1798" w:right="363" w:hanging="721"/>
      </w:pPr>
      <w:r>
        <w:rPr/>
        <w:t>Mohamad, Stephen L. "Learning Environment and Academic Engagement in Science of Junior High School Students." Online Submission 141, no. 1 (2024): 233–240.</w:t>
      </w:r>
    </w:p>
    <w:p>
      <w:pPr>
        <w:pStyle w:val="BodyText"/>
        <w:spacing w:before="1"/>
        <w:ind w:left="0"/>
        <w:jc w:val="left"/>
      </w:pPr>
    </w:p>
    <w:p>
      <w:pPr>
        <w:spacing w:before="0"/>
        <w:ind w:left="1798" w:right="360" w:hanging="721"/>
        <w:jc w:val="both"/>
        <w:rPr>
          <w:sz w:val="22"/>
        </w:rPr>
      </w:pPr>
      <w:r>
        <w:rPr>
          <w:sz w:val="22"/>
        </w:rPr>
        <w:t>Nguyen, T. D., Cannata, M., &amp; Miller, J. (2021). Understanding student engagement: The Roles of Teacher Practices and School Climate </w:t>
      </w:r>
      <w:r>
        <w:rPr>
          <w:i/>
          <w:sz w:val="22"/>
        </w:rPr>
        <w:t>Journal of Educational Research, 114</w:t>
      </w:r>
      <w:r>
        <w:rPr>
          <w:sz w:val="22"/>
        </w:rPr>
        <w:t>(1), 1–14.</w:t>
      </w:r>
    </w:p>
    <w:p>
      <w:pPr>
        <w:pStyle w:val="BodyText"/>
        <w:spacing w:before="252"/>
        <w:ind w:left="1798" w:right="361" w:hanging="721"/>
      </w:pPr>
      <w:r>
        <w:rPr/>
        <w:t>Richardson, J. T. E., Charlesworth, Z., &amp; Darby, J. (2022). Student satisfaction with Academic programmes in higher education: The role of students' academic and personal characteristics. </w:t>
      </w:r>
      <w:r>
        <w:rPr>
          <w:i/>
        </w:rPr>
        <w:t>Studies in Higher Education, 47</w:t>
      </w:r>
      <w:r>
        <w:rPr/>
        <w:t>(5), 947–960.</w:t>
      </w:r>
    </w:p>
    <w:p>
      <w:pPr>
        <w:pStyle w:val="BodyText"/>
        <w:ind w:left="0"/>
        <w:jc w:val="left"/>
      </w:pPr>
    </w:p>
    <w:p>
      <w:pPr>
        <w:spacing w:before="0"/>
        <w:ind w:left="1798" w:right="351" w:hanging="721"/>
        <w:jc w:val="both"/>
        <w:rPr>
          <w:sz w:val="22"/>
        </w:rPr>
      </w:pPr>
      <w:r>
        <w:rPr>
          <w:sz w:val="22"/>
        </w:rPr>
        <w:t>Tinto,</w:t>
      </w:r>
      <w:r>
        <w:rPr>
          <w:spacing w:val="-12"/>
          <w:sz w:val="22"/>
        </w:rPr>
        <w:t> </w:t>
      </w:r>
      <w:r>
        <w:rPr>
          <w:sz w:val="22"/>
        </w:rPr>
        <w:t>V.</w:t>
      </w:r>
      <w:r>
        <w:rPr>
          <w:spacing w:val="-10"/>
          <w:sz w:val="22"/>
        </w:rPr>
        <w:t> </w:t>
      </w:r>
      <w:r>
        <w:rPr>
          <w:sz w:val="22"/>
        </w:rPr>
        <w:t>(2017).</w:t>
      </w:r>
      <w:r>
        <w:rPr>
          <w:spacing w:val="-9"/>
          <w:sz w:val="22"/>
        </w:rPr>
        <w:t> </w:t>
      </w:r>
      <w:r>
        <w:rPr>
          <w:i/>
          <w:sz w:val="22"/>
        </w:rPr>
        <w:t>Through</w:t>
      </w:r>
      <w:r>
        <w:rPr>
          <w:i/>
          <w:spacing w:val="-11"/>
          <w:sz w:val="22"/>
        </w:rPr>
        <w:t> </w:t>
      </w:r>
      <w:r>
        <w:rPr>
          <w:i/>
          <w:sz w:val="22"/>
        </w:rPr>
        <w:t>the</w:t>
      </w:r>
      <w:r>
        <w:rPr>
          <w:i/>
          <w:spacing w:val="-10"/>
          <w:sz w:val="22"/>
        </w:rPr>
        <w:t> </w:t>
      </w:r>
      <w:r>
        <w:rPr>
          <w:i/>
          <w:sz w:val="22"/>
        </w:rPr>
        <w:t>eyes</w:t>
      </w:r>
      <w:r>
        <w:rPr>
          <w:i/>
          <w:spacing w:val="-11"/>
          <w:sz w:val="22"/>
        </w:rPr>
        <w:t> </w:t>
      </w:r>
      <w:r>
        <w:rPr>
          <w:i/>
          <w:sz w:val="22"/>
        </w:rPr>
        <w:t>of</w:t>
      </w:r>
      <w:r>
        <w:rPr>
          <w:i/>
          <w:spacing w:val="-10"/>
          <w:sz w:val="22"/>
        </w:rPr>
        <w:t> </w:t>
      </w:r>
      <w:r>
        <w:rPr>
          <w:i/>
          <w:sz w:val="22"/>
        </w:rPr>
        <w:t>students.</w:t>
      </w:r>
      <w:r>
        <w:rPr>
          <w:i/>
          <w:spacing w:val="-8"/>
          <w:sz w:val="22"/>
        </w:rPr>
        <w:t> </w:t>
      </w:r>
      <w:r>
        <w:rPr>
          <w:sz w:val="22"/>
        </w:rPr>
        <w:t>Journal</w:t>
      </w:r>
      <w:r>
        <w:rPr>
          <w:spacing w:val="-11"/>
          <w:sz w:val="22"/>
        </w:rPr>
        <w:t> </w:t>
      </w:r>
      <w:r>
        <w:rPr>
          <w:sz w:val="22"/>
        </w:rPr>
        <w:t>of</w:t>
      </w:r>
      <w:r>
        <w:rPr>
          <w:spacing w:val="-10"/>
          <w:sz w:val="22"/>
        </w:rPr>
        <w:t> </w:t>
      </w:r>
      <w:r>
        <w:rPr>
          <w:sz w:val="22"/>
        </w:rPr>
        <w:t>College</w:t>
      </w:r>
      <w:r>
        <w:rPr>
          <w:spacing w:val="-11"/>
          <w:sz w:val="22"/>
        </w:rPr>
        <w:t> </w:t>
      </w:r>
      <w:r>
        <w:rPr>
          <w:sz w:val="22"/>
        </w:rPr>
        <w:t>Student</w:t>
      </w:r>
      <w:r>
        <w:rPr>
          <w:spacing w:val="-10"/>
          <w:sz w:val="22"/>
        </w:rPr>
        <w:t> </w:t>
      </w:r>
      <w:r>
        <w:rPr>
          <w:sz w:val="22"/>
        </w:rPr>
        <w:t>Retention:</w:t>
      </w:r>
      <w:r>
        <w:rPr>
          <w:spacing w:val="-11"/>
          <w:sz w:val="22"/>
        </w:rPr>
        <w:t> </w:t>
      </w:r>
      <w:r>
        <w:rPr>
          <w:sz w:val="22"/>
        </w:rPr>
        <w:t>Research,</w:t>
      </w:r>
      <w:r>
        <w:rPr>
          <w:spacing w:val="-10"/>
          <w:sz w:val="22"/>
        </w:rPr>
        <w:t> </w:t>
      </w:r>
      <w:r>
        <w:rPr>
          <w:sz w:val="22"/>
        </w:rPr>
        <w:t>Theory &amp; Practice, 19(3), 254–269.</w:t>
      </w:r>
    </w:p>
    <w:p>
      <w:pPr>
        <w:pStyle w:val="BodyText"/>
        <w:spacing w:before="1"/>
        <w:ind w:left="0"/>
        <w:jc w:val="left"/>
      </w:pPr>
    </w:p>
    <w:p>
      <w:pPr>
        <w:pStyle w:val="BodyText"/>
        <w:ind w:left="1798" w:right="360" w:hanging="721"/>
      </w:pPr>
      <w:r>
        <w:rPr/>
        <w:t>Torres, J., &amp; Alieto, E. (2019). English learning motivation and self-efficacy of Filipino senior high school students. Asian EFL Journal, 22(1), 51-72.</w:t>
      </w:r>
    </w:p>
    <w:p>
      <w:pPr>
        <w:pStyle w:val="BodyText"/>
        <w:spacing w:before="252"/>
        <w:ind w:left="1798" w:hanging="721"/>
        <w:jc w:val="left"/>
      </w:pPr>
      <w:r>
        <w:rPr>
          <w:color w:val="212121"/>
        </w:rPr>
        <w:t>Pianta, R. C., Belsky, J., Vandergrift, N., Houts, R., &amp; Morrison, F. J. (2008). Classroom</w:t>
      </w:r>
      <w:r>
        <w:rPr>
          <w:color w:val="212121"/>
          <w:spacing w:val="-2"/>
        </w:rPr>
        <w:t> </w:t>
      </w:r>
      <w:r>
        <w:rPr>
          <w:color w:val="212121"/>
        </w:rPr>
        <w:t>Effects on Children's</w:t>
      </w:r>
      <w:r>
        <w:rPr>
          <w:color w:val="212121"/>
          <w:spacing w:val="-6"/>
        </w:rPr>
        <w:t> </w:t>
      </w:r>
      <w:r>
        <w:rPr>
          <w:color w:val="212121"/>
        </w:rPr>
        <w:t>Achievement</w:t>
      </w:r>
      <w:r>
        <w:rPr>
          <w:color w:val="212121"/>
          <w:spacing w:val="-4"/>
        </w:rPr>
        <w:t> </w:t>
      </w:r>
      <w:r>
        <w:rPr>
          <w:color w:val="212121"/>
        </w:rPr>
        <w:t>Trajectories</w:t>
      </w:r>
      <w:r>
        <w:rPr>
          <w:color w:val="212121"/>
          <w:spacing w:val="-6"/>
        </w:rPr>
        <w:t> </w:t>
      </w:r>
      <w:r>
        <w:rPr>
          <w:color w:val="212121"/>
        </w:rPr>
        <w:t>in</w:t>
      </w:r>
      <w:r>
        <w:rPr>
          <w:color w:val="212121"/>
          <w:spacing w:val="-5"/>
        </w:rPr>
        <w:t> </w:t>
      </w:r>
      <w:r>
        <w:rPr>
          <w:color w:val="212121"/>
        </w:rPr>
        <w:t>Elementary</w:t>
      </w:r>
      <w:r>
        <w:rPr>
          <w:color w:val="212121"/>
          <w:spacing w:val="-11"/>
        </w:rPr>
        <w:t> </w:t>
      </w:r>
      <w:r>
        <w:rPr>
          <w:color w:val="212121"/>
        </w:rPr>
        <w:t>School. </w:t>
      </w:r>
      <w:r>
        <w:rPr>
          <w:i/>
          <w:color w:val="212121"/>
        </w:rPr>
        <w:t>American</w:t>
      </w:r>
      <w:r>
        <w:rPr>
          <w:i/>
          <w:color w:val="212121"/>
          <w:spacing w:val="-5"/>
        </w:rPr>
        <w:t> </w:t>
      </w:r>
      <w:r>
        <w:rPr>
          <w:i/>
          <w:color w:val="212121"/>
        </w:rPr>
        <w:t>Educational</w:t>
      </w:r>
      <w:r>
        <w:rPr>
          <w:i/>
          <w:color w:val="212121"/>
          <w:spacing w:val="-4"/>
        </w:rPr>
        <w:t> </w:t>
      </w:r>
      <w:r>
        <w:rPr>
          <w:i/>
          <w:color w:val="212121"/>
        </w:rPr>
        <w:t>Research Journal</w:t>
      </w:r>
      <w:r>
        <w:rPr>
          <w:color w:val="212121"/>
        </w:rPr>
        <w:t>, </w:t>
      </w:r>
      <w:r>
        <w:rPr>
          <w:i/>
          <w:color w:val="212121"/>
        </w:rPr>
        <w:t>45</w:t>
      </w:r>
      <w:r>
        <w:rPr>
          <w:color w:val="212121"/>
        </w:rPr>
        <w:t>(2), 365-397.</w:t>
      </w:r>
    </w:p>
    <w:p>
      <w:pPr>
        <w:pStyle w:val="BodyText"/>
        <w:ind w:left="0"/>
        <w:jc w:val="left"/>
      </w:pPr>
    </w:p>
    <w:p>
      <w:pPr>
        <w:spacing w:before="1"/>
        <w:ind w:left="1052" w:right="0" w:firstLine="0"/>
        <w:jc w:val="left"/>
        <w:rPr>
          <w:sz w:val="22"/>
        </w:rPr>
      </w:pPr>
      <w:r>
        <w:rPr>
          <w:sz w:val="22"/>
        </w:rPr>
        <w:t>UNESCO.</w:t>
      </w:r>
      <w:r>
        <w:rPr>
          <w:spacing w:val="-1"/>
          <w:sz w:val="22"/>
        </w:rPr>
        <w:t> </w:t>
      </w:r>
      <w:r>
        <w:rPr>
          <w:sz w:val="22"/>
        </w:rPr>
        <w:t>(2021).</w:t>
      </w:r>
      <w:r>
        <w:rPr>
          <w:spacing w:val="-4"/>
          <w:sz w:val="22"/>
        </w:rPr>
        <w:t> </w:t>
      </w:r>
      <w:r>
        <w:rPr>
          <w:i/>
          <w:sz w:val="22"/>
        </w:rPr>
        <w:t>Behind</w:t>
      </w:r>
      <w:r>
        <w:rPr>
          <w:i/>
          <w:spacing w:val="-1"/>
          <w:sz w:val="22"/>
        </w:rPr>
        <w:t> </w:t>
      </w:r>
      <w:r>
        <w:rPr>
          <w:i/>
          <w:sz w:val="22"/>
        </w:rPr>
        <w:t>the</w:t>
      </w:r>
      <w:r>
        <w:rPr>
          <w:i/>
          <w:spacing w:val="-1"/>
          <w:sz w:val="22"/>
        </w:rPr>
        <w:t> </w:t>
      </w:r>
      <w:r>
        <w:rPr>
          <w:i/>
          <w:sz w:val="22"/>
        </w:rPr>
        <w:t>numbers:</w:t>
      </w:r>
      <w:r>
        <w:rPr>
          <w:i/>
          <w:spacing w:val="-1"/>
          <w:sz w:val="22"/>
        </w:rPr>
        <w:t> </w:t>
      </w:r>
      <w:r>
        <w:rPr>
          <w:i/>
          <w:sz w:val="22"/>
        </w:rPr>
        <w:t>Ending</w:t>
      </w:r>
      <w:r>
        <w:rPr>
          <w:i/>
          <w:spacing w:val="-1"/>
          <w:sz w:val="22"/>
        </w:rPr>
        <w:t> </w:t>
      </w:r>
      <w:r>
        <w:rPr>
          <w:i/>
          <w:sz w:val="22"/>
        </w:rPr>
        <w:t>school</w:t>
      </w:r>
      <w:r>
        <w:rPr>
          <w:i/>
          <w:spacing w:val="-1"/>
          <w:sz w:val="22"/>
        </w:rPr>
        <w:t> </w:t>
      </w:r>
      <w:r>
        <w:rPr>
          <w:i/>
          <w:sz w:val="22"/>
        </w:rPr>
        <w:t>violence</w:t>
      </w:r>
      <w:r>
        <w:rPr>
          <w:i/>
          <w:spacing w:val="-2"/>
          <w:sz w:val="22"/>
        </w:rPr>
        <w:t> </w:t>
      </w:r>
      <w:r>
        <w:rPr>
          <w:i/>
          <w:sz w:val="22"/>
        </w:rPr>
        <w:t>and</w:t>
      </w:r>
      <w:r>
        <w:rPr>
          <w:i/>
          <w:spacing w:val="-1"/>
          <w:sz w:val="22"/>
        </w:rPr>
        <w:t> </w:t>
      </w:r>
      <w:r>
        <w:rPr>
          <w:i/>
          <w:sz w:val="22"/>
        </w:rPr>
        <w:t>bullying</w:t>
      </w:r>
      <w:r>
        <w:rPr>
          <w:sz w:val="22"/>
        </w:rPr>
        <w:t>.</w:t>
      </w:r>
      <w:r>
        <w:rPr>
          <w:spacing w:val="-3"/>
          <w:sz w:val="22"/>
        </w:rPr>
        <w:t> </w:t>
      </w:r>
      <w:r>
        <w:rPr>
          <w:sz w:val="22"/>
        </w:rPr>
        <w:t>UNESCO</w:t>
      </w:r>
      <w:r>
        <w:rPr>
          <w:spacing w:val="-1"/>
          <w:sz w:val="22"/>
        </w:rPr>
        <w:t> </w:t>
      </w:r>
      <w:r>
        <w:rPr>
          <w:spacing w:val="-2"/>
          <w:sz w:val="22"/>
        </w:rPr>
        <w:t>Publishing.</w:t>
      </w:r>
    </w:p>
    <w:p>
      <w:pPr>
        <w:pStyle w:val="BodyText"/>
        <w:spacing w:before="253"/>
        <w:ind w:left="1440" w:right="356" w:hanging="388"/>
      </w:pPr>
      <w:r>
        <w:rPr/>
        <w:t>Wang, M. T., Degol, J. L., &amp; Amemiya, J. (2021). A conceptual framework for Understanding the causes and consequences of student engagement and disengagement. </w:t>
      </w:r>
      <w:r>
        <w:rPr>
          <w:i/>
        </w:rPr>
        <w:t>Educational Psychologist, 56</w:t>
      </w:r>
      <w:r>
        <w:rPr/>
        <w:t>(2), 83–103.</w:t>
      </w:r>
    </w:p>
    <w:sectPr>
      <w:pgSz w:w="12240" w:h="15840"/>
      <w:pgMar w:header="98" w:footer="938" w:top="1340" w:bottom="116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rPr>
        <w:sz w:val="20"/>
      </w:rPr>
    </w:pPr>
    <w:r>
      <w:rPr>
        <w:sz w:val="20"/>
      </w:rPr>
      <mc:AlternateContent>
        <mc:Choice Requires="wps">
          <w:drawing>
            <wp:anchor distT="0" distB="0" distL="0" distR="0" allowOverlap="1" layoutInCell="1" locked="0" behindDoc="1" simplePos="0" relativeHeight="486814720">
              <wp:simplePos x="0" y="0"/>
              <wp:positionH relativeFrom="page">
                <wp:posOffset>895350</wp:posOffset>
              </wp:positionH>
              <wp:positionV relativeFrom="page">
                <wp:posOffset>9259569</wp:posOffset>
              </wp:positionV>
              <wp:extent cx="5982970" cy="32384"/>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982970" cy="32384"/>
                        <a:chExt cx="5982970" cy="32384"/>
                      </a:xfrm>
                    </wpg:grpSpPr>
                    <wps:wsp>
                      <wps:cNvPr id="20" name="Graphic 20"/>
                      <wps:cNvSpPr/>
                      <wps:spPr>
                        <a:xfrm>
                          <a:off x="0" y="15240"/>
                          <a:ext cx="5982970" cy="6350"/>
                        </a:xfrm>
                        <a:custGeom>
                          <a:avLst/>
                          <a:gdLst/>
                          <a:ahLst/>
                          <a:cxnLst/>
                          <a:rect l="l" t="t" r="r" b="b"/>
                          <a:pathLst>
                            <a:path w="5982970" h="6350">
                              <a:moveTo>
                                <a:pt x="5982970" y="0"/>
                              </a:moveTo>
                              <a:lnTo>
                                <a:pt x="0" y="0"/>
                              </a:lnTo>
                              <a:lnTo>
                                <a:pt x="0" y="6350"/>
                              </a:lnTo>
                              <a:lnTo>
                                <a:pt x="5982970" y="6350"/>
                              </a:lnTo>
                              <a:lnTo>
                                <a:pt x="5982970" y="0"/>
                              </a:lnTo>
                              <a:close/>
                            </a:path>
                          </a:pathLst>
                        </a:custGeom>
                        <a:solidFill>
                          <a:srgbClr val="D9D9D9"/>
                        </a:solidFill>
                      </wps:spPr>
                      <wps:bodyPr wrap="square" lIns="0" tIns="0" rIns="0" bIns="0" rtlCol="0">
                        <a:prstTxWarp prst="textNoShape">
                          <a:avLst/>
                        </a:prstTxWarp>
                        <a:noAutofit/>
                      </wps:bodyPr>
                    </wps:wsp>
                    <wps:wsp>
                      <wps:cNvPr id="21" name="Graphic 21"/>
                      <wps:cNvSpPr/>
                      <wps:spPr>
                        <a:xfrm>
                          <a:off x="19050" y="6350"/>
                          <a:ext cx="5917565" cy="19685"/>
                        </a:xfrm>
                        <a:custGeom>
                          <a:avLst/>
                          <a:gdLst/>
                          <a:ahLst/>
                          <a:cxnLst/>
                          <a:rect l="l" t="t" r="r" b="b"/>
                          <a:pathLst>
                            <a:path w="5917565" h="19685">
                              <a:moveTo>
                                <a:pt x="0" y="19684"/>
                              </a:moveTo>
                              <a:lnTo>
                                <a:pt x="5917565" y="0"/>
                              </a:lnTo>
                            </a:path>
                          </a:pathLst>
                        </a:custGeom>
                        <a:ln w="1270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pt;margin-top:729.099976pt;width:471.1pt;height:2.550pt;mso-position-horizontal-relative:page;mso-position-vertical-relative:page;z-index:-16501760" id="docshapegroup10" coordorigin="1410,14582" coordsize="9422,51">
              <v:rect style="position:absolute;left:1410;top:14606;width:9422;height:10" id="docshape11" filled="true" fillcolor="#d9d9d9" stroked="false">
                <v:fill type="solid"/>
              </v:rect>
              <v:line style="position:absolute" from="1440,14623" to="10759,14592" stroked="true" strokeweight="1pt" strokecolor="#4471c4">
                <v:stroke dashstyle="solid"/>
              </v:line>
              <w10:wrap type="none"/>
            </v:group>
          </w:pict>
        </mc:Fallback>
      </mc:AlternateContent>
    </w:r>
    <w:r>
      <w:rPr>
        <w:sz w:val="20"/>
      </w:rPr>
      <mc:AlternateContent>
        <mc:Choice Requires="wps">
          <w:drawing>
            <wp:anchor distT="0" distB="0" distL="0" distR="0" allowOverlap="1" layoutInCell="1" locked="0" behindDoc="1" simplePos="0" relativeHeight="486815232">
              <wp:simplePos x="0" y="0"/>
              <wp:positionH relativeFrom="page">
                <wp:posOffset>6150228</wp:posOffset>
              </wp:positionH>
              <wp:positionV relativeFrom="page">
                <wp:posOffset>9308465</wp:posOffset>
              </wp:positionV>
              <wp:extent cx="684530" cy="1651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84530" cy="165100"/>
                      </a:xfrm>
                      <a:prstGeom prst="rect">
                        <a:avLst/>
                      </a:prstGeom>
                    </wps:spPr>
                    <wps:txbx>
                      <w:txbxContent>
                        <w:p>
                          <w:pPr>
                            <w:pStyle w:val="BodyText"/>
                            <w:spacing w:line="244" w:lineRule="exact"/>
                            <w:ind w:left="20"/>
                            <w:jc w:val="left"/>
                            <w:rPr>
                              <w:rFonts w:ascii="Calibri"/>
                            </w:rPr>
                          </w:pPr>
                          <w:r>
                            <w:rPr>
                              <w:rFonts w:ascii="Calibri"/>
                            </w:rPr>
                            <w:fldChar w:fldCharType="begin"/>
                          </w:r>
                          <w:r>
                            <w:rPr>
                              <w:rFonts w:ascii="Calibri"/>
                            </w:rPr>
                            <w:instrText> PAGE </w:instrText>
                          </w:r>
                          <w:r>
                            <w:rPr>
                              <w:rFonts w:ascii="Calibri"/>
                            </w:rPr>
                            <w:fldChar w:fldCharType="separate"/>
                          </w:r>
                          <w:r>
                            <w:rPr>
                              <w:rFonts w:ascii="Calibri"/>
                            </w:rPr>
                            <w:t>10</w:t>
                          </w:r>
                          <w:r>
                            <w:rPr>
                              <w:rFonts w:ascii="Calibri"/>
                            </w:rPr>
                            <w:fldChar w:fldCharType="end"/>
                          </w:r>
                          <w:r>
                            <w:rPr>
                              <w:rFonts w:ascii="Calibri"/>
                            </w:rPr>
                            <w:t> |</w:t>
                          </w:r>
                          <w:r>
                            <w:rPr>
                              <w:rFonts w:ascii="Calibri"/>
                              <w:spacing w:val="1"/>
                            </w:rPr>
                            <w:t> </w:t>
                          </w:r>
                          <w:r>
                            <w:rPr>
                              <w:rFonts w:ascii="Calibri"/>
                              <w:color w:val="7E7E7E"/>
                            </w:rPr>
                            <w:t>P</w:t>
                          </w:r>
                          <w:r>
                            <w:rPr>
                              <w:rFonts w:ascii="Calibri"/>
                              <w:color w:val="7E7E7E"/>
                              <w:spacing w:val="8"/>
                            </w:rPr>
                            <w:t> </w:t>
                          </w:r>
                          <w:r>
                            <w:rPr>
                              <w:rFonts w:ascii="Calibri"/>
                              <w:color w:val="7E7E7E"/>
                            </w:rPr>
                            <w:t>a</w:t>
                          </w:r>
                          <w:r>
                            <w:rPr>
                              <w:rFonts w:ascii="Calibri"/>
                              <w:color w:val="7E7E7E"/>
                              <w:spacing w:val="10"/>
                            </w:rPr>
                            <w:t> </w:t>
                          </w:r>
                          <w:r>
                            <w:rPr>
                              <w:rFonts w:ascii="Calibri"/>
                              <w:color w:val="7E7E7E"/>
                            </w:rPr>
                            <w:t>g</w:t>
                          </w:r>
                          <w:r>
                            <w:rPr>
                              <w:rFonts w:ascii="Calibri"/>
                              <w:color w:val="7E7E7E"/>
                              <w:spacing w:val="10"/>
                            </w:rPr>
                            <w:t> </w:t>
                          </w:r>
                          <w:r>
                            <w:rPr>
                              <w:rFonts w:ascii="Calibri"/>
                              <w:color w:val="7E7E7E"/>
                              <w:spacing w:val="-10"/>
                            </w:rPr>
                            <w:t>e</w:t>
                          </w:r>
                        </w:p>
                      </w:txbxContent>
                    </wps:txbx>
                    <wps:bodyPr wrap="square" lIns="0" tIns="0" rIns="0" bIns="0" rtlCol="0">
                      <a:noAutofit/>
                    </wps:bodyPr>
                  </wps:wsp>
                </a:graphicData>
              </a:graphic>
            </wp:anchor>
          </w:drawing>
        </mc:Choice>
        <mc:Fallback>
          <w:pict>
            <v:shape style="position:absolute;margin-left:484.269989pt;margin-top:732.950012pt;width:53.9pt;height:13pt;mso-position-horizontal-relative:page;mso-position-vertical-relative:page;z-index:-16501248" type="#_x0000_t202" id="docshape12" filled="false" stroked="false">
              <v:textbox inset="0,0,0,0">
                <w:txbxContent>
                  <w:p>
                    <w:pPr>
                      <w:pStyle w:val="BodyText"/>
                      <w:spacing w:line="244" w:lineRule="exact"/>
                      <w:ind w:left="20"/>
                      <w:jc w:val="left"/>
                      <w:rPr>
                        <w:rFonts w:ascii="Calibri"/>
                      </w:rPr>
                    </w:pPr>
                    <w:r>
                      <w:rPr>
                        <w:rFonts w:ascii="Calibri"/>
                      </w:rPr>
                      <w:fldChar w:fldCharType="begin"/>
                    </w:r>
                    <w:r>
                      <w:rPr>
                        <w:rFonts w:ascii="Calibri"/>
                      </w:rPr>
                      <w:instrText> PAGE </w:instrText>
                    </w:r>
                    <w:r>
                      <w:rPr>
                        <w:rFonts w:ascii="Calibri"/>
                      </w:rPr>
                      <w:fldChar w:fldCharType="separate"/>
                    </w:r>
                    <w:r>
                      <w:rPr>
                        <w:rFonts w:ascii="Calibri"/>
                      </w:rPr>
                      <w:t>10</w:t>
                    </w:r>
                    <w:r>
                      <w:rPr>
                        <w:rFonts w:ascii="Calibri"/>
                      </w:rPr>
                      <w:fldChar w:fldCharType="end"/>
                    </w:r>
                    <w:r>
                      <w:rPr>
                        <w:rFonts w:ascii="Calibri"/>
                      </w:rPr>
                      <w:t> |</w:t>
                    </w:r>
                    <w:r>
                      <w:rPr>
                        <w:rFonts w:ascii="Calibri"/>
                        <w:spacing w:val="1"/>
                      </w:rPr>
                      <w:t> </w:t>
                    </w:r>
                    <w:r>
                      <w:rPr>
                        <w:rFonts w:ascii="Calibri"/>
                        <w:color w:val="7E7E7E"/>
                      </w:rPr>
                      <w:t>P</w:t>
                    </w:r>
                    <w:r>
                      <w:rPr>
                        <w:rFonts w:ascii="Calibri"/>
                        <w:color w:val="7E7E7E"/>
                        <w:spacing w:val="8"/>
                      </w:rPr>
                      <w:t> </w:t>
                    </w:r>
                    <w:r>
                      <w:rPr>
                        <w:rFonts w:ascii="Calibri"/>
                        <w:color w:val="7E7E7E"/>
                      </w:rPr>
                      <w:t>a</w:t>
                    </w:r>
                    <w:r>
                      <w:rPr>
                        <w:rFonts w:ascii="Calibri"/>
                        <w:color w:val="7E7E7E"/>
                        <w:spacing w:val="10"/>
                      </w:rPr>
                      <w:t> </w:t>
                    </w:r>
                    <w:r>
                      <w:rPr>
                        <w:rFonts w:ascii="Calibri"/>
                        <w:color w:val="7E7E7E"/>
                      </w:rPr>
                      <w:t>g</w:t>
                    </w:r>
                    <w:r>
                      <w:rPr>
                        <w:rFonts w:ascii="Calibri"/>
                        <w:color w:val="7E7E7E"/>
                        <w:spacing w:val="10"/>
                      </w:rPr>
                      <w:t> </w:t>
                    </w:r>
                    <w:r>
                      <w:rPr>
                        <w:rFonts w:ascii="Calibri"/>
                        <w:color w:val="7E7E7E"/>
                        <w:spacing w:val="-10"/>
                      </w:rPr>
                      <w: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5744">
              <wp:simplePos x="0" y="0"/>
              <wp:positionH relativeFrom="page">
                <wp:posOffset>901700</wp:posOffset>
              </wp:positionH>
              <wp:positionV relativeFrom="page">
                <wp:posOffset>9452468</wp:posOffset>
              </wp:positionV>
              <wp:extent cx="3895090" cy="1663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895090" cy="166370"/>
                      </a:xfrm>
                      <a:prstGeom prst="rect">
                        <a:avLst/>
                      </a:prstGeom>
                    </wps:spPr>
                    <wps:txbx>
                      <w:txbxContent>
                        <w:p>
                          <w:pPr>
                            <w:spacing w:before="11"/>
                            <w:ind w:left="20" w:right="0" w:firstLine="0"/>
                            <w:jc w:val="left"/>
                            <w:rPr>
                              <w:sz w:val="20"/>
                            </w:rPr>
                          </w:pPr>
                          <w:r>
                            <w:rPr>
                              <w:sz w:val="20"/>
                            </w:rPr>
                            <w:t>Copyright:</w:t>
                          </w:r>
                          <w:r>
                            <w:rPr>
                              <w:spacing w:val="-2"/>
                              <w:sz w:val="20"/>
                            </w:rPr>
                            <w:t> </w:t>
                          </w:r>
                          <w:r>
                            <w:rPr>
                              <w:sz w:val="20"/>
                            </w:rPr>
                            <w:t>©2026</w:t>
                          </w:r>
                          <w:r>
                            <w:rPr>
                              <w:spacing w:val="-1"/>
                              <w:sz w:val="20"/>
                            </w:rPr>
                            <w:t> </w:t>
                          </w:r>
                          <w:r>
                            <w:rPr>
                              <w:sz w:val="20"/>
                            </w:rPr>
                            <w:t>The</w:t>
                          </w:r>
                          <w:r>
                            <w:rPr>
                              <w:spacing w:val="-2"/>
                              <w:sz w:val="20"/>
                            </w:rPr>
                            <w:t> </w:t>
                          </w:r>
                          <w:r>
                            <w:rPr>
                              <w:sz w:val="20"/>
                            </w:rPr>
                            <w:t>Authors.</w:t>
                          </w:r>
                          <w:r>
                            <w:rPr>
                              <w:spacing w:val="-1"/>
                              <w:sz w:val="20"/>
                            </w:rPr>
                            <w:t> </w:t>
                          </w:r>
                          <w:r>
                            <w:rPr>
                              <w:sz w:val="20"/>
                            </w:rPr>
                            <w:t>UCLM</w:t>
                          </w:r>
                          <w:r>
                            <w:rPr>
                              <w:spacing w:val="-1"/>
                              <w:sz w:val="20"/>
                            </w:rPr>
                            <w:t> </w:t>
                          </w:r>
                          <w:r>
                            <w:rPr>
                              <w:sz w:val="20"/>
                            </w:rPr>
                            <w:t>Journal</w:t>
                          </w:r>
                          <w:r>
                            <w:rPr>
                              <w:spacing w:val="-1"/>
                              <w:sz w:val="20"/>
                            </w:rPr>
                            <w:t> </w:t>
                          </w:r>
                          <w:r>
                            <w:rPr>
                              <w:sz w:val="20"/>
                            </w:rPr>
                            <w:t>of Research and </w:t>
                          </w:r>
                          <w:r>
                            <w:rPr>
                              <w:spacing w:val="-2"/>
                              <w:sz w:val="20"/>
                            </w:rPr>
                            <w:t>Innovation</w:t>
                          </w:r>
                        </w:p>
                      </w:txbxContent>
                    </wps:txbx>
                    <wps:bodyPr wrap="square" lIns="0" tIns="0" rIns="0" bIns="0" rtlCol="0">
                      <a:noAutofit/>
                    </wps:bodyPr>
                  </wps:wsp>
                </a:graphicData>
              </a:graphic>
            </wp:anchor>
          </w:drawing>
        </mc:Choice>
        <mc:Fallback>
          <w:pict>
            <v:shape style="position:absolute;margin-left:71pt;margin-top:744.288879pt;width:306.7pt;height:13.1pt;mso-position-horizontal-relative:page;mso-position-vertical-relative:page;z-index:-16500736" type="#_x0000_t202" id="docshape13" filled="false" stroked="false">
              <v:textbox inset="0,0,0,0">
                <w:txbxContent>
                  <w:p>
                    <w:pPr>
                      <w:spacing w:before="11"/>
                      <w:ind w:left="20" w:right="0" w:firstLine="0"/>
                      <w:jc w:val="left"/>
                      <w:rPr>
                        <w:sz w:val="20"/>
                      </w:rPr>
                    </w:pPr>
                    <w:r>
                      <w:rPr>
                        <w:sz w:val="20"/>
                      </w:rPr>
                      <w:t>Copyright:</w:t>
                    </w:r>
                    <w:r>
                      <w:rPr>
                        <w:spacing w:val="-2"/>
                        <w:sz w:val="20"/>
                      </w:rPr>
                      <w:t> </w:t>
                    </w:r>
                    <w:r>
                      <w:rPr>
                        <w:sz w:val="20"/>
                      </w:rPr>
                      <w:t>©2026</w:t>
                    </w:r>
                    <w:r>
                      <w:rPr>
                        <w:spacing w:val="-1"/>
                        <w:sz w:val="20"/>
                      </w:rPr>
                      <w:t> </w:t>
                    </w:r>
                    <w:r>
                      <w:rPr>
                        <w:sz w:val="20"/>
                      </w:rPr>
                      <w:t>The</w:t>
                    </w:r>
                    <w:r>
                      <w:rPr>
                        <w:spacing w:val="-2"/>
                        <w:sz w:val="20"/>
                      </w:rPr>
                      <w:t> </w:t>
                    </w:r>
                    <w:r>
                      <w:rPr>
                        <w:sz w:val="20"/>
                      </w:rPr>
                      <w:t>Authors.</w:t>
                    </w:r>
                    <w:r>
                      <w:rPr>
                        <w:spacing w:val="-1"/>
                        <w:sz w:val="20"/>
                      </w:rPr>
                      <w:t> </w:t>
                    </w:r>
                    <w:r>
                      <w:rPr>
                        <w:sz w:val="20"/>
                      </w:rPr>
                      <w:t>UCLM</w:t>
                    </w:r>
                    <w:r>
                      <w:rPr>
                        <w:spacing w:val="-1"/>
                        <w:sz w:val="20"/>
                      </w:rPr>
                      <w:t> </w:t>
                    </w:r>
                    <w:r>
                      <w:rPr>
                        <w:sz w:val="20"/>
                      </w:rPr>
                      <w:t>Journal</w:t>
                    </w:r>
                    <w:r>
                      <w:rPr>
                        <w:spacing w:val="-1"/>
                        <w:sz w:val="20"/>
                      </w:rPr>
                      <w:t> </w:t>
                    </w:r>
                    <w:r>
                      <w:rPr>
                        <w:sz w:val="20"/>
                      </w:rPr>
                      <w:t>of Research and </w:t>
                    </w:r>
                    <w:r>
                      <w:rPr>
                        <w:spacing w:val="-2"/>
                        <w:sz w:val="20"/>
                      </w:rPr>
                      <w:t>Innovation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rPr>
        <w:sz w:val="20"/>
      </w:rPr>
    </w:pPr>
    <w:r>
      <w:rPr>
        <w:sz w:val="20"/>
      </w:rPr>
      <mc:AlternateContent>
        <mc:Choice Requires="wps">
          <w:drawing>
            <wp:anchor distT="0" distB="0" distL="0" distR="0" allowOverlap="1" layoutInCell="1" locked="0" behindDoc="1" simplePos="0" relativeHeight="486813696">
              <wp:simplePos x="0" y="0"/>
              <wp:positionH relativeFrom="page">
                <wp:posOffset>698419</wp:posOffset>
              </wp:positionH>
              <wp:positionV relativeFrom="page">
                <wp:posOffset>214593</wp:posOffset>
              </wp:positionV>
              <wp:extent cx="6419215" cy="64071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419215" cy="640715"/>
                        <a:chExt cx="6419215" cy="640715"/>
                      </a:xfrm>
                    </wpg:grpSpPr>
                    <pic:pic>
                      <pic:nvPicPr>
                        <pic:cNvPr id="15" name="Image 15"/>
                        <pic:cNvPicPr/>
                      </pic:nvPicPr>
                      <pic:blipFill>
                        <a:blip r:embed="rId1" cstate="print"/>
                        <a:stretch>
                          <a:fillRect/>
                        </a:stretch>
                      </pic:blipFill>
                      <pic:spPr>
                        <a:xfrm>
                          <a:off x="0" y="0"/>
                          <a:ext cx="749173" cy="620007"/>
                        </a:xfrm>
                        <a:prstGeom prst="rect">
                          <a:avLst/>
                        </a:prstGeom>
                      </pic:spPr>
                    </pic:pic>
                    <pic:pic>
                      <pic:nvPicPr>
                        <pic:cNvPr id="16" name="Image 16"/>
                        <pic:cNvPicPr/>
                      </pic:nvPicPr>
                      <pic:blipFill>
                        <a:blip r:embed="rId2" cstate="print"/>
                        <a:stretch>
                          <a:fillRect/>
                        </a:stretch>
                      </pic:blipFill>
                      <pic:spPr>
                        <a:xfrm>
                          <a:off x="5730952" y="77341"/>
                          <a:ext cx="687853" cy="562964"/>
                        </a:xfrm>
                        <a:prstGeom prst="rect">
                          <a:avLst/>
                        </a:prstGeom>
                      </pic:spPr>
                    </pic:pic>
                    <wps:wsp>
                      <wps:cNvPr id="17" name="Graphic 17"/>
                      <wps:cNvSpPr/>
                      <wps:spPr>
                        <a:xfrm>
                          <a:off x="703660" y="388656"/>
                          <a:ext cx="5001260" cy="10795"/>
                        </a:xfrm>
                        <a:custGeom>
                          <a:avLst/>
                          <a:gdLst/>
                          <a:ahLst/>
                          <a:cxnLst/>
                          <a:rect l="l" t="t" r="r" b="b"/>
                          <a:pathLst>
                            <a:path w="5001260" h="10795">
                              <a:moveTo>
                                <a:pt x="0" y="10795"/>
                              </a:moveTo>
                              <a:lnTo>
                                <a:pt x="5001259" y="0"/>
                              </a:lnTo>
                            </a:path>
                          </a:pathLst>
                        </a:custGeom>
                        <a:ln w="12699">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993637pt;margin-top:16.897142pt;width:505.45pt;height:50.45pt;mso-position-horizontal-relative:page;mso-position-vertical-relative:page;z-index:-16502784" id="docshapegroup6" coordorigin="1100,338" coordsize="10109,1009">
              <v:shape style="position:absolute;left:1099;top:337;width:1180;height:977" type="#_x0000_t75" id="docshape7" stroked="false">
                <v:imagedata r:id="rId1" o:title=""/>
              </v:shape>
              <v:shape style="position:absolute;left:10125;top:459;width:1084;height:887" type="#_x0000_t75" id="docshape8" stroked="false">
                <v:imagedata r:id="rId2" o:title=""/>
              </v:shape>
              <v:line style="position:absolute" from="2208,967" to="10084,950" stroked="true" strokeweight="1.0pt" strokecolor="#4471c4">
                <v:stroke dashstyle="solid"/>
              </v:line>
              <w10:wrap type="none"/>
            </v:group>
          </w:pict>
        </mc:Fallback>
      </mc:AlternateContent>
    </w:r>
    <w:r>
      <w:rPr>
        <w:sz w:val="20"/>
      </w:rPr>
      <mc:AlternateContent>
        <mc:Choice Requires="wps">
          <w:drawing>
            <wp:anchor distT="0" distB="0" distL="0" distR="0" allowOverlap="1" layoutInCell="1" locked="0" behindDoc="1" simplePos="0" relativeHeight="486814208">
              <wp:simplePos x="0" y="0"/>
              <wp:positionH relativeFrom="page">
                <wp:posOffset>1852041</wp:posOffset>
              </wp:positionH>
              <wp:positionV relativeFrom="page">
                <wp:posOffset>432590</wp:posOffset>
              </wp:positionV>
              <wp:extent cx="4065904" cy="3460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065904" cy="346075"/>
                      </a:xfrm>
                      <a:prstGeom prst="rect">
                        <a:avLst/>
                      </a:prstGeom>
                    </wps:spPr>
                    <wps:txbx>
                      <w:txbxContent>
                        <w:p>
                          <w:pPr>
                            <w:pStyle w:val="BodyText"/>
                            <w:spacing w:line="252" w:lineRule="exact" w:before="19"/>
                            <w:ind w:left="4"/>
                            <w:jc w:val="center"/>
                          </w:pPr>
                          <w:r>
                            <w:rPr/>
                            <w:t>Deniega¹,</w:t>
                          </w:r>
                          <w:r>
                            <w:rPr>
                              <w:spacing w:val="3"/>
                            </w:rPr>
                            <w:t> </w:t>
                          </w:r>
                          <w:r>
                            <w:rPr/>
                            <w:t>Bachanicha²,</w:t>
                          </w:r>
                          <w:r>
                            <w:rPr>
                              <w:spacing w:val="3"/>
                            </w:rPr>
                            <w:t> </w:t>
                          </w:r>
                          <w:r>
                            <w:rPr/>
                            <w:t>Micabalo</w:t>
                          </w:r>
                          <w:r>
                            <w:rPr>
                              <w:vertAlign w:val="superscript"/>
                            </w:rPr>
                            <w:t>3</w:t>
                          </w:r>
                          <w:r>
                            <w:rPr>
                              <w:vertAlign w:val="baseline"/>
                            </w:rPr>
                            <w:t>,</w:t>
                          </w:r>
                          <w:r>
                            <w:rPr>
                              <w:spacing w:val="2"/>
                              <w:vertAlign w:val="baseline"/>
                            </w:rPr>
                            <w:t> </w:t>
                          </w:r>
                          <w:r>
                            <w:rPr>
                              <w:spacing w:val="-2"/>
                              <w:vertAlign w:val="baseline"/>
                            </w:rPr>
                            <w:t>Endorte</w:t>
                          </w:r>
                          <w:r>
                            <w:rPr>
                              <w:spacing w:val="-2"/>
                              <w:vertAlign w:val="superscript"/>
                            </w:rPr>
                            <w:t>4</w:t>
                          </w:r>
                        </w:p>
                        <w:p>
                          <w:pPr>
                            <w:pStyle w:val="BodyText"/>
                            <w:spacing w:line="252" w:lineRule="exact"/>
                            <w:ind w:left="4" w:right="4"/>
                            <w:jc w:val="center"/>
                          </w:pPr>
                          <w:r>
                            <w:rPr/>
                            <w:t>UCLM</w:t>
                          </w:r>
                          <w:r>
                            <w:rPr>
                              <w:spacing w:val="-2"/>
                            </w:rPr>
                            <w:t> </w:t>
                          </w:r>
                          <w:r>
                            <w:rPr/>
                            <w:t>Journal of Research</w:t>
                          </w:r>
                          <w:r>
                            <w:rPr>
                              <w:spacing w:val="-2"/>
                            </w:rPr>
                            <w:t> </w:t>
                          </w:r>
                          <w:r>
                            <w:rPr/>
                            <w:t>and Innovation</w:t>
                          </w:r>
                          <w:r>
                            <w:rPr>
                              <w:spacing w:val="-5"/>
                            </w:rPr>
                            <w:t> </w:t>
                          </w:r>
                          <w:r>
                            <w:rPr/>
                            <w:t>Vol. 1</w:t>
                          </w:r>
                          <w:r>
                            <w:rPr>
                              <w:spacing w:val="-3"/>
                            </w:rPr>
                            <w:t> </w:t>
                          </w:r>
                          <w:r>
                            <w:rPr/>
                            <w:t>Issue</w:t>
                          </w:r>
                          <w:r>
                            <w:rPr>
                              <w:spacing w:val="-2"/>
                            </w:rPr>
                            <w:t> </w:t>
                          </w:r>
                          <w:r>
                            <w:rPr/>
                            <w:t>1</w:t>
                          </w:r>
                          <w:r>
                            <w:rPr>
                              <w:spacing w:val="-2"/>
                            </w:rPr>
                            <w:t> </w:t>
                          </w:r>
                          <w:r>
                            <w:rPr/>
                            <w:t>(March</w:t>
                          </w:r>
                          <w:r>
                            <w:rPr>
                              <w:spacing w:val="-2"/>
                            </w:rPr>
                            <w:t> 2026)</w:t>
                          </w:r>
                        </w:p>
                      </w:txbxContent>
                    </wps:txbx>
                    <wps:bodyPr wrap="square" lIns="0" tIns="0" rIns="0" bIns="0" rtlCol="0">
                      <a:noAutofit/>
                    </wps:bodyPr>
                  </wps:wsp>
                </a:graphicData>
              </a:graphic>
            </wp:anchor>
          </w:drawing>
        </mc:Choice>
        <mc:Fallback>
          <w:pict>
            <v:shape style="position:absolute;margin-left:145.830002pt;margin-top:34.062206pt;width:320.150pt;height:27.25pt;mso-position-horizontal-relative:page;mso-position-vertical-relative:page;z-index:-16502272" type="#_x0000_t202" id="docshape9" filled="false" stroked="false">
              <v:textbox inset="0,0,0,0">
                <w:txbxContent>
                  <w:p>
                    <w:pPr>
                      <w:pStyle w:val="BodyText"/>
                      <w:spacing w:line="252" w:lineRule="exact" w:before="19"/>
                      <w:ind w:left="4"/>
                      <w:jc w:val="center"/>
                    </w:pPr>
                    <w:r>
                      <w:rPr/>
                      <w:t>Deniega¹,</w:t>
                    </w:r>
                    <w:r>
                      <w:rPr>
                        <w:spacing w:val="3"/>
                      </w:rPr>
                      <w:t> </w:t>
                    </w:r>
                    <w:r>
                      <w:rPr/>
                      <w:t>Bachanicha²,</w:t>
                    </w:r>
                    <w:r>
                      <w:rPr>
                        <w:spacing w:val="3"/>
                      </w:rPr>
                      <w:t> </w:t>
                    </w:r>
                    <w:r>
                      <w:rPr/>
                      <w:t>Micabalo</w:t>
                    </w:r>
                    <w:r>
                      <w:rPr>
                        <w:vertAlign w:val="superscript"/>
                      </w:rPr>
                      <w:t>3</w:t>
                    </w:r>
                    <w:r>
                      <w:rPr>
                        <w:vertAlign w:val="baseline"/>
                      </w:rPr>
                      <w:t>,</w:t>
                    </w:r>
                    <w:r>
                      <w:rPr>
                        <w:spacing w:val="2"/>
                        <w:vertAlign w:val="baseline"/>
                      </w:rPr>
                      <w:t> </w:t>
                    </w:r>
                    <w:r>
                      <w:rPr>
                        <w:spacing w:val="-2"/>
                        <w:vertAlign w:val="baseline"/>
                      </w:rPr>
                      <w:t>Endorte</w:t>
                    </w:r>
                    <w:r>
                      <w:rPr>
                        <w:spacing w:val="-2"/>
                        <w:vertAlign w:val="superscript"/>
                      </w:rPr>
                      <w:t>4</w:t>
                    </w:r>
                  </w:p>
                  <w:p>
                    <w:pPr>
                      <w:pStyle w:val="BodyText"/>
                      <w:spacing w:line="252" w:lineRule="exact"/>
                      <w:ind w:left="4" w:right="4"/>
                      <w:jc w:val="center"/>
                    </w:pPr>
                    <w:r>
                      <w:rPr/>
                      <w:t>UCLM</w:t>
                    </w:r>
                    <w:r>
                      <w:rPr>
                        <w:spacing w:val="-2"/>
                      </w:rPr>
                      <w:t> </w:t>
                    </w:r>
                    <w:r>
                      <w:rPr/>
                      <w:t>Journal of Research</w:t>
                    </w:r>
                    <w:r>
                      <w:rPr>
                        <w:spacing w:val="-2"/>
                      </w:rPr>
                      <w:t> </w:t>
                    </w:r>
                    <w:r>
                      <w:rPr/>
                      <w:t>and Innovation</w:t>
                    </w:r>
                    <w:r>
                      <w:rPr>
                        <w:spacing w:val="-5"/>
                      </w:rPr>
                      <w:t> </w:t>
                    </w:r>
                    <w:r>
                      <w:rPr/>
                      <w:t>Vol. 1</w:t>
                    </w:r>
                    <w:r>
                      <w:rPr>
                        <w:spacing w:val="-3"/>
                      </w:rPr>
                      <w:t> </w:t>
                    </w:r>
                    <w:r>
                      <w:rPr/>
                      <w:t>Issue</w:t>
                    </w:r>
                    <w:r>
                      <w:rPr>
                        <w:spacing w:val="-2"/>
                      </w:rPr>
                      <w:t> </w:t>
                    </w:r>
                    <w:r>
                      <w:rPr/>
                      <w:t>1</w:t>
                    </w:r>
                    <w:r>
                      <w:rPr>
                        <w:spacing w:val="-2"/>
                      </w:rPr>
                      <w:t> </w:t>
                    </w:r>
                    <w:r>
                      <w:rPr/>
                      <w:t>(March</w:t>
                    </w:r>
                    <w:r>
                      <w:rPr>
                        <w:spacing w:val="-2"/>
                      </w:rPr>
                      <w:t> 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23">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22">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21">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20">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9">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8">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7">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6">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5">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4">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3">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2">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1">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0">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9">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8">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7">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6">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5">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4">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3">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2">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1">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abstractNum w:abstractNumId="0">
    <w:multiLevelType w:val="hybridMultilevel"/>
    <w:lvl w:ilvl="0">
      <w:start w:val="0"/>
      <w:numFmt w:val="bullet"/>
      <w:lvlText w:val=""/>
      <w:lvlJc w:val="left"/>
      <w:pPr>
        <w:ind w:left="858" w:hanging="360"/>
      </w:pPr>
      <w:rPr>
        <w:rFonts w:hint="default" w:ascii="Symbol" w:hAnsi="Symbol" w:eastAsia="Symbol" w:cs="Symbol"/>
        <w:b w:val="0"/>
        <w:bCs w:val="0"/>
        <w:i w:val="0"/>
        <w:iCs w:val="0"/>
        <w:color w:val="1F2023"/>
        <w:spacing w:val="0"/>
        <w:w w:val="100"/>
        <w:sz w:val="22"/>
        <w:szCs w:val="22"/>
        <w:lang w:val="en-US" w:eastAsia="en-US" w:bidi="ar-SA"/>
      </w:rPr>
    </w:lvl>
    <w:lvl w:ilvl="1">
      <w:start w:val="0"/>
      <w:numFmt w:val="bullet"/>
      <w:lvlText w:val="•"/>
      <w:lvlJc w:val="left"/>
      <w:pPr>
        <w:ind w:left="1377" w:hanging="360"/>
      </w:pPr>
      <w:rPr>
        <w:rFonts w:hint="default"/>
        <w:lang w:val="en-US" w:eastAsia="en-US" w:bidi="ar-SA"/>
      </w:rPr>
    </w:lvl>
    <w:lvl w:ilvl="2">
      <w:start w:val="0"/>
      <w:numFmt w:val="bullet"/>
      <w:lvlText w:val="•"/>
      <w:lvlJc w:val="left"/>
      <w:pPr>
        <w:ind w:left="1895"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2930" w:hanging="360"/>
      </w:pPr>
      <w:rPr>
        <w:rFonts w:hint="default"/>
        <w:lang w:val="en-US" w:eastAsia="en-US" w:bidi="ar-SA"/>
      </w:rPr>
    </w:lvl>
    <w:lvl w:ilvl="5">
      <w:start w:val="0"/>
      <w:numFmt w:val="bullet"/>
      <w:lvlText w:val="•"/>
      <w:lvlJc w:val="left"/>
      <w:pPr>
        <w:ind w:left="3448" w:hanging="360"/>
      </w:pPr>
      <w:rPr>
        <w:rFonts w:hint="default"/>
        <w:lang w:val="en-US" w:eastAsia="en-US" w:bidi="ar-SA"/>
      </w:rPr>
    </w:lvl>
    <w:lvl w:ilvl="6">
      <w:start w:val="0"/>
      <w:numFmt w:val="bullet"/>
      <w:lvlText w:val="•"/>
      <w:lvlJc w:val="left"/>
      <w:pPr>
        <w:ind w:left="3965" w:hanging="360"/>
      </w:pPr>
      <w:rPr>
        <w:rFonts w:hint="default"/>
        <w:lang w:val="en-US" w:eastAsia="en-US" w:bidi="ar-SA"/>
      </w:rPr>
    </w:lvl>
    <w:lvl w:ilvl="7">
      <w:start w:val="0"/>
      <w:numFmt w:val="bullet"/>
      <w:lvlText w:val="•"/>
      <w:lvlJc w:val="left"/>
      <w:pPr>
        <w:ind w:left="4483" w:hanging="360"/>
      </w:pPr>
      <w:rPr>
        <w:rFonts w:hint="default"/>
        <w:lang w:val="en-US" w:eastAsia="en-US" w:bidi="ar-SA"/>
      </w:rPr>
    </w:lvl>
    <w:lvl w:ilvl="8">
      <w:start w:val="0"/>
      <w:numFmt w:val="bullet"/>
      <w:lvlText w:val="•"/>
      <w:lvlJc w:val="left"/>
      <w:pPr>
        <w:ind w:left="5000" w:hanging="36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510" w:right="149"/>
      <w:jc w:val="center"/>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900" w:firstLine="208"/>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doi.org/10.5281/zenodo.19175586" TargetMode="External"/><Relationship Id="rId8" Type="http://schemas.openxmlformats.org/officeDocument/2006/relationships/hyperlink" Target="https://orcid.org/0009-0007-6175-936X" TargetMode="External"/><Relationship Id="rId9" Type="http://schemas.openxmlformats.org/officeDocument/2006/relationships/image" Target="media/image3.png"/><Relationship Id="rId10" Type="http://schemas.openxmlformats.org/officeDocument/2006/relationships/hyperlink" Target="https://orcid.org/0000-0002-8475-2239" TargetMode="External"/><Relationship Id="rId11" Type="http://schemas.openxmlformats.org/officeDocument/2006/relationships/hyperlink" Target="https://orcid.org/0000-0001-5899-9732" TargetMode="External"/><Relationship Id="rId12" Type="http://schemas.openxmlformats.org/officeDocument/2006/relationships/hyperlink" Target="https://orcid.org/0000-0003-4170-2086" TargetMode="External"/><Relationship Id="rId13" Type="http://schemas.openxmlformats.org/officeDocument/2006/relationships/hyperlink" Target="mailto:1gdeniega@uc.edu.ph" TargetMode="External"/><Relationship Id="rId14" Type="http://schemas.openxmlformats.org/officeDocument/2006/relationships/hyperlink" Target="mailto:2rbachanicha@uc.edu.ph" TargetMode="External"/><Relationship Id="rId15" Type="http://schemas.openxmlformats.org/officeDocument/2006/relationships/hyperlink" Target="mailto:3kmicabalo@uc.edu.ph" TargetMode="External"/><Relationship Id="rId16" Type="http://schemas.openxmlformats.org/officeDocument/2006/relationships/hyperlink" Target="mailto:4kendorte@uc.edu.ph"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hyperlink" Target="https://doi.org/10.51983/ajeat-2020.9.2.1088" TargetMode="External"/><Relationship Id="rId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Bachanicha</dc:creator>
  <dcterms:created xsi:type="dcterms:W3CDTF">2026-10-17T12:27:23Z</dcterms:created>
  <dcterms:modified xsi:type="dcterms:W3CDTF">2026-10-17T12:27:23Z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2026-07-03T00:00:00Z</vt:filetime>
  </property>
  <property fmtid="{D5CDD505-2E9C-101B-9397-08002B2CF9AE}" pid="4" name="Creator">
    <vt:lpwstr>Microsoft® Word 2016</vt:lpwstr>
  </property>
  <property fmtid="{D5CDD505-2E9C-101B-9397-08002B2CF9AE}" pid="5" name="LastSaved">
    <vt:filetime>2026-10-17T00:00:00Z</vt:filetime>
  </property>
  <property fmtid="{D5CDD505-2E9C-101B-9397-08002B2CF9AE}" pid="6" name="Producer">
    <vt:lpwstr>Microsoft® Word 2016</vt:lpwstr>
  </property>
</Properties>
</file>