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49673D4" w:rsidR="00E017FF" w:rsidRDefault="00420646" w:rsidP="008A76E2">
            <w:pPr>
              <w:jc w:val="both"/>
            </w:pPr>
            <w:r>
              <w:lastRenderedPageBreak/>
              <w:t>En este proyecto</w:t>
            </w:r>
            <w:r w:rsidR="00E017FF">
              <w:t xml:space="preserve"> se desarrollará un </w:t>
            </w:r>
            <w:proofErr w:type="spellStart"/>
            <w:r w:rsidR="00E017FF">
              <w:t>front-end</w:t>
            </w:r>
            <w:proofErr w:type="spellEnd"/>
            <w:r w:rsidR="00E017FF">
              <w:t xml:space="preserve"> de la web basada en una plantilla dada por la empresa </w:t>
            </w:r>
            <w:r w:rsidR="00D61B4C">
              <w:rPr>
                <w:b/>
              </w:rPr>
              <w:t>CORPOECOAMEM</w:t>
            </w:r>
            <w:r w:rsidR="00E017FF">
              <w:t>, así mismo el back-</w:t>
            </w:r>
            <w:proofErr w:type="spellStart"/>
            <w:r w:rsidR="00E017FF">
              <w:t>end</w:t>
            </w:r>
            <w:proofErr w:type="spellEnd"/>
            <w:r w:rsidR="00E017FF">
              <w:t xml:space="preserve">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 xml:space="preserve">módulo anti ataque </w:t>
            </w:r>
            <w:proofErr w:type="spellStart"/>
            <w:r w:rsidR="001C308A">
              <w:t>DDoS</w:t>
            </w:r>
            <w:proofErr w:type="spellEnd"/>
            <w:r>
              <w:t xml:space="preserve"> que integra</w:t>
            </w:r>
            <w:r w:rsidR="00B30244">
              <w:t xml:space="preserve"> un módulo de</w:t>
            </w:r>
            <w:r>
              <w:t xml:space="preserve"> apache llamado </w:t>
            </w:r>
            <w:proofErr w:type="spellStart"/>
            <w:r>
              <w:t>mod_evasive</w:t>
            </w:r>
            <w:proofErr w:type="spellEnd"/>
            <w:r>
              <w:t xml:space="preserve">, que incluye el bloqueo de una dirección </w:t>
            </w:r>
            <w:proofErr w:type="spellStart"/>
            <w:r>
              <w:t>ip</w:t>
            </w:r>
            <w:proofErr w:type="spellEnd"/>
            <w:r>
              <w:t xml:space="preserve">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0267045D" w14:textId="65F86D39" w:rsidR="00D61B4C" w:rsidRDefault="00D61B4C" w:rsidP="00D61B4C">
            <w:pPr>
              <w:spacing w:after="160" w:line="259" w:lineRule="auto"/>
              <w:ind w:left="720"/>
              <w:jc w:val="both"/>
            </w:pPr>
            <w:r>
              <w:rPr>
                <w:b/>
              </w:rPr>
              <w:t>Encriptación SHA-256</w:t>
            </w:r>
            <w:r w:rsidR="008573E3" w:rsidRPr="008573E3">
              <w:t>:</w:t>
            </w:r>
            <w:r w:rsidR="008573E3">
              <w:t xml:space="preserve"> </w:t>
            </w:r>
            <w:r>
              <w:t>la familia SHA (</w:t>
            </w:r>
            <w:proofErr w:type="spellStart"/>
            <w:r>
              <w:t>Secure</w:t>
            </w:r>
            <w:proofErr w:type="spellEnd"/>
            <w:r>
              <w:t xml:space="preserve"> Hash </w:t>
            </w:r>
            <w:proofErr w:type="spellStart"/>
            <w:r>
              <w:t>Algorithm</w:t>
            </w:r>
            <w:proofErr w:type="spellEnd"/>
            <w:r>
              <w:t xml:space="preserve">, Algoritmo de Hash Seguro) es un sistema de funciones hash criptográficas relacionadas de la Agencia de Seguridad Nacional de los Estados Unidos y publicadas por el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(NIST). El primer miembro de la familia fue publicado en 1993 y fue llamado oficialmente como SHA. Sin embargo, hoy en día, se le llama SHA-0 para evitar confusiones con sus sucesores. Dos años más tarde el primer sucesor de SHA fue publicado con el nombre de SHA-1. Existen cuatro variantes más que se han publicado desde entonces cuyas diferencias se basan en un diseño algo modificado y rangos de salida incrementados: SHA-224, SHA-256, SHA-384, y SHA-512 (todos ellos son referidos </w:t>
            </w:r>
            <w:r>
              <w:lastRenderedPageBreak/>
              <w:t>como SHA-2).</w:t>
            </w:r>
          </w:p>
          <w:p w14:paraId="55BCD15D" w14:textId="6C8B30B2" w:rsidR="00D61B4C" w:rsidRDefault="00D61B4C" w:rsidP="00D61B4C">
            <w:pPr>
              <w:spacing w:after="160" w:line="259" w:lineRule="auto"/>
              <w:ind w:left="720"/>
              <w:jc w:val="both"/>
            </w:pPr>
            <w:r>
              <w:t>SHA-1 ha sido examinado muy de cerca por la comunidad criptográfica, y no se ha encontrado ningún ataque efectivo. No obstante, en el año 2004, un número de ataques significativos fueron divulgados sobre funciones criptográficas de hash con una estructura similar a SHA-1; esto ha planteado dudas sobre la seguridad a largo plazo de SHA-1.</w:t>
            </w:r>
          </w:p>
          <w:p w14:paraId="3C0F415B" w14:textId="26A652A2" w:rsidR="00D61B4C" w:rsidRDefault="00D61B4C" w:rsidP="00D61B4C">
            <w:pPr>
              <w:spacing w:after="160" w:line="259" w:lineRule="auto"/>
              <w:ind w:left="720"/>
              <w:jc w:val="both"/>
            </w:pPr>
            <w:r>
              <w:t>SHA-0 y SHA-1 producen una salida resumen de 160 bits de un mensaje, que puede tener un tamaño máximo de 264 bits, y se basa en principios similares a los usados MD5.</w:t>
            </w:r>
          </w:p>
          <w:p w14:paraId="68C2873B" w14:textId="5701E6A6" w:rsidR="00D61B4C" w:rsidRDefault="00D61B4C" w:rsidP="00D61B4C">
            <w:pPr>
              <w:spacing w:after="160" w:line="259" w:lineRule="auto"/>
              <w:ind w:left="1440" w:hanging="720"/>
              <w:jc w:val="both"/>
            </w:pPr>
            <w:r>
              <w:t>SHA-2 produce una salida resumen de 256 (para SHA-256) o 512 (para SHA512) y difiere a SHA-1 en que el algoritmo contempla algunas constante adicionales; así mismo, el tamaño del resumen es diferente al igual que el número de rondas.</w:t>
            </w:r>
            <w:sdt>
              <w:sdtPr>
                <w:id w:val="-1529864918"/>
                <w:citation/>
              </w:sdtPr>
              <w:sdtEndPr/>
              <w:sdtContent>
                <w:r>
                  <w:fldChar w:fldCharType="begin"/>
                </w:r>
                <w:r>
                  <w:instrText xml:space="preserve"> CITATION Leu \l 9226 </w:instrText>
                </w:r>
                <w:r>
                  <w:fldChar w:fldCharType="separate"/>
                </w:r>
                <w:r>
                  <w:rPr>
                    <w:noProof/>
                  </w:rPr>
                  <w:t xml:space="preserve"> (Sanjuan)</w:t>
                </w:r>
                <w:r>
                  <w:fldChar w:fldCharType="end"/>
                </w:r>
              </w:sdtContent>
            </w:sdt>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 xml:space="preserve">Considerada la bases de datos por excelencia del open </w:t>
            </w:r>
            <w:proofErr w:type="spellStart"/>
            <w:r>
              <w:t>source</w:t>
            </w:r>
            <w:proofErr w:type="spellEnd"/>
            <w:r>
              <w:t>,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w:t>
            </w:r>
            <w:proofErr w:type="spellStart"/>
            <w:r>
              <w:t>mas</w:t>
            </w:r>
            <w:proofErr w:type="spellEnd"/>
            <w:r>
              <w:t xml:space="preserve"> utilizados por la comunidad open </w:t>
            </w:r>
            <w:proofErr w:type="spellStart"/>
            <w:r>
              <w:t>source</w:t>
            </w:r>
            <w:proofErr w:type="spellEnd"/>
            <w:r>
              <w:t xml:space="preserve"> adopta su propia licencia</w:t>
            </w:r>
            <w:r w:rsidR="002850D4">
              <w:t xml:space="preserve">, la PHP </w:t>
            </w:r>
            <w:proofErr w:type="spellStart"/>
            <w:r w:rsidR="002850D4">
              <w:t>License</w:t>
            </w:r>
            <w:proofErr w:type="spellEnd"/>
            <w:r w:rsidR="002850D4">
              <w:t xml:space="preserv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 xml:space="preserve">No utilizar en los programas derivados el nombre de PHP, ni como nombre ni con fines publicitarios sin permiso de PHP </w:t>
            </w:r>
            <w:proofErr w:type="spellStart"/>
            <w:r>
              <w:t>Group</w:t>
            </w:r>
            <w:proofErr w:type="spellEnd"/>
            <w:r>
              <w:t>.</w:t>
            </w:r>
            <w:sdt>
              <w:sdtPr>
                <w:id w:val="9105617"/>
                <w:citation/>
              </w:sdtPr>
              <w:sdtEnd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324EBE44" w:rsidR="0046182F" w:rsidRDefault="0046182F" w:rsidP="0046182F">
            <w:pPr>
              <w:spacing w:after="160" w:line="259" w:lineRule="auto"/>
              <w:jc w:val="both"/>
            </w:pPr>
            <w:r>
              <w:t xml:space="preserve"> </w:t>
            </w:r>
            <w:r w:rsidR="0019130B">
              <w:t xml:space="preserve">**metodología de desarrollo de </w:t>
            </w:r>
            <w:proofErr w:type="spellStart"/>
            <w:r w:rsidR="0019130B">
              <w:t>sofware</w:t>
            </w:r>
            <w:proofErr w:type="spellEnd"/>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lastRenderedPageBreak/>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w:t>
            </w:r>
            <w:proofErr w:type="spellStart"/>
            <w:r>
              <w:t>Object</w:t>
            </w:r>
            <w:proofErr w:type="spellEnd"/>
            <w:r>
              <w:t xml:space="preserve"> </w:t>
            </w:r>
            <w:proofErr w:type="spellStart"/>
            <w:r>
              <w:t>Modelling</w:t>
            </w:r>
            <w:proofErr w:type="spellEnd"/>
            <w:r>
              <w:t xml:space="preserve"> </w:t>
            </w:r>
            <w:proofErr w:type="spellStart"/>
            <w:r>
              <w:t>Group</w:t>
            </w:r>
            <w:proofErr w:type="spellEnd"/>
            <w:r>
              <w:t>).</w:t>
            </w:r>
            <w:sdt>
              <w:sdtPr>
                <w:id w:val="-56626623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w:t>
            </w:r>
            <w:proofErr w:type="spellStart"/>
            <w:r>
              <w:rPr>
                <w:b/>
              </w:rPr>
              <w:t>Source</w:t>
            </w:r>
            <w:proofErr w:type="spellEnd"/>
            <w:r>
              <w:rPr>
                <w:b/>
              </w:rPr>
              <w:t xml:space="preserve">: </w:t>
            </w:r>
            <w:r>
              <w:t xml:space="preserve">Hace referencia a la libre disponibilidad por parte del usuario de un software y de su código fuente. El código fuente </w:t>
            </w:r>
            <w:proofErr w:type="spellStart"/>
            <w:r>
              <w:t>esta</w:t>
            </w:r>
            <w:proofErr w:type="spellEnd"/>
            <w:r>
              <w:t xml:space="preserve"> formado por líneas de instrucciones escritas en un determinado lenguaje de programación que permiten desarrollar una 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2850D4">
                  <w:rPr>
                    <w:noProof/>
                  </w:rPr>
                  <w:t xml:space="preserve"> (Ángel </w:t>
                </w:r>
                <w:r w:rsidR="002850D4">
                  <w:rPr>
                    <w:noProof/>
                  </w:rPr>
                  <w:lastRenderedPageBreak/>
                  <w:t>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2F354055"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 xml:space="preserve">Acceso abusivo a un sistema informático. El que, sin autorización o por fuera de lo </w:t>
            </w:r>
            <w:r w:rsidRPr="002776D0">
              <w:lastRenderedPageBreak/>
              <w:t>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 xml:space="preserve">Las Políticas serán aplicables a los datos personales de personas naturales, registrados en cualquier base de datos, construidas antes o después de la </w:t>
            </w:r>
            <w:proofErr w:type="gramStart"/>
            <w:r w:rsidRPr="00AB0222">
              <w:t>entrada en vigencia</w:t>
            </w:r>
            <w:proofErr w:type="gramEnd"/>
            <w:r w:rsidRPr="00AB0222">
              <w:t xml:space="preserve"> de las normas sobre t</w:t>
            </w:r>
            <w:r>
              <w:t>ratamiento de datos personales.</w:t>
            </w:r>
          </w:p>
          <w:p w14:paraId="562B4A1F" w14:textId="587EFA18"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A4607E">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078EC353" w14:textId="052194F9" w:rsidR="005912E9" w:rsidRPr="003C030E" w:rsidRDefault="005912E9" w:rsidP="0019130B">
            <w:pPr>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69C38DE0" w14:textId="77777777" w:rsidR="002D79CA" w:rsidRPr="000774B6" w:rsidRDefault="002D79CA" w:rsidP="002D79CA">
            <w:pPr>
              <w:spacing w:after="0" w:line="240" w:lineRule="auto"/>
              <w:ind w:left="720"/>
              <w:jc w:val="both"/>
              <w:rPr>
                <w:b/>
              </w:rPr>
            </w:pP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w:t>
            </w:r>
            <w:proofErr w:type="spellStart"/>
            <w:r>
              <w:t>DDoS</w:t>
            </w:r>
            <w:proofErr w:type="spellEnd"/>
            <w:r>
              <w:t xml:space="preserve">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39921C7F" w:rsidR="005F7F24" w:rsidRPr="00CE6BD5" w:rsidRDefault="009F606A" w:rsidP="008B579D">
            <w:pPr>
              <w:numPr>
                <w:ilvl w:val="2"/>
                <w:numId w:val="1"/>
              </w:numPr>
              <w:spacing w:after="0" w:line="240" w:lineRule="auto"/>
            </w:pPr>
            <w:r w:rsidRPr="00D82675">
              <w:rPr>
                <w:b/>
              </w:rPr>
              <w:t>Justificac</w:t>
            </w:r>
            <w:r w:rsidR="003046BD">
              <w:rPr>
                <w:b/>
              </w:rPr>
              <w:t>ión y delimitación del proyecto</w:t>
            </w:r>
          </w:p>
          <w:p w14:paraId="355C0C1A" w14:textId="6D8DF964" w:rsidR="00CE6BD5" w:rsidRPr="00B363E3" w:rsidRDefault="00CE6BD5" w:rsidP="00CE6BD5">
            <w:pPr>
              <w:spacing w:after="0" w:line="240" w:lineRule="auto"/>
              <w:ind w:left="1080"/>
            </w:pPr>
            <w:r>
              <w:rPr>
                <w:b/>
              </w:rPr>
              <w:t>**justificación: nombramiento de la empresa</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06643D0F" w:rsidR="00A1339B" w:rsidRPr="0056264B" w:rsidRDefault="006D1788" w:rsidP="00305E3A">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917E27B"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general (</w:t>
                  </w:r>
                  <w:proofErr w:type="spellStart"/>
                  <w:r>
                    <w:rPr>
                      <w:rFonts w:asciiTheme="majorHAnsi" w:hAnsiTheme="majorHAnsi"/>
                      <w:sz w:val="20"/>
                      <w:szCs w:val="18"/>
                    </w:rPr>
                    <w:t>front-end</w:t>
                  </w:r>
                  <w:proofErr w:type="spellEnd"/>
                  <w:r>
                    <w:rPr>
                      <w:rFonts w:asciiTheme="majorHAnsi" w:hAnsiTheme="majorHAnsi"/>
                      <w:sz w:val="20"/>
                      <w:szCs w:val="18"/>
                    </w:rPr>
                    <w:t>).</w:t>
                  </w:r>
                </w:p>
                <w:p w14:paraId="68F87238" w14:textId="07428163" w:rsidR="004D3EC7"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administrador.</w:t>
                  </w:r>
                </w:p>
                <w:p w14:paraId="2E42766D" w14:textId="7D5CF7C5" w:rsidR="00A1339B" w:rsidRPr="006D1788" w:rsidRDefault="006D1788" w:rsidP="00A1339B">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usuario.</w:t>
                  </w: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48205A5D" w:rsidR="00A1339B" w:rsidRPr="00833C0C" w:rsidRDefault="006D1788" w:rsidP="003C50D7">
                  <w:pPr>
                    <w:spacing w:after="0" w:line="240" w:lineRule="auto"/>
                  </w:pPr>
                  <w:r>
                    <w:t>Diseñar interfaces de control de datos adaptado hacia el usuario y administrador.</w:t>
                  </w:r>
                </w:p>
              </w:tc>
            </w:tr>
          </w:tbl>
          <w:p w14:paraId="5E1B7270" w14:textId="77777777"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5A2C9C5E" w:rsidR="00BC46EB" w:rsidRPr="00503734" w:rsidRDefault="00BC46EB" w:rsidP="00BC46EB">
                  <w:pPr>
                    <w:rPr>
                      <w:rFonts w:cs="Calibri"/>
                    </w:rPr>
                  </w:pPr>
                  <w:r>
                    <w:rPr>
                      <w:rFonts w:cs="Calibri"/>
                    </w:rPr>
                    <w:t>2</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 xml:space="preserve">Aplicar el algoritmo en hash a archivos y claves generadas en </w:t>
                  </w:r>
                  <w:r>
                    <w:rPr>
                      <w:rFonts w:asciiTheme="majorHAnsi" w:hAnsiTheme="majorHAnsi"/>
                      <w:sz w:val="20"/>
                      <w:szCs w:val="18"/>
                    </w:rPr>
                    <w:lastRenderedPageBreak/>
                    <w:t>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lastRenderedPageBreak/>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77CB7F03" w:rsidR="008A0E3E" w:rsidRPr="00503734" w:rsidRDefault="008A0E3E" w:rsidP="008A0E3E">
                  <w:pPr>
                    <w:rPr>
                      <w:rFonts w:cs="Calibri"/>
                    </w:rPr>
                  </w:pPr>
                  <w:r>
                    <w:rPr>
                      <w:rFonts w:cs="Calibri"/>
                    </w:rPr>
                    <w:t>3</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w:t>
                  </w:r>
                  <w:proofErr w:type="spellStart"/>
                  <w:r>
                    <w:t>DDoS</w:t>
                  </w:r>
                  <w:proofErr w:type="spellEnd"/>
                  <w:r>
                    <w:t xml:space="preserve"> por medio del </w:t>
                  </w:r>
                  <w:r w:rsidR="00840E11">
                    <w:t>módulo</w:t>
                  </w:r>
                  <w:r>
                    <w:t xml:space="preserve"> </w:t>
                  </w:r>
                  <w:proofErr w:type="spellStart"/>
                  <w:r>
                    <w:t>mod_evasive</w:t>
                  </w:r>
                  <w:proofErr w:type="spellEnd"/>
                  <w:r>
                    <w:t xml:space="preserve"> dado por Apache y SSL (</w:t>
                  </w:r>
                  <w:proofErr w:type="spellStart"/>
                  <w:r>
                    <w:t>Secure</w:t>
                  </w:r>
                  <w:proofErr w:type="spellEnd"/>
                  <w:r>
                    <w:t xml:space="preserve"> Sockets </w:t>
                  </w:r>
                  <w:proofErr w:type="spellStart"/>
                  <w:r>
                    <w:t>Layers</w:t>
                  </w:r>
                  <w:proofErr w:type="spellEnd"/>
                  <w:r>
                    <w:t>) para el cifrado de información de ida y vuelta entre el 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 xml:space="preserve">Instalación del </w:t>
                  </w:r>
                  <w:proofErr w:type="spellStart"/>
                  <w:r>
                    <w:rPr>
                      <w:rFonts w:asciiTheme="majorHAnsi" w:hAnsiTheme="majorHAnsi"/>
                      <w:sz w:val="20"/>
                      <w:szCs w:val="18"/>
                    </w:rPr>
                    <w:t>modulo</w:t>
                  </w:r>
                  <w:proofErr w:type="spellEnd"/>
                  <w:r>
                    <w:rPr>
                      <w:rFonts w:asciiTheme="majorHAnsi" w:hAnsiTheme="majorHAnsi"/>
                      <w:sz w:val="20"/>
                      <w:szCs w:val="18"/>
                    </w:rPr>
                    <w:t xml:space="preserve"> </w:t>
                  </w:r>
                  <w:proofErr w:type="spellStart"/>
                  <w:r>
                    <w:rPr>
                      <w:rFonts w:asciiTheme="majorHAnsi" w:hAnsiTheme="majorHAnsi"/>
                      <w:sz w:val="20"/>
                      <w:szCs w:val="18"/>
                    </w:rPr>
                    <w:t>mod_evasive</w:t>
                  </w:r>
                  <w:proofErr w:type="spellEnd"/>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7CC9E1CC" w14:textId="77777777" w:rsidR="005F7FBD" w:rsidRDefault="00A1339B" w:rsidP="005F7FBD">
                <w:pPr>
                  <w:pStyle w:val="Bibliografa"/>
                  <w:ind w:left="720" w:hanging="720"/>
                  <w:rPr>
                    <w:noProof/>
                    <w:sz w:val="24"/>
                    <w:szCs w:val="24"/>
                    <w:lang w:val="es-ES"/>
                  </w:rPr>
                </w:pPr>
                <w:r>
                  <w:fldChar w:fldCharType="begin"/>
                </w:r>
                <w:r>
                  <w:instrText>BIBLIOGRAPHY</w:instrText>
                </w:r>
                <w:r>
                  <w:fldChar w:fldCharType="separate"/>
                </w:r>
                <w:r w:rsidR="005F7FBD">
                  <w:rPr>
                    <w:noProof/>
                    <w:lang w:val="es-ES"/>
                  </w:rPr>
                  <w:t>(s.f.).</w:t>
                </w:r>
              </w:p>
              <w:p w14:paraId="67E85A40" w14:textId="77777777" w:rsidR="005F7FBD" w:rsidRDefault="005F7FBD" w:rsidP="005F7FBD">
                <w:pPr>
                  <w:pStyle w:val="Bibliografa"/>
                  <w:ind w:left="720" w:hanging="720"/>
                  <w:rPr>
                    <w:noProof/>
                    <w:lang w:val="es-ES"/>
                  </w:rPr>
                </w:pPr>
                <w:r>
                  <w:rPr>
                    <w:noProof/>
                    <w:lang w:val="es-ES"/>
                  </w:rPr>
                  <w:t xml:space="preserve">Amadeus. (s.f.). </w:t>
                </w:r>
                <w:r>
                  <w:rPr>
                    <w:i/>
                    <w:iCs/>
                    <w:noProof/>
                    <w:lang w:val="es-ES"/>
                  </w:rPr>
                  <w:t>Amadeus</w:t>
                </w:r>
                <w:r>
                  <w:rPr>
                    <w:noProof/>
                    <w:lang w:val="es-ES"/>
                  </w:rPr>
                  <w:t>. Obtenido de http://www.amadeus.com/web/amadeus/es_CO-CO/P%C3%A1gina-inicial-de-Amadeus/Qui%C3%A9nes-somos/Nuestra-compa%C3%B1%C3%ADa/1259076731936-Page-AMAD_DetailPpal</w:t>
                </w:r>
              </w:p>
              <w:p w14:paraId="57DB45DB" w14:textId="77777777" w:rsidR="005F7FBD" w:rsidRDefault="005F7FBD" w:rsidP="005F7FBD">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1213BF06" w14:textId="77777777" w:rsidR="005F7FBD" w:rsidRDefault="005F7FBD" w:rsidP="005F7FBD">
                <w:pPr>
                  <w:pStyle w:val="Bibliografa"/>
                  <w:ind w:left="720" w:hanging="720"/>
                  <w:rPr>
                    <w:noProof/>
                    <w:lang w:val="es-ES"/>
                  </w:rPr>
                </w:pPr>
                <w:r>
                  <w:rPr>
                    <w:noProof/>
                    <w:lang w:val="es-ES"/>
                  </w:rPr>
                  <w:t xml:space="preserve">Antares. (s.f.). </w:t>
                </w:r>
                <w:r>
                  <w:rPr>
                    <w:i/>
                    <w:iCs/>
                    <w:noProof/>
                    <w:lang w:val="es-ES"/>
                  </w:rPr>
                  <w:t>Antares Colombia SAS</w:t>
                </w:r>
                <w:r>
                  <w:rPr>
                    <w:noProof/>
                    <w:lang w:val="es-ES"/>
                  </w:rPr>
                  <w:t>. Obtenido de http://antares.com.co/antares/blog/index.php/quienes-somos/</w:t>
                </w:r>
              </w:p>
              <w:p w14:paraId="1A940234" w14:textId="77777777" w:rsidR="005F7FBD" w:rsidRDefault="005F7FBD" w:rsidP="005F7FBD">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3B254122" w14:textId="77777777" w:rsidR="005F7FBD" w:rsidRDefault="005F7FBD" w:rsidP="005F7FBD">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1F4090B1" w14:textId="77777777" w:rsidR="005F7FBD" w:rsidRDefault="005F7FBD" w:rsidP="005F7FBD">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0AFB99E4" w14:textId="77777777" w:rsidR="005F7FBD" w:rsidRDefault="005F7FBD" w:rsidP="005F7FBD">
                <w:pPr>
                  <w:pStyle w:val="Bibliografa"/>
                  <w:ind w:left="720" w:hanging="720"/>
                  <w:rPr>
                    <w:noProof/>
                    <w:lang w:val="es-ES"/>
                  </w:rPr>
                </w:pPr>
                <w:r>
                  <w:rPr>
                    <w:noProof/>
                    <w:lang w:val="es-ES"/>
                  </w:rPr>
                  <w:lastRenderedPageBreak/>
                  <w:t xml:space="preserve">Cabello, M. V. (2011). </w:t>
                </w:r>
                <w:r>
                  <w:rPr>
                    <w:i/>
                    <w:iCs/>
                    <w:noProof/>
                    <w:lang w:val="es-ES"/>
                  </w:rPr>
                  <w:t>INTRODUCCIÓN A LAS BASES DE DATOS RELACIONALES.</w:t>
                </w:r>
                <w:r>
                  <w:rPr>
                    <w:noProof/>
                    <w:lang w:val="es-ES"/>
                  </w:rPr>
                  <w:t xml:space="preserve"> Vision Libros.</w:t>
                </w:r>
              </w:p>
              <w:p w14:paraId="714B6D28" w14:textId="77777777" w:rsidR="005F7FBD" w:rsidRDefault="005F7FBD" w:rsidP="005F7FBD">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5A7939C" w14:textId="77777777" w:rsidR="005F7FBD" w:rsidRDefault="005F7FBD" w:rsidP="005F7FBD">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38D6C015" w14:textId="77777777" w:rsidR="005F7FBD" w:rsidRDefault="005F7FBD" w:rsidP="005F7FBD">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2193BB93" w14:textId="77777777" w:rsidR="005F7FBD" w:rsidRDefault="005F7FBD" w:rsidP="005F7FB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B8FB6FE" w14:textId="77777777" w:rsidR="005F7FBD" w:rsidRDefault="005F7FBD" w:rsidP="005F7FBD">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136BF7C8" w14:textId="77777777" w:rsidR="005F7FBD" w:rsidRDefault="005F7FBD" w:rsidP="005F7FBD">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300D6E67" w14:textId="77777777" w:rsidR="005F7FBD" w:rsidRDefault="005F7FBD" w:rsidP="005F7FB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0E51287B" w14:textId="77777777" w:rsidR="005F7FBD" w:rsidRDefault="005F7FBD" w:rsidP="005F7FBD">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5A8ABFF6" w14:textId="77777777" w:rsidR="005F7FBD" w:rsidRDefault="005F7FBD" w:rsidP="005F7FBD">
                <w:pPr>
                  <w:pStyle w:val="Bibliografa"/>
                  <w:ind w:left="720" w:hanging="720"/>
                  <w:rPr>
                    <w:noProof/>
                    <w:lang w:val="es-ES"/>
                  </w:rPr>
                </w:pPr>
                <w:r>
                  <w:rPr>
                    <w:noProof/>
                    <w:lang w:val="es-ES"/>
                  </w:rPr>
                  <w:t>Hassan, Y. a. (2004). Diseño Web Centrado en el Usuario: Usabilidad y Arquitectura de la Información. 14.</w:t>
                </w:r>
              </w:p>
              <w:p w14:paraId="17F332EF" w14:textId="77777777" w:rsidR="005F7FBD" w:rsidRDefault="005F7FBD" w:rsidP="005F7FBD">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67F5CA3F" w14:textId="77777777" w:rsidR="005F7FBD" w:rsidRDefault="005F7FBD" w:rsidP="005F7FBD">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5B5CC168" w14:textId="77777777" w:rsidR="005F7FBD" w:rsidRDefault="005F7FBD" w:rsidP="005F7FBD">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1074898D" w14:textId="77777777" w:rsidR="005F7FBD" w:rsidRDefault="005F7FBD" w:rsidP="005F7FBD">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61CDA6BC" w14:textId="77777777" w:rsidR="005F7FBD" w:rsidRDefault="005F7FBD" w:rsidP="005F7FBD">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29826333" w14:textId="77777777" w:rsidR="005F7FBD" w:rsidRDefault="005F7FBD" w:rsidP="005F7FBD">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0A245A65" w14:textId="77777777" w:rsidR="005F7FBD" w:rsidRDefault="005F7FBD" w:rsidP="005F7FBD">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2FAC9761" w14:textId="77777777" w:rsidR="005F7FBD" w:rsidRDefault="005F7FBD" w:rsidP="005F7FBD">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0B38310B" w14:textId="77777777" w:rsidR="005F7FBD" w:rsidRDefault="005F7FBD" w:rsidP="005F7FBD">
                <w:pPr>
                  <w:pStyle w:val="Bibliografa"/>
                  <w:ind w:left="720" w:hanging="720"/>
                  <w:rPr>
                    <w:noProof/>
                    <w:lang w:val="es-ES"/>
                  </w:rPr>
                </w:pPr>
                <w:r>
                  <w:rPr>
                    <w:noProof/>
                    <w:lang w:val="es-ES"/>
                  </w:rPr>
                  <w:lastRenderedPageBreak/>
                  <w:t>Perú, S. P. (17 de Diciembre de 1993). DECISION 351 REGIMEN COMUN SOBRE DERECHO DE AUTOR Y DERECHOS CONEXOS. Cartagena.</w:t>
                </w:r>
              </w:p>
              <w:p w14:paraId="05BE2D72" w14:textId="77777777" w:rsidR="005F7FBD" w:rsidRDefault="005F7FBD" w:rsidP="005F7FBD">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6BE21599" w14:textId="77777777" w:rsidR="005F7FBD" w:rsidRDefault="005F7FBD" w:rsidP="005F7FBD">
                <w:pPr>
                  <w:pStyle w:val="Bibliografa"/>
                  <w:ind w:left="720" w:hanging="720"/>
                  <w:rPr>
                    <w:noProof/>
                    <w:lang w:val="es-ES"/>
                  </w:rPr>
                </w:pPr>
                <w:r>
                  <w:rPr>
                    <w:noProof/>
                    <w:lang w:val="es-ES"/>
                  </w:rPr>
                  <w:t xml:space="preserve">Sanjuan, L. (s.f.). </w:t>
                </w:r>
                <w:r>
                  <w:rPr>
                    <w:i/>
                    <w:iCs/>
                    <w:noProof/>
                    <w:lang w:val="es-ES"/>
                  </w:rPr>
                  <w:t>Criptografia I.</w:t>
                </w:r>
                <w:r>
                  <w:rPr>
                    <w:noProof/>
                    <w:lang w:val="es-ES"/>
                  </w:rPr>
                  <w:t xml:space="preserve"> Barranquilla.</w:t>
                </w:r>
              </w:p>
              <w:p w14:paraId="5B638EB5" w14:textId="77777777" w:rsidR="005F7FBD" w:rsidRDefault="005F7FBD" w:rsidP="005F7FBD">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1566A6F9" w14:textId="77777777" w:rsidR="005F7FBD" w:rsidRDefault="005F7FBD" w:rsidP="005F7FBD">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1E20638B" w14:textId="77777777" w:rsidR="005F7FBD" w:rsidRDefault="005F7FBD" w:rsidP="005F7FBD">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5B97911A" w14:textId="77777777" w:rsidR="005F7FBD" w:rsidRDefault="005F7FBD" w:rsidP="005F7FBD">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5F7FBD">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bookmarkStart w:id="0" w:name="_GoBack"/>
                  <w:bookmarkEnd w:id="0"/>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w:t>
            </w:r>
            <w:r w:rsidR="003134D5">
              <w:lastRenderedPageBreak/>
              <w:t>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6551CC2A"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5CCDE" w14:textId="77777777" w:rsidR="00B80D31" w:rsidRDefault="00B80D31" w:rsidP="00354648">
      <w:pPr>
        <w:spacing w:after="0" w:line="240" w:lineRule="auto"/>
      </w:pPr>
      <w:r>
        <w:separator/>
      </w:r>
    </w:p>
  </w:endnote>
  <w:endnote w:type="continuationSeparator" w:id="0">
    <w:p w14:paraId="59F6705B" w14:textId="77777777" w:rsidR="00B80D31" w:rsidRDefault="00B80D31"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516F6" w:rsidRPr="00E516F6">
      <w:rPr>
        <w:noProof/>
        <w:sz w:val="16"/>
        <w:szCs w:val="16"/>
        <w:lang w:val="es-ES"/>
      </w:rPr>
      <w:t>11</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45B44" w14:textId="77777777" w:rsidR="00B80D31" w:rsidRDefault="00B80D31" w:rsidP="00354648">
      <w:pPr>
        <w:spacing w:after="0" w:line="240" w:lineRule="auto"/>
      </w:pPr>
      <w:r>
        <w:separator/>
      </w:r>
    </w:p>
  </w:footnote>
  <w:footnote w:type="continuationSeparator" w:id="0">
    <w:p w14:paraId="6DC493BD" w14:textId="77777777" w:rsidR="00B80D31" w:rsidRDefault="00B80D31"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2"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3"/>
  </w:num>
  <w:num w:numId="3">
    <w:abstractNumId w:val="11"/>
  </w:num>
  <w:num w:numId="4">
    <w:abstractNumId w:val="2"/>
  </w:num>
  <w:num w:numId="5">
    <w:abstractNumId w:val="9"/>
  </w:num>
  <w:num w:numId="6">
    <w:abstractNumId w:val="5"/>
  </w:num>
  <w:num w:numId="7">
    <w:abstractNumId w:val="4"/>
  </w:num>
  <w:num w:numId="8">
    <w:abstractNumId w:val="12"/>
  </w:num>
  <w:num w:numId="9">
    <w:abstractNumId w:val="6"/>
  </w:num>
  <w:num w:numId="10">
    <w:abstractNumId w:val="10"/>
  </w:num>
  <w:num w:numId="11">
    <w:abstractNumId w:val="7"/>
  </w:num>
  <w:num w:numId="12">
    <w:abstractNumId w:val="15"/>
  </w:num>
  <w:num w:numId="13">
    <w:abstractNumId w:val="16"/>
  </w:num>
  <w:num w:numId="14">
    <w:abstractNumId w:val="21"/>
  </w:num>
  <w:num w:numId="15">
    <w:abstractNumId w:val="18"/>
  </w:num>
  <w:num w:numId="16">
    <w:abstractNumId w:val="14"/>
  </w:num>
  <w:num w:numId="17">
    <w:abstractNumId w:val="17"/>
  </w:num>
  <w:num w:numId="18">
    <w:abstractNumId w:val="0"/>
  </w:num>
  <w:num w:numId="19">
    <w:abstractNumId w:val="1"/>
  </w:num>
  <w:num w:numId="20">
    <w:abstractNumId w:val="13"/>
  </w:num>
  <w:num w:numId="21">
    <w:abstractNumId w:val="8"/>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E7E"/>
    <w:rsid w:val="00272C82"/>
    <w:rsid w:val="00272F9E"/>
    <w:rsid w:val="002776D0"/>
    <w:rsid w:val="002832B4"/>
    <w:rsid w:val="002850D4"/>
    <w:rsid w:val="00285C63"/>
    <w:rsid w:val="002860A8"/>
    <w:rsid w:val="002864C7"/>
    <w:rsid w:val="0028730C"/>
    <w:rsid w:val="002B49B8"/>
    <w:rsid w:val="002C0476"/>
    <w:rsid w:val="002C138A"/>
    <w:rsid w:val="002C38BF"/>
    <w:rsid w:val="002C42DB"/>
    <w:rsid w:val="002C568A"/>
    <w:rsid w:val="002C6BF3"/>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2E13"/>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65FDE"/>
    <w:rsid w:val="0057114A"/>
    <w:rsid w:val="00573B34"/>
    <w:rsid w:val="0057677F"/>
    <w:rsid w:val="00580C61"/>
    <w:rsid w:val="00584C16"/>
    <w:rsid w:val="005902F7"/>
    <w:rsid w:val="005912E9"/>
    <w:rsid w:val="005968DC"/>
    <w:rsid w:val="00596A0B"/>
    <w:rsid w:val="005B242F"/>
    <w:rsid w:val="005B423D"/>
    <w:rsid w:val="005B5A76"/>
    <w:rsid w:val="005B6D66"/>
    <w:rsid w:val="005C4023"/>
    <w:rsid w:val="005D0D5B"/>
    <w:rsid w:val="005D1658"/>
    <w:rsid w:val="005E2B9E"/>
    <w:rsid w:val="005E39A1"/>
    <w:rsid w:val="005F028F"/>
    <w:rsid w:val="005F3D0D"/>
    <w:rsid w:val="005F4E1A"/>
    <w:rsid w:val="005F7F24"/>
    <w:rsid w:val="005F7FBD"/>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57A5"/>
    <w:rsid w:val="007C5E09"/>
    <w:rsid w:val="007C76D9"/>
    <w:rsid w:val="007D1B53"/>
    <w:rsid w:val="007D370A"/>
    <w:rsid w:val="007E135C"/>
    <w:rsid w:val="007E15E4"/>
    <w:rsid w:val="007E2BC8"/>
    <w:rsid w:val="007E3C92"/>
    <w:rsid w:val="007F679B"/>
    <w:rsid w:val="00803A9A"/>
    <w:rsid w:val="0080694B"/>
    <w:rsid w:val="008075B0"/>
    <w:rsid w:val="00816D3F"/>
    <w:rsid w:val="00820927"/>
    <w:rsid w:val="00820D1A"/>
    <w:rsid w:val="00822C01"/>
    <w:rsid w:val="00824B7D"/>
    <w:rsid w:val="00824BC7"/>
    <w:rsid w:val="00830723"/>
    <w:rsid w:val="00832CB4"/>
    <w:rsid w:val="0083403F"/>
    <w:rsid w:val="00840E11"/>
    <w:rsid w:val="00845906"/>
    <w:rsid w:val="00846E28"/>
    <w:rsid w:val="00850100"/>
    <w:rsid w:val="008573E3"/>
    <w:rsid w:val="00861AD6"/>
    <w:rsid w:val="0086750A"/>
    <w:rsid w:val="00875DCD"/>
    <w:rsid w:val="008909D4"/>
    <w:rsid w:val="00891355"/>
    <w:rsid w:val="00892D0B"/>
    <w:rsid w:val="00893154"/>
    <w:rsid w:val="008A0E3E"/>
    <w:rsid w:val="008A76E2"/>
    <w:rsid w:val="008B579D"/>
    <w:rsid w:val="008C0650"/>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C411C"/>
    <w:rsid w:val="00CD2158"/>
    <w:rsid w:val="00CD3755"/>
    <w:rsid w:val="00CD3F9A"/>
    <w:rsid w:val="00CD4E4C"/>
    <w:rsid w:val="00CD541D"/>
    <w:rsid w:val="00CD72F7"/>
    <w:rsid w:val="00CE1752"/>
    <w:rsid w:val="00CE240D"/>
    <w:rsid w:val="00CE343C"/>
    <w:rsid w:val="00CE6BD5"/>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516F6"/>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18</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19</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20</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21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22</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23</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24</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25</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26</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27</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28</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29</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30</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31</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10</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12</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9</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11</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32</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3</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4</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33</b:RefOrder>
  </b:Source>
  <b:Source>
    <b:Tag>SIG92</b:Tag>
    <b:SourceType>Report</b:SourceType>
    <b:Guid>{5C5EBF2D-B26E-4CDD-B268-11C8545E01B5}</b:Guid>
    <b:RefOrder>34</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2</b:RefOrder>
  </b:Source>
  <b:Source>
    <b:Tag>Leu</b:Tag>
    <b:SourceType>Report</b:SourceType>
    <b:Guid>{1F445792-244B-4297-839F-562467C03EA7}</b:Guid>
    <b:Title>Criptografia I</b:Title>
    <b:City>Barranquilla</b:City>
    <b:Author>
      <b:Author>
        <b:NameList>
          <b:Person>
            <b:Last>Sanjuan</b:Last>
            <b:First>Leudis</b:First>
          </b:Person>
        </b:NameList>
      </b:Author>
    </b:Author>
    <b:CountryRegion>Colombia</b:CountryRegion>
    <b:RefOrder>1</b:RefOrder>
  </b:Source>
  <b:Source>
    <b:Tag>Ama</b:Tag>
    <b:SourceType>InternetSite</b:SourceType>
    <b:Guid>{A36A6AC3-9854-4A8E-BCC0-8D30961E626C}</b:Guid>
    <b:Author>
      <b:Author>
        <b:NameList>
          <b:Person>
            <b:Last>Amadeus</b:Last>
          </b:Person>
        </b:NameList>
      </b:Author>
    </b:Author>
    <b:Title>Amadeus</b:Title>
    <b:URL>http://www.amadeus.com/web/amadeus/es_CO-CO/P%C3%A1gina-inicial-de-Amadeus/Qui%C3%A9nes-somos/Nuestra-compa%C3%B1%C3%ADa/1259076731936-Page-AMAD_DetailPpal</b:URL>
    <b:RefOrder>14</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13</b:RefOrder>
  </b:Source>
  <b:Source>
    <b:Tag>Ant</b:Tag>
    <b:SourceType>InternetSite</b:SourceType>
    <b:Guid>{385D4A75-F693-46EE-994E-35DF41620BE8}</b:Guid>
    <b:Author>
      <b:Author>
        <b:NameList>
          <b:Person>
            <b:Last>Antares</b:Last>
          </b:Person>
        </b:NameList>
      </b:Author>
    </b:Author>
    <b:Title>Antares Colombia SAS</b:Title>
    <b:URL>http://antares.com.co/antares/blog/index.php/quienes-somos/</b:URL>
    <b:RefOrder>15</b:RefOrder>
  </b:Source>
  <b:Source>
    <b:Tag>Quo</b:Tag>
    <b:SourceType>InternetSite</b:SourceType>
    <b:Guid>{7495CE63-8BF8-419D-94FB-6B6F598F483D}</b:Guid>
    <b:Author>
      <b:Author>
        <b:NameList>
          <b:Person>
            <b:Last>Quonext</b:Last>
          </b:Person>
        </b:NameList>
      </b:Author>
    </b:Author>
    <b:Title>Quonext</b:Title>
    <b:URL>https://www.quonext.com/sobre-quonext</b:URL>
    <b:RefOrder>16</b:RefOrder>
  </b:Source>
  <b:Source>
    <b:Tag>Log</b:Tag>
    <b:SourceType>InternetSite</b:SourceType>
    <b:Guid>{B8E67531-B9DF-47CC-84FE-FB58DC92C6B3}</b:Guid>
    <b:Author>
      <b:Author>
        <b:NameList>
          <b:Person>
            <b:Last>Logismic</b:Last>
          </b:Person>
        </b:NameList>
      </b:Author>
    </b:Author>
    <b:Title>Logismic software</b:Title>
    <b:URL>http://www.logismic.mx/nosotros/</b:URL>
    <b:RefOrder>17</b:RefOrder>
  </b:Source>
</b:Sources>
</file>

<file path=customXml/itemProps1.xml><?xml version="1.0" encoding="utf-8"?>
<ds:datastoreItem xmlns:ds="http://schemas.openxmlformats.org/officeDocument/2006/customXml" ds:itemID="{3AE3B1A3-E3AB-48F4-B9D3-8F9860A6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12</Pages>
  <Words>3438</Words>
  <Characters>18911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22305</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195</cp:revision>
  <cp:lastPrinted>2017-02-07T19:46:00Z</cp:lastPrinted>
  <dcterms:created xsi:type="dcterms:W3CDTF">2015-11-11T18:28:00Z</dcterms:created>
  <dcterms:modified xsi:type="dcterms:W3CDTF">2018-03-20T19:33:00Z</dcterms:modified>
</cp:coreProperties>
</file>