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5B3AC8F" w:rsidP="4816C31A" w:rsidRDefault="05B3AC8F" w14:paraId="701D39AA" w14:textId="5943366B">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Azure Fraud Model Monitoring Plan</w:t>
      </w:r>
    </w:p>
    <w:p w:rsidR="05B3AC8F" w:rsidP="4816C31A" w:rsidRDefault="05B3AC8F" w14:paraId="4273AE8F" w14:textId="0BF8E88C">
      <w:pPr>
        <w:shd w:val="clear" w:color="auto" w:fill="FFFFFF" w:themeFill="background1"/>
        <w:spacing w:before="0" w:beforeAutospacing="off" w:after="0" w:afterAutospacing="off"/>
      </w:pPr>
      <w:r w:rsidRPr="4816C31A" w:rsidR="05B3AC8F">
        <w:rPr>
          <w:rFonts w:ascii="Aptos" w:hAnsi="Aptos" w:eastAsia="Aptos" w:cs="Aptos"/>
          <w:b w:val="0"/>
          <w:bCs w:val="0"/>
          <w:i w:val="1"/>
          <w:iCs w:val="1"/>
          <w:caps w:val="0"/>
          <w:smallCaps w:val="0"/>
          <w:noProof w:val="0"/>
          <w:color w:val="242424"/>
          <w:sz w:val="24"/>
          <w:szCs w:val="24"/>
          <w:lang w:val="en-US"/>
        </w:rPr>
        <w:t>(For Model Risk Management Submission)</w:t>
      </w:r>
    </w:p>
    <w:p w:rsidR="4816C31A" w:rsidP="4816C31A" w:rsidRDefault="4816C31A" w14:paraId="08DF8B67" w14:textId="23565C41">
      <w:pPr>
        <w:shd w:val="clear" w:color="auto" w:fill="FFFFFF" w:themeFill="background1"/>
        <w:spacing w:before="0" w:beforeAutospacing="off" w:after="0" w:afterAutospacing="off"/>
        <w:jc w:val="center"/>
      </w:pPr>
    </w:p>
    <w:p w:rsidR="05B3AC8F" w:rsidP="4816C31A" w:rsidRDefault="05B3AC8F" w14:paraId="2F526DBD" w14:textId="1BB44386">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1. Executive Summary</w:t>
      </w:r>
    </w:p>
    <w:p w:rsidR="05B3AC8F" w:rsidP="4816C31A" w:rsidRDefault="05B3AC8F" w14:paraId="11A9024A" w14:textId="4C1AE855">
      <w:pPr>
        <w:shd w:val="clear" w:color="auto" w:fill="FFFFFF" w:themeFill="background1"/>
        <w:spacing w:before="0" w:beforeAutospacing="off" w:after="0" w:afterAutospacing="off"/>
      </w:pPr>
      <w:r w:rsidRPr="4816C31A" w:rsidR="05B3AC8F">
        <w:rPr>
          <w:rFonts w:ascii="Aptos" w:hAnsi="Aptos" w:eastAsia="Aptos" w:cs="Aptos"/>
          <w:b w:val="0"/>
          <w:bCs w:val="0"/>
          <w:i w:val="0"/>
          <w:iCs w:val="0"/>
          <w:caps w:val="0"/>
          <w:smallCaps w:val="0"/>
          <w:noProof w:val="0"/>
          <w:color w:val="242424"/>
          <w:sz w:val="24"/>
          <w:szCs w:val="24"/>
          <w:lang w:val="en-US"/>
        </w:rPr>
        <w:t>The Azure Fraud Protection model is a real-time, cloud-based fraud detection solution leveraging adaptive machine learning. This monitoring framework is designed to assess the model's predictive performance, stability, operational efficiency, and governance compliance under SR 11-7 principles and internal risk management standards.</w:t>
      </w:r>
    </w:p>
    <w:p w:rsidR="4816C31A" w:rsidP="4816C31A" w:rsidRDefault="4816C31A" w14:paraId="0CF93370" w14:textId="59C7A901">
      <w:pPr>
        <w:shd w:val="clear" w:color="auto" w:fill="FFFFFF" w:themeFill="background1"/>
        <w:spacing w:before="0" w:beforeAutospacing="off" w:after="0" w:afterAutospacing="off"/>
        <w:jc w:val="center"/>
      </w:pPr>
    </w:p>
    <w:p w:rsidR="05B3AC8F" w:rsidP="4816C31A" w:rsidRDefault="05B3AC8F" w14:paraId="63B1BEB8" w14:textId="2A9F0754">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2. Scope of Monitoring</w:t>
      </w:r>
    </w:p>
    <w:p w:rsidR="05B3AC8F" w:rsidP="4816C31A" w:rsidRDefault="05B3AC8F" w14:paraId="22186FDB" w14:textId="11209BB5">
      <w:pPr>
        <w:pStyle w:val="ListParagraph"/>
        <w:numPr>
          <w:ilvl w:val="0"/>
          <w:numId w:val="1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Transaction-level fraud detection scoring</w:t>
      </w:r>
    </w:p>
    <w:p w:rsidR="05B3AC8F" w:rsidP="4816C31A" w:rsidRDefault="05B3AC8F" w14:paraId="16871C09" w14:textId="3B478A02">
      <w:pPr>
        <w:pStyle w:val="ListParagraph"/>
        <w:numPr>
          <w:ilvl w:val="0"/>
          <w:numId w:val="1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Decision outputs: Approve, Reject, Review</w:t>
      </w:r>
    </w:p>
    <w:p w:rsidR="05B3AC8F" w:rsidP="4816C31A" w:rsidRDefault="05B3AC8F" w14:paraId="5B5BE667" w14:textId="15E1A4DE">
      <w:pPr>
        <w:pStyle w:val="ListParagraph"/>
        <w:numPr>
          <w:ilvl w:val="0"/>
          <w:numId w:val="1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Feedback loop monitoring (actual disposition vs prediction)</w:t>
      </w:r>
    </w:p>
    <w:p w:rsidR="05B3AC8F" w:rsidP="4816C31A" w:rsidRDefault="05B3AC8F" w14:paraId="7DCC76C6" w14:textId="1C8C9A7C">
      <w:pPr>
        <w:pStyle w:val="ListParagraph"/>
        <w:numPr>
          <w:ilvl w:val="0"/>
          <w:numId w:val="1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Auto-update behavior monitoring (adaptive model learning)</w:t>
      </w:r>
    </w:p>
    <w:p w:rsidR="4816C31A" w:rsidP="4816C31A" w:rsidRDefault="4816C31A" w14:paraId="2BF1E3A7" w14:textId="1E650252">
      <w:pPr>
        <w:shd w:val="clear" w:color="auto" w:fill="FFFFFF" w:themeFill="background1"/>
        <w:spacing w:before="0" w:beforeAutospacing="off" w:after="0" w:afterAutospacing="off"/>
        <w:jc w:val="center"/>
      </w:pPr>
    </w:p>
    <w:p w:rsidR="05B3AC8F" w:rsidP="4816C31A" w:rsidRDefault="05B3AC8F" w14:paraId="645D70BE" w14:textId="4B75FD46">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3. Core Outputs Monitored</w:t>
      </w:r>
    </w:p>
    <w:p w:rsidR="05B3AC8F" w:rsidP="4816C31A" w:rsidRDefault="05B3AC8F" w14:paraId="493A1FDE" w14:textId="1A42735D">
      <w:pPr>
        <w:pStyle w:val="ListParagraph"/>
        <w:numPr>
          <w:ilvl w:val="0"/>
          <w:numId w:val="1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Risk Score</w:t>
      </w:r>
      <w:r w:rsidRPr="4816C31A" w:rsidR="05B3AC8F">
        <w:rPr>
          <w:rFonts w:ascii="Aptos" w:hAnsi="Aptos" w:eastAsia="Aptos" w:cs="Aptos"/>
          <w:b w:val="0"/>
          <w:bCs w:val="0"/>
          <w:i w:val="0"/>
          <w:iCs w:val="0"/>
          <w:caps w:val="0"/>
          <w:smallCaps w:val="0"/>
          <w:noProof w:val="0"/>
          <w:color w:val="242424"/>
          <w:sz w:val="24"/>
          <w:szCs w:val="24"/>
          <w:lang w:val="en-US"/>
        </w:rPr>
        <w:t xml:space="preserve"> (continuous 0–999 or normalized 0–1 scale)</w:t>
      </w:r>
    </w:p>
    <w:p w:rsidR="05B3AC8F" w:rsidP="4816C31A" w:rsidRDefault="05B3AC8F" w14:paraId="6751E565" w14:textId="10CDAD7C">
      <w:pPr>
        <w:pStyle w:val="ListParagraph"/>
        <w:numPr>
          <w:ilvl w:val="0"/>
          <w:numId w:val="1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Decision Recommendation</w:t>
      </w:r>
      <w:r w:rsidRPr="4816C31A" w:rsidR="05B3AC8F">
        <w:rPr>
          <w:rFonts w:ascii="Aptos" w:hAnsi="Aptos" w:eastAsia="Aptos" w:cs="Aptos"/>
          <w:b w:val="0"/>
          <w:bCs w:val="0"/>
          <w:i w:val="0"/>
          <w:iCs w:val="0"/>
          <w:caps w:val="0"/>
          <w:smallCaps w:val="0"/>
          <w:noProof w:val="0"/>
          <w:color w:val="242424"/>
          <w:sz w:val="24"/>
          <w:szCs w:val="24"/>
          <w:lang w:val="en-US"/>
        </w:rPr>
        <w:t xml:space="preserve"> (Approve / Review / Reject)</w:t>
      </w:r>
    </w:p>
    <w:p w:rsidR="05B3AC8F" w:rsidP="4816C31A" w:rsidRDefault="05B3AC8F" w14:paraId="4AE36E2E" w14:textId="66A2E0B2">
      <w:pPr>
        <w:pStyle w:val="ListParagraph"/>
        <w:numPr>
          <w:ilvl w:val="0"/>
          <w:numId w:val="1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Reason Codes</w:t>
      </w:r>
      <w:r w:rsidRPr="4816C31A" w:rsidR="05B3AC8F">
        <w:rPr>
          <w:rFonts w:ascii="Aptos" w:hAnsi="Aptos" w:eastAsia="Aptos" w:cs="Aptos"/>
          <w:b w:val="0"/>
          <w:bCs w:val="0"/>
          <w:i w:val="0"/>
          <w:iCs w:val="0"/>
          <w:caps w:val="0"/>
          <w:smallCaps w:val="0"/>
          <w:noProof w:val="0"/>
          <w:color w:val="242424"/>
          <w:sz w:val="24"/>
          <w:szCs w:val="24"/>
          <w:lang w:val="en-US"/>
        </w:rPr>
        <w:t xml:space="preserve"> (Top factors impacting fraud prediction)</w:t>
      </w:r>
    </w:p>
    <w:p w:rsidR="05B3AC8F" w:rsidP="4816C31A" w:rsidRDefault="05B3AC8F" w14:paraId="714EA8DB" w14:textId="5F0FA457">
      <w:pPr>
        <w:pStyle w:val="ListParagraph"/>
        <w:numPr>
          <w:ilvl w:val="0"/>
          <w:numId w:val="1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Actual Disposition</w:t>
      </w:r>
      <w:r w:rsidRPr="4816C31A" w:rsidR="05B3AC8F">
        <w:rPr>
          <w:rFonts w:ascii="Aptos" w:hAnsi="Aptos" w:eastAsia="Aptos" w:cs="Aptos"/>
          <w:b w:val="0"/>
          <w:bCs w:val="0"/>
          <w:i w:val="0"/>
          <w:iCs w:val="0"/>
          <w:caps w:val="0"/>
          <w:smallCaps w:val="0"/>
          <w:noProof w:val="0"/>
          <w:color w:val="242424"/>
          <w:sz w:val="24"/>
          <w:szCs w:val="24"/>
          <w:lang w:val="en-US"/>
        </w:rPr>
        <w:t xml:space="preserve"> (Confirmed Fraud / Legitimate Outcome)</w:t>
      </w:r>
    </w:p>
    <w:p w:rsidR="05B3AC8F" w:rsidP="4816C31A" w:rsidRDefault="05B3AC8F" w14:paraId="28603261" w14:textId="004B7DA0">
      <w:pPr>
        <w:pStyle w:val="ListParagraph"/>
        <w:numPr>
          <w:ilvl w:val="0"/>
          <w:numId w:val="1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Latency Time</w:t>
      </w:r>
      <w:r w:rsidRPr="4816C31A" w:rsidR="05B3AC8F">
        <w:rPr>
          <w:rFonts w:ascii="Aptos" w:hAnsi="Aptos" w:eastAsia="Aptos" w:cs="Aptos"/>
          <w:b w:val="0"/>
          <w:bCs w:val="0"/>
          <w:i w:val="0"/>
          <w:iCs w:val="0"/>
          <w:caps w:val="0"/>
          <w:smallCaps w:val="0"/>
          <w:noProof w:val="0"/>
          <w:color w:val="242424"/>
          <w:sz w:val="24"/>
          <w:szCs w:val="24"/>
          <w:lang w:val="en-US"/>
        </w:rPr>
        <w:t xml:space="preserve"> (Model response time)</w:t>
      </w:r>
    </w:p>
    <w:p w:rsidR="05B3AC8F" w:rsidP="4816C31A" w:rsidRDefault="05B3AC8F" w14:paraId="2320A25E" w14:textId="2D3F16D7">
      <w:pPr>
        <w:pStyle w:val="ListParagraph"/>
        <w:numPr>
          <w:ilvl w:val="0"/>
          <w:numId w:val="12"/>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Model Version / Update Tracking</w:t>
      </w:r>
      <w:r w:rsidRPr="4816C31A" w:rsidR="05B3AC8F">
        <w:rPr>
          <w:rFonts w:ascii="Aptos" w:hAnsi="Aptos" w:eastAsia="Aptos" w:cs="Aptos"/>
          <w:b w:val="0"/>
          <w:bCs w:val="0"/>
          <w:i w:val="0"/>
          <w:iCs w:val="0"/>
          <w:caps w:val="0"/>
          <w:smallCaps w:val="0"/>
          <w:noProof w:val="0"/>
          <w:color w:val="242424"/>
          <w:sz w:val="24"/>
          <w:szCs w:val="24"/>
          <w:lang w:val="en-US"/>
        </w:rPr>
        <w:t xml:space="preserve"> (where available)</w:t>
      </w:r>
    </w:p>
    <w:p w:rsidR="4816C31A" w:rsidP="4816C31A" w:rsidRDefault="4816C31A" w14:paraId="7106ED20" w14:textId="118DF79C">
      <w:pPr>
        <w:shd w:val="clear" w:color="auto" w:fill="FFFFFF" w:themeFill="background1"/>
        <w:spacing w:before="0" w:beforeAutospacing="off" w:after="0" w:afterAutospacing="off"/>
        <w:jc w:val="center"/>
      </w:pPr>
    </w:p>
    <w:p w:rsidR="05B3AC8F" w:rsidP="4816C31A" w:rsidRDefault="05B3AC8F" w14:paraId="7335AEB4" w14:textId="011F9D16">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4. Data and Variables Required</w:t>
      </w:r>
    </w:p>
    <w:tbl>
      <w:tblPr>
        <w:tblStyle w:val="TableGrid"/>
        <w:tblW w:w="0" w:type="auto"/>
        <w:tblLayout w:type="fixed"/>
        <w:tblLook w:val="06A0" w:firstRow="1" w:lastRow="0" w:firstColumn="1" w:lastColumn="0" w:noHBand="1" w:noVBand="1"/>
      </w:tblPr>
      <w:tblGrid>
        <w:gridCol w:w="1702"/>
        <w:gridCol w:w="4113"/>
        <w:gridCol w:w="3545"/>
      </w:tblGrid>
      <w:tr w:rsidR="4816C31A" w:rsidTr="4816C31A" w14:paraId="36AC8A74">
        <w:trPr>
          <w:trHeight w:val="300"/>
        </w:trPr>
        <w:tc>
          <w:tcPr>
            <w:tcW w:w="1702" w:type="dxa"/>
            <w:tcMar/>
          </w:tcPr>
          <w:p w:rsidR="4816C31A" w:rsidP="4816C31A" w:rsidRDefault="4816C31A" w14:paraId="7065E485" w14:textId="23E395C0">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Variable</w:t>
            </w:r>
          </w:p>
        </w:tc>
        <w:tc>
          <w:tcPr>
            <w:tcW w:w="4113" w:type="dxa"/>
            <w:tcMar/>
          </w:tcPr>
          <w:p w:rsidR="4816C31A" w:rsidP="4816C31A" w:rsidRDefault="4816C31A" w14:paraId="3903DB87" w14:textId="1E068B0A">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Usage in Monitoring</w:t>
            </w:r>
          </w:p>
        </w:tc>
        <w:tc>
          <w:tcPr>
            <w:tcW w:w="3545" w:type="dxa"/>
            <w:tcMar/>
          </w:tcPr>
          <w:p w:rsidR="4816C31A" w:rsidP="4816C31A" w:rsidRDefault="4816C31A" w14:paraId="05C1F20A" w14:textId="3C6B8228">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Business Significance</w:t>
            </w:r>
          </w:p>
        </w:tc>
      </w:tr>
      <w:tr w:rsidR="4816C31A" w:rsidTr="4816C31A" w14:paraId="56D97CC3">
        <w:trPr>
          <w:trHeight w:val="300"/>
        </w:trPr>
        <w:tc>
          <w:tcPr>
            <w:tcW w:w="1702" w:type="dxa"/>
            <w:tcMar/>
          </w:tcPr>
          <w:p w:rsidR="4816C31A" w:rsidP="4816C31A" w:rsidRDefault="4816C31A" w14:paraId="14BED0FD" w14:textId="4872FD12">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Transaction ID</w:t>
            </w:r>
          </w:p>
        </w:tc>
        <w:tc>
          <w:tcPr>
            <w:tcW w:w="4113" w:type="dxa"/>
            <w:tcMar/>
          </w:tcPr>
          <w:p w:rsidR="4816C31A" w:rsidP="4816C31A" w:rsidRDefault="4816C31A" w14:paraId="563447ED" w14:textId="2129CC88">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Unique traceable event key</w:t>
            </w:r>
          </w:p>
        </w:tc>
        <w:tc>
          <w:tcPr>
            <w:tcW w:w="3545" w:type="dxa"/>
            <w:tcMar/>
          </w:tcPr>
          <w:p w:rsidR="4816C31A" w:rsidP="4816C31A" w:rsidRDefault="4816C31A" w14:paraId="07E091F2" w14:textId="6699547F">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Auditability, reconciliation</w:t>
            </w:r>
          </w:p>
        </w:tc>
      </w:tr>
      <w:tr w:rsidR="4816C31A" w:rsidTr="4816C31A" w14:paraId="0A2917D5">
        <w:trPr>
          <w:trHeight w:val="300"/>
        </w:trPr>
        <w:tc>
          <w:tcPr>
            <w:tcW w:w="1702" w:type="dxa"/>
            <w:tcMar/>
          </w:tcPr>
          <w:p w:rsidR="4816C31A" w:rsidP="4816C31A" w:rsidRDefault="4816C31A" w14:paraId="53A6D821" w14:textId="3866ED42">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Timestamp</w:t>
            </w:r>
          </w:p>
        </w:tc>
        <w:tc>
          <w:tcPr>
            <w:tcW w:w="4113" w:type="dxa"/>
            <w:tcMar/>
          </w:tcPr>
          <w:p w:rsidR="4816C31A" w:rsidP="4816C31A" w:rsidRDefault="4816C31A" w14:paraId="05443E95" w14:textId="37DBE198">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Event timing</w:t>
            </w:r>
          </w:p>
        </w:tc>
        <w:tc>
          <w:tcPr>
            <w:tcW w:w="3545" w:type="dxa"/>
            <w:tcMar/>
          </w:tcPr>
          <w:p w:rsidR="4816C31A" w:rsidP="4816C31A" w:rsidRDefault="4816C31A" w14:paraId="03B8917C" w14:textId="31FE9450">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Trend and latency analysis</w:t>
            </w:r>
          </w:p>
        </w:tc>
      </w:tr>
      <w:tr w:rsidR="4816C31A" w:rsidTr="4816C31A" w14:paraId="138FBD9F">
        <w:trPr>
          <w:trHeight w:val="300"/>
        </w:trPr>
        <w:tc>
          <w:tcPr>
            <w:tcW w:w="1702" w:type="dxa"/>
            <w:tcMar/>
          </w:tcPr>
          <w:p w:rsidR="4816C31A" w:rsidP="4816C31A" w:rsidRDefault="4816C31A" w14:paraId="37E5D427" w14:textId="70112C01">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Risk Score</w:t>
            </w:r>
          </w:p>
        </w:tc>
        <w:tc>
          <w:tcPr>
            <w:tcW w:w="4113" w:type="dxa"/>
            <w:tcMar/>
          </w:tcPr>
          <w:p w:rsidR="4816C31A" w:rsidP="4816C31A" w:rsidRDefault="4816C31A" w14:paraId="7D872040" w14:textId="0EDF731A">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Main predictor for ROC, PSI</w:t>
            </w:r>
          </w:p>
        </w:tc>
        <w:tc>
          <w:tcPr>
            <w:tcW w:w="3545" w:type="dxa"/>
            <w:tcMar/>
          </w:tcPr>
          <w:p w:rsidR="4816C31A" w:rsidP="4816C31A" w:rsidRDefault="4816C31A" w14:paraId="2B4F5FFB" w14:textId="4E55FE5F">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Probability of fraud assigned</w:t>
            </w:r>
          </w:p>
        </w:tc>
      </w:tr>
      <w:tr w:rsidR="4816C31A" w:rsidTr="4816C31A" w14:paraId="6C35DFEB">
        <w:trPr>
          <w:trHeight w:val="300"/>
        </w:trPr>
        <w:tc>
          <w:tcPr>
            <w:tcW w:w="1702" w:type="dxa"/>
            <w:tcMar/>
          </w:tcPr>
          <w:p w:rsidR="4816C31A" w:rsidP="4816C31A" w:rsidRDefault="4816C31A" w14:paraId="12703CD5" w14:textId="5DC61343">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Predicted Decision</w:t>
            </w:r>
          </w:p>
        </w:tc>
        <w:tc>
          <w:tcPr>
            <w:tcW w:w="4113" w:type="dxa"/>
            <w:tcMar/>
          </w:tcPr>
          <w:p w:rsidR="4816C31A" w:rsidP="4816C31A" w:rsidRDefault="4816C31A" w14:paraId="37063135" w14:textId="77EBD9D6">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Decision band for operational use</w:t>
            </w:r>
          </w:p>
        </w:tc>
        <w:tc>
          <w:tcPr>
            <w:tcW w:w="3545" w:type="dxa"/>
            <w:tcMar/>
          </w:tcPr>
          <w:p w:rsidR="4816C31A" w:rsidP="4816C31A" w:rsidRDefault="4816C31A" w14:paraId="41D1EE30" w14:textId="0611A2D0">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Flow into business acceptance/rejection workflows</w:t>
            </w:r>
          </w:p>
        </w:tc>
      </w:tr>
      <w:tr w:rsidR="4816C31A" w:rsidTr="4816C31A" w14:paraId="65D5EB35">
        <w:trPr>
          <w:trHeight w:val="300"/>
        </w:trPr>
        <w:tc>
          <w:tcPr>
            <w:tcW w:w="1702" w:type="dxa"/>
            <w:tcMar/>
          </w:tcPr>
          <w:p w:rsidR="4816C31A" w:rsidP="4816C31A" w:rsidRDefault="4816C31A" w14:paraId="7FF820A2" w14:textId="3058FAC8">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Actual Disposition</w:t>
            </w:r>
          </w:p>
        </w:tc>
        <w:tc>
          <w:tcPr>
            <w:tcW w:w="4113" w:type="dxa"/>
            <w:tcMar/>
          </w:tcPr>
          <w:p w:rsidR="4816C31A" w:rsidP="4816C31A" w:rsidRDefault="4816C31A" w14:paraId="1EBB79F1" w14:textId="3ABB7DB4">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Ground truth for confusion matrix</w:t>
            </w:r>
          </w:p>
        </w:tc>
        <w:tc>
          <w:tcPr>
            <w:tcW w:w="3545" w:type="dxa"/>
            <w:tcMar/>
          </w:tcPr>
          <w:p w:rsidR="4816C31A" w:rsidP="4816C31A" w:rsidRDefault="4816C31A" w14:paraId="7FD55C96" w14:textId="3B086106">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Performance evaluation</w:t>
            </w:r>
          </w:p>
        </w:tc>
      </w:tr>
      <w:tr w:rsidR="4816C31A" w:rsidTr="4816C31A" w14:paraId="0B828F05">
        <w:trPr>
          <w:trHeight w:val="300"/>
        </w:trPr>
        <w:tc>
          <w:tcPr>
            <w:tcW w:w="1702" w:type="dxa"/>
            <w:tcMar/>
          </w:tcPr>
          <w:p w:rsidR="4816C31A" w:rsidP="4816C31A" w:rsidRDefault="4816C31A" w14:paraId="6992D5D6" w14:textId="262F0123">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Reason Codes</w:t>
            </w:r>
          </w:p>
        </w:tc>
        <w:tc>
          <w:tcPr>
            <w:tcW w:w="4113" w:type="dxa"/>
            <w:tcMar/>
          </w:tcPr>
          <w:p w:rsidR="4816C31A" w:rsidP="4816C31A" w:rsidRDefault="4816C31A" w14:paraId="32E0FC08" w14:textId="60878625">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Explainability</w:t>
            </w:r>
          </w:p>
        </w:tc>
        <w:tc>
          <w:tcPr>
            <w:tcW w:w="3545" w:type="dxa"/>
            <w:tcMar/>
          </w:tcPr>
          <w:p w:rsidR="4816C31A" w:rsidP="4816C31A" w:rsidRDefault="4816C31A" w14:paraId="4D37FB01" w14:textId="18B7984E">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Monitor fraud typology shifts</w:t>
            </w:r>
          </w:p>
        </w:tc>
      </w:tr>
      <w:tr w:rsidR="4816C31A" w:rsidTr="4816C31A" w14:paraId="626F2D18">
        <w:trPr>
          <w:trHeight w:val="300"/>
        </w:trPr>
        <w:tc>
          <w:tcPr>
            <w:tcW w:w="1702" w:type="dxa"/>
            <w:tcMar/>
          </w:tcPr>
          <w:p w:rsidR="4816C31A" w:rsidP="4816C31A" w:rsidRDefault="4816C31A" w14:paraId="0C551D04" w14:textId="3517CD40">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Latency (Milliseconds)</w:t>
            </w:r>
          </w:p>
        </w:tc>
        <w:tc>
          <w:tcPr>
            <w:tcW w:w="4113" w:type="dxa"/>
            <w:tcMar/>
          </w:tcPr>
          <w:p w:rsidR="4816C31A" w:rsidP="4816C31A" w:rsidRDefault="4816C31A" w14:paraId="63AB63A5" w14:textId="2E91825C">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Real-time performance</w:t>
            </w:r>
          </w:p>
        </w:tc>
        <w:tc>
          <w:tcPr>
            <w:tcW w:w="3545" w:type="dxa"/>
            <w:tcMar/>
          </w:tcPr>
          <w:p w:rsidR="4816C31A" w:rsidP="4816C31A" w:rsidRDefault="4816C31A" w14:paraId="439DD03B" w14:textId="107F6419">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SLA and customer experience</w:t>
            </w:r>
          </w:p>
        </w:tc>
      </w:tr>
      <w:tr w:rsidR="4816C31A" w:rsidTr="4816C31A" w14:paraId="04072EDC">
        <w:trPr>
          <w:trHeight w:val="300"/>
        </w:trPr>
        <w:tc>
          <w:tcPr>
            <w:tcW w:w="1702" w:type="dxa"/>
            <w:tcMar/>
          </w:tcPr>
          <w:p w:rsidR="4816C31A" w:rsidP="4816C31A" w:rsidRDefault="4816C31A" w14:paraId="14BDB95F" w14:textId="2CC075A2">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Feedback Loop Status</w:t>
            </w:r>
          </w:p>
        </w:tc>
        <w:tc>
          <w:tcPr>
            <w:tcW w:w="4113" w:type="dxa"/>
            <w:tcMar/>
          </w:tcPr>
          <w:p w:rsidR="4816C31A" w:rsidP="4816C31A" w:rsidRDefault="4816C31A" w14:paraId="4FA1DAAA" w14:textId="28826BB1">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Track whether actual outcomes are reported back to Azure</w:t>
            </w:r>
          </w:p>
        </w:tc>
        <w:tc>
          <w:tcPr>
            <w:tcW w:w="3545" w:type="dxa"/>
            <w:tcMar/>
          </w:tcPr>
          <w:p w:rsidR="4816C31A" w:rsidP="4816C31A" w:rsidRDefault="4816C31A" w14:paraId="52E68F67" w14:textId="033F98DD">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Ensures adaptive learning remains effective</w:t>
            </w:r>
          </w:p>
        </w:tc>
      </w:tr>
    </w:tbl>
    <w:p w:rsidR="4816C31A" w:rsidP="4816C31A" w:rsidRDefault="4816C31A" w14:paraId="5FDF72C7" w14:textId="482C802A">
      <w:pPr>
        <w:shd w:val="clear" w:color="auto" w:fill="FFFFFF" w:themeFill="background1"/>
        <w:spacing w:before="0" w:beforeAutospacing="off" w:after="0" w:afterAutospacing="off"/>
        <w:jc w:val="center"/>
      </w:pPr>
    </w:p>
    <w:p w:rsidR="05B3AC8F" w:rsidP="4816C31A" w:rsidRDefault="05B3AC8F" w14:paraId="3CC96A84" w14:textId="606C519A">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5. Key Monitoring Metrics and Formulas</w:t>
      </w:r>
    </w:p>
    <w:p w:rsidR="05B3AC8F" w:rsidP="4816C31A" w:rsidRDefault="05B3AC8F" w14:paraId="36A0E2D5" w14:textId="1F96316D">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5.1 Confusion Matrix Metrics</w:t>
      </w:r>
    </w:p>
    <w:tbl>
      <w:tblPr>
        <w:tblStyle w:val="TableGrid"/>
        <w:tblW w:w="0" w:type="auto"/>
        <w:tblLayout w:type="fixed"/>
        <w:tblLook w:val="06A0" w:firstRow="1" w:lastRow="0" w:firstColumn="1" w:lastColumn="0" w:noHBand="1" w:noVBand="1"/>
      </w:tblPr>
      <w:tblGrid>
        <w:gridCol w:w="2894"/>
        <w:gridCol w:w="1754"/>
        <w:gridCol w:w="5457"/>
      </w:tblGrid>
      <w:tr w:rsidR="4816C31A" w:rsidTr="4816C31A" w14:paraId="524C8B77">
        <w:trPr>
          <w:trHeight w:val="300"/>
        </w:trPr>
        <w:tc>
          <w:tcPr>
            <w:tcW w:w="2894" w:type="dxa"/>
            <w:tcMar/>
          </w:tcPr>
          <w:p w:rsidR="4816C31A" w:rsidP="4816C31A" w:rsidRDefault="4816C31A" w14:paraId="3158D34B" w14:textId="7E062F72">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Metric</w:t>
            </w:r>
          </w:p>
        </w:tc>
        <w:tc>
          <w:tcPr>
            <w:tcW w:w="1754" w:type="dxa"/>
            <w:tcMar/>
          </w:tcPr>
          <w:p w:rsidR="4816C31A" w:rsidP="4816C31A" w:rsidRDefault="4816C31A" w14:paraId="54EFA860" w14:textId="4A2C097B">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Formula</w:t>
            </w:r>
          </w:p>
        </w:tc>
        <w:tc>
          <w:tcPr>
            <w:tcW w:w="5457" w:type="dxa"/>
            <w:tcMar/>
          </w:tcPr>
          <w:p w:rsidR="4816C31A" w:rsidP="4816C31A" w:rsidRDefault="4816C31A" w14:paraId="2110042B" w14:textId="619554BA">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Interpretation</w:t>
            </w:r>
          </w:p>
        </w:tc>
      </w:tr>
      <w:tr w:rsidR="4816C31A" w:rsidTr="4816C31A" w14:paraId="7987DF68">
        <w:trPr>
          <w:trHeight w:val="300"/>
        </w:trPr>
        <w:tc>
          <w:tcPr>
            <w:tcW w:w="2894" w:type="dxa"/>
            <w:tcMar/>
          </w:tcPr>
          <w:p w:rsidR="4816C31A" w:rsidP="4816C31A" w:rsidRDefault="4816C31A" w14:paraId="4B2BD4D1" w14:textId="24CE4F55">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Precision</w:t>
            </w:r>
          </w:p>
        </w:tc>
        <w:tc>
          <w:tcPr>
            <w:tcW w:w="1754" w:type="dxa"/>
            <w:tcMar/>
          </w:tcPr>
          <w:p w:rsidR="4816C31A" w:rsidP="4816C31A" w:rsidRDefault="4816C31A" w14:paraId="021EB175" w14:textId="1D324C24">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TP / (TP + FP)</w:t>
            </w:r>
          </w:p>
        </w:tc>
        <w:tc>
          <w:tcPr>
            <w:tcW w:w="5457" w:type="dxa"/>
            <w:tcMar/>
          </w:tcPr>
          <w:p w:rsidR="4816C31A" w:rsidP="4816C31A" w:rsidRDefault="4816C31A" w14:paraId="5B5188E1" w14:textId="4450BD0B">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Proportion of flagged frauds that are actually frauds</w:t>
            </w:r>
          </w:p>
        </w:tc>
      </w:tr>
      <w:tr w:rsidR="4816C31A" w:rsidTr="4816C31A" w14:paraId="072C865A">
        <w:trPr>
          <w:trHeight w:val="300"/>
        </w:trPr>
        <w:tc>
          <w:tcPr>
            <w:tcW w:w="2894" w:type="dxa"/>
            <w:tcMar/>
          </w:tcPr>
          <w:p w:rsidR="4816C31A" w:rsidP="4816C31A" w:rsidRDefault="4816C31A" w14:paraId="67B8EE9B" w14:textId="37CD87B4">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Recall (Capture Rate)</w:t>
            </w:r>
          </w:p>
        </w:tc>
        <w:tc>
          <w:tcPr>
            <w:tcW w:w="1754" w:type="dxa"/>
            <w:tcMar/>
          </w:tcPr>
          <w:p w:rsidR="4816C31A" w:rsidP="4816C31A" w:rsidRDefault="4816C31A" w14:paraId="19CC1AAC" w14:textId="4ACC40D8">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TP / (TP + FN)</w:t>
            </w:r>
          </w:p>
        </w:tc>
        <w:tc>
          <w:tcPr>
            <w:tcW w:w="5457" w:type="dxa"/>
            <w:tcMar/>
          </w:tcPr>
          <w:p w:rsidR="4816C31A" w:rsidP="4816C31A" w:rsidRDefault="4816C31A" w14:paraId="386AE2C7" w14:textId="31981097">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Proportion of frauds caught by the model</w:t>
            </w:r>
          </w:p>
        </w:tc>
      </w:tr>
      <w:tr w:rsidR="4816C31A" w:rsidTr="4816C31A" w14:paraId="1371CBDC">
        <w:trPr>
          <w:trHeight w:val="300"/>
        </w:trPr>
        <w:tc>
          <w:tcPr>
            <w:tcW w:w="2894" w:type="dxa"/>
            <w:tcMar/>
          </w:tcPr>
          <w:p w:rsidR="4816C31A" w:rsidP="4816C31A" w:rsidRDefault="4816C31A" w14:paraId="124CF9AA" w14:textId="0B68A189">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Accuracy</w:t>
            </w:r>
          </w:p>
        </w:tc>
        <w:tc>
          <w:tcPr>
            <w:tcW w:w="1754" w:type="dxa"/>
            <w:tcMar/>
          </w:tcPr>
          <w:p w:rsidR="4816C31A" w:rsidP="4816C31A" w:rsidRDefault="4816C31A" w14:paraId="5B36058B" w14:textId="498D7C47">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(TP + TN) / Total</w:t>
            </w:r>
          </w:p>
        </w:tc>
        <w:tc>
          <w:tcPr>
            <w:tcW w:w="5457" w:type="dxa"/>
            <w:tcMar/>
          </w:tcPr>
          <w:p w:rsidR="4816C31A" w:rsidP="4816C31A" w:rsidRDefault="4816C31A" w14:paraId="138E1B79" w14:textId="1CBE11C7">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Overall correctness</w:t>
            </w:r>
          </w:p>
        </w:tc>
      </w:tr>
      <w:tr w:rsidR="4816C31A" w:rsidTr="4816C31A" w14:paraId="7C327ED0">
        <w:trPr>
          <w:trHeight w:val="300"/>
        </w:trPr>
        <w:tc>
          <w:tcPr>
            <w:tcW w:w="2894" w:type="dxa"/>
            <w:tcMar/>
          </w:tcPr>
          <w:p w:rsidR="4816C31A" w:rsidP="4816C31A" w:rsidRDefault="4816C31A" w14:paraId="73E36D5B" w14:textId="1DC04C19">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False Positive Rate (FPR)</w:t>
            </w:r>
          </w:p>
        </w:tc>
        <w:tc>
          <w:tcPr>
            <w:tcW w:w="1754" w:type="dxa"/>
            <w:tcMar/>
          </w:tcPr>
          <w:p w:rsidR="4816C31A" w:rsidP="4816C31A" w:rsidRDefault="4816C31A" w14:paraId="4233CF95" w14:textId="71D13E2A">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FP / (FP + TN)</w:t>
            </w:r>
          </w:p>
        </w:tc>
        <w:tc>
          <w:tcPr>
            <w:tcW w:w="5457" w:type="dxa"/>
            <w:tcMar/>
          </w:tcPr>
          <w:p w:rsidR="4816C31A" w:rsidP="4816C31A" w:rsidRDefault="4816C31A" w14:paraId="3D6530A2" w14:textId="33DF58ED">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Customer impact metric</w:t>
            </w:r>
          </w:p>
        </w:tc>
      </w:tr>
    </w:tbl>
    <w:p w:rsidR="4816C31A" w:rsidP="4816C31A" w:rsidRDefault="4816C31A" w14:paraId="4A738ED7" w14:textId="69099921">
      <w:pPr>
        <w:shd w:val="clear" w:color="auto" w:fill="FFFFFF" w:themeFill="background1"/>
        <w:spacing w:before="0" w:beforeAutospacing="off" w:after="0" w:afterAutospacing="off"/>
        <w:jc w:val="center"/>
      </w:pPr>
    </w:p>
    <w:p w:rsidR="05B3AC8F" w:rsidP="4816C31A" w:rsidRDefault="05B3AC8F" w14:paraId="7BB239B4" w14:textId="63EC3E7E">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5.2 AUC-ROC Curve Monitoring</w:t>
      </w:r>
    </w:p>
    <w:p w:rsidR="05B3AC8F" w:rsidP="4816C31A" w:rsidRDefault="05B3AC8F" w14:paraId="010615E1" w14:textId="6021A06C">
      <w:pPr>
        <w:pStyle w:val="ListParagraph"/>
        <w:numPr>
          <w:ilvl w:val="0"/>
          <w:numId w:val="13"/>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Plot TPR vs FPR at various score thresholds</w:t>
      </w:r>
    </w:p>
    <w:p w:rsidR="05B3AC8F" w:rsidP="4816C31A" w:rsidRDefault="05B3AC8F" w14:paraId="152B8961" w14:textId="52D3FFAC">
      <w:pPr>
        <w:pStyle w:val="ListParagraph"/>
        <w:numPr>
          <w:ilvl w:val="0"/>
          <w:numId w:val="13"/>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Area under the ROC Curve (AUC)</w:t>
      </w:r>
      <w:r w:rsidRPr="4816C31A" w:rsidR="05B3AC8F">
        <w:rPr>
          <w:rFonts w:ascii="Aptos" w:hAnsi="Aptos" w:eastAsia="Aptos" w:cs="Aptos"/>
          <w:b w:val="0"/>
          <w:bCs w:val="0"/>
          <w:i w:val="0"/>
          <w:iCs w:val="0"/>
          <w:caps w:val="0"/>
          <w:smallCaps w:val="0"/>
          <w:noProof w:val="0"/>
          <w:color w:val="242424"/>
          <w:sz w:val="24"/>
          <w:szCs w:val="24"/>
          <w:lang w:val="en-US"/>
        </w:rPr>
        <w:t xml:space="preserve"> &gt; </w:t>
      </w:r>
      <w:r w:rsidRPr="4816C31A" w:rsidR="05B3AC8F">
        <w:rPr>
          <w:rFonts w:ascii="Aptos" w:hAnsi="Aptos" w:eastAsia="Aptos" w:cs="Aptos"/>
          <w:b w:val="1"/>
          <w:bCs w:val="1"/>
          <w:i w:val="0"/>
          <w:iCs w:val="0"/>
          <w:caps w:val="0"/>
          <w:smallCaps w:val="0"/>
          <w:noProof w:val="0"/>
          <w:color w:val="242424"/>
          <w:sz w:val="24"/>
          <w:szCs w:val="24"/>
          <w:lang w:val="en-US"/>
        </w:rPr>
        <w:t>0.80</w:t>
      </w:r>
      <w:r w:rsidRPr="4816C31A" w:rsidR="05B3AC8F">
        <w:rPr>
          <w:rFonts w:ascii="Aptos" w:hAnsi="Aptos" w:eastAsia="Aptos" w:cs="Aptos"/>
          <w:b w:val="0"/>
          <w:bCs w:val="0"/>
          <w:i w:val="0"/>
          <w:iCs w:val="0"/>
          <w:caps w:val="0"/>
          <w:smallCaps w:val="0"/>
          <w:noProof w:val="0"/>
          <w:color w:val="242424"/>
          <w:sz w:val="24"/>
          <w:szCs w:val="24"/>
          <w:lang w:val="en-US"/>
        </w:rPr>
        <w:t xml:space="preserve"> considered acceptable.</w:t>
      </w:r>
    </w:p>
    <w:p w:rsidR="05B3AC8F" w:rsidP="4816C31A" w:rsidRDefault="05B3AC8F" w14:paraId="2A4928BB" w14:textId="418F05D4">
      <w:pPr>
        <w:pStyle w:val="ListParagraph"/>
        <w:numPr>
          <w:ilvl w:val="0"/>
          <w:numId w:val="13"/>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Measures the model’s ability to distinguish fraud from legitimate transactions.</w:t>
      </w:r>
    </w:p>
    <w:p w:rsidR="4816C31A" w:rsidP="4816C31A" w:rsidRDefault="4816C31A" w14:paraId="44735A9F" w14:textId="30EA386A">
      <w:pPr>
        <w:shd w:val="clear" w:color="auto" w:fill="FFFFFF" w:themeFill="background1"/>
        <w:spacing w:before="0" w:beforeAutospacing="off" w:after="0" w:afterAutospacing="off"/>
        <w:jc w:val="center"/>
      </w:pPr>
    </w:p>
    <w:p w:rsidR="05B3AC8F" w:rsidP="4816C31A" w:rsidRDefault="05B3AC8F" w14:paraId="21E30B76" w14:textId="50EF933A">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5.3 Population Stability Index (PSI) for Score Stability</w:t>
      </w:r>
    </w:p>
    <w:p w:rsidR="05B3AC8F" w:rsidP="4816C31A" w:rsidRDefault="05B3AC8F" w14:paraId="52AB45C1" w14:textId="04270467">
      <w:pPr>
        <w:pStyle w:val="ListParagraph"/>
        <w:numPr>
          <w:ilvl w:val="0"/>
          <w:numId w:val="14"/>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Formula:</w:t>
      </w:r>
    </w:p>
    <w:p w:rsidR="05B3AC8F" w:rsidP="4816C31A" w:rsidRDefault="05B3AC8F" w14:paraId="699A91F8" w14:textId="1D1E7B12">
      <w:pPr>
        <w:shd w:val="clear" w:color="auto" w:fill="FFFFFF" w:themeFill="background1"/>
        <w:spacing w:before="0" w:beforeAutospacing="off" w:after="0" w:afterAutospacing="off"/>
      </w:pPr>
      <w:r w:rsidRPr="4816C31A" w:rsidR="05B3AC8F">
        <w:rPr>
          <w:rFonts w:ascii="Aptos" w:hAnsi="Aptos" w:eastAsia="Aptos" w:cs="Aptos"/>
          <w:b w:val="0"/>
          <w:bCs w:val="0"/>
          <w:i w:val="0"/>
          <w:iCs w:val="0"/>
          <w:caps w:val="0"/>
          <w:smallCaps w:val="0"/>
          <w:noProof w:val="0"/>
          <w:color w:val="242424"/>
          <w:sz w:val="24"/>
          <w:szCs w:val="24"/>
          <w:lang w:val="en-US"/>
        </w:rPr>
        <w:t>PSI=∑(Actual%−Expected%)×ln</w:t>
      </w:r>
      <w:r w:rsidRPr="4816C31A" w:rsidR="05B3AC8F">
        <w:rPr>
          <w:rFonts w:ascii="Cambria Math" w:hAnsi="Cambria Math" w:eastAsia="Cambria Math" w:cs="Cambria Math"/>
          <w:b w:val="0"/>
          <w:bCs w:val="0"/>
          <w:i w:val="0"/>
          <w:iCs w:val="0"/>
          <w:caps w:val="0"/>
          <w:smallCaps w:val="0"/>
          <w:noProof w:val="0"/>
          <w:color w:val="242424"/>
          <w:sz w:val="24"/>
          <w:szCs w:val="24"/>
          <w:lang w:val="en-US"/>
        </w:rPr>
        <w:t>⁡</w:t>
      </w:r>
      <w:r w:rsidRPr="4816C31A" w:rsidR="05B3AC8F">
        <w:rPr>
          <w:rFonts w:ascii="Aptos" w:hAnsi="Aptos" w:eastAsia="Aptos" w:cs="Aptos"/>
          <w:b w:val="0"/>
          <w:bCs w:val="0"/>
          <w:i w:val="0"/>
          <w:iCs w:val="0"/>
          <w:caps w:val="0"/>
          <w:smallCaps w:val="0"/>
          <w:noProof w:val="0"/>
          <w:color w:val="242424"/>
          <w:sz w:val="24"/>
          <w:szCs w:val="24"/>
          <w:lang w:val="en-US"/>
        </w:rPr>
        <w:t>(Actual%Expected%)PSI = \sum (Actual\% - Expected\%) \times \ln\left(\frac{Actual\%}{Expected\%}\right)</w:t>
      </w:r>
    </w:p>
    <w:p w:rsidR="05B3AC8F" w:rsidP="4816C31A" w:rsidRDefault="05B3AC8F" w14:paraId="538EAEBD" w14:textId="6B87C379">
      <w:pPr>
        <w:pStyle w:val="ListParagraph"/>
        <w:numPr>
          <w:ilvl w:val="0"/>
          <w:numId w:val="15"/>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Interpretation:</w:t>
      </w:r>
    </w:p>
    <w:p w:rsidR="05B3AC8F" w:rsidP="4816C31A" w:rsidRDefault="05B3AC8F" w14:paraId="32EC69DA" w14:textId="71B17B7A">
      <w:pPr>
        <w:pStyle w:val="ListParagraph"/>
        <w:numPr>
          <w:ilvl w:val="1"/>
          <w:numId w:val="15"/>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PSI &lt; 0.10: Stable</w:t>
      </w:r>
    </w:p>
    <w:p w:rsidR="05B3AC8F" w:rsidP="4816C31A" w:rsidRDefault="05B3AC8F" w14:paraId="709E175D" w14:textId="77E37E95">
      <w:pPr>
        <w:pStyle w:val="ListParagraph"/>
        <w:numPr>
          <w:ilvl w:val="1"/>
          <w:numId w:val="15"/>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0.10–0.25: Monitor</w:t>
      </w:r>
    </w:p>
    <w:p w:rsidR="05B3AC8F" w:rsidP="4816C31A" w:rsidRDefault="05B3AC8F" w14:paraId="13575D45" w14:textId="7775DEF4">
      <w:pPr>
        <w:pStyle w:val="ListParagraph"/>
        <w:numPr>
          <w:ilvl w:val="1"/>
          <w:numId w:val="15"/>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PSI &gt; 0.25: Investigate drift</w:t>
      </w:r>
    </w:p>
    <w:p w:rsidR="4816C31A" w:rsidP="4816C31A" w:rsidRDefault="4816C31A" w14:paraId="4CD95234" w14:textId="063AC97C">
      <w:pPr>
        <w:shd w:val="clear" w:color="auto" w:fill="FFFFFF" w:themeFill="background1"/>
        <w:spacing w:before="0" w:beforeAutospacing="off" w:after="0" w:afterAutospacing="off"/>
        <w:jc w:val="center"/>
      </w:pPr>
    </w:p>
    <w:p w:rsidR="05B3AC8F" w:rsidP="4816C31A" w:rsidRDefault="05B3AC8F" w14:paraId="71603047" w14:textId="6A239740">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5.4 Threshold Effectiveness</w:t>
      </w:r>
    </w:p>
    <w:p w:rsidR="05B3AC8F" w:rsidP="4816C31A" w:rsidRDefault="05B3AC8F" w14:paraId="4DBA6D31" w14:textId="39D475FF">
      <w:pPr>
        <w:pStyle w:val="ListParagraph"/>
        <w:numPr>
          <w:ilvl w:val="0"/>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Track the monthly percentage of transactions in Approve, Review, Reject bands.</w:t>
      </w:r>
    </w:p>
    <w:p w:rsidR="05B3AC8F" w:rsidP="4816C31A" w:rsidRDefault="05B3AC8F" w14:paraId="4FA2E0D1" w14:textId="785C96B9">
      <w:pPr>
        <w:pStyle w:val="ListParagraph"/>
        <w:numPr>
          <w:ilvl w:val="0"/>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Detect shifts in transaction distribution across thresholds.</w:t>
      </w:r>
    </w:p>
    <w:p w:rsidR="05B3AC8F" w:rsidP="4816C31A" w:rsidRDefault="05B3AC8F" w14:paraId="2A492A14" w14:textId="02EEED3F">
      <w:pPr>
        <w:pStyle w:val="ListParagraph"/>
        <w:numPr>
          <w:ilvl w:val="0"/>
          <w:numId w:val="16"/>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0"/>
          <w:bCs w:val="0"/>
          <w:i w:val="0"/>
          <w:iCs w:val="0"/>
          <w:caps w:val="0"/>
          <w:smallCaps w:val="0"/>
          <w:noProof w:val="0"/>
          <w:color w:val="242424"/>
          <w:sz w:val="24"/>
          <w:szCs w:val="24"/>
          <w:lang w:val="en-US"/>
        </w:rPr>
        <w:t>Helps assess whether decision thresholds remain effective or need recalibration.</w:t>
      </w:r>
    </w:p>
    <w:p w:rsidR="4816C31A" w:rsidP="4816C31A" w:rsidRDefault="4816C31A" w14:paraId="02BD9162" w14:textId="53D1B7A7">
      <w:pPr>
        <w:shd w:val="clear" w:color="auto" w:fill="FFFFFF" w:themeFill="background1"/>
        <w:spacing w:before="0" w:beforeAutospacing="off" w:after="0" w:afterAutospacing="off"/>
        <w:jc w:val="center"/>
      </w:pPr>
    </w:p>
    <w:p w:rsidR="05B3AC8F" w:rsidP="4816C31A" w:rsidRDefault="05B3AC8F" w14:paraId="280FCC05" w14:textId="4CEDB9EF">
      <w:pPr>
        <w:shd w:val="clear" w:color="auto" w:fill="FFFFFF" w:themeFill="background1"/>
        <w:spacing w:before="0" w:beforeAutospacing="off" w:after="0" w:afterAutospacing="off"/>
      </w:pPr>
      <w:r w:rsidRPr="4816C31A" w:rsidR="05B3AC8F">
        <w:rPr>
          <w:rFonts w:ascii="Aptos" w:hAnsi="Aptos" w:eastAsia="Aptos" w:cs="Aptos"/>
          <w:b w:val="0"/>
          <w:bCs w:val="0"/>
          <w:i w:val="0"/>
          <w:iCs w:val="0"/>
          <w:caps w:val="0"/>
          <w:smallCaps w:val="0"/>
          <w:noProof w:val="0"/>
          <w:color w:val="242424"/>
          <w:sz w:val="24"/>
          <w:szCs w:val="24"/>
          <w:lang w:val="en-US"/>
        </w:rPr>
        <w:t xml:space="preserve"> </w:t>
      </w:r>
    </w:p>
    <w:p w:rsidR="05B3AC8F" w:rsidP="4816C31A" w:rsidRDefault="05B3AC8F" w14:paraId="30C31916" w14:textId="0B4C1D2D">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6. Monitoring Frequency</w:t>
      </w:r>
    </w:p>
    <w:tbl>
      <w:tblPr>
        <w:tblStyle w:val="TableGrid"/>
        <w:tblW w:w="0" w:type="auto"/>
        <w:tblLayout w:type="fixed"/>
        <w:tblLook w:val="06A0" w:firstRow="1" w:lastRow="0" w:firstColumn="1" w:lastColumn="0" w:noHBand="1" w:noVBand="1"/>
      </w:tblPr>
      <w:tblGrid>
        <w:gridCol w:w="6675"/>
        <w:gridCol w:w="1514"/>
      </w:tblGrid>
      <w:tr w:rsidR="4816C31A" w:rsidTr="4816C31A" w14:paraId="1BFB15CC">
        <w:trPr>
          <w:trHeight w:val="300"/>
        </w:trPr>
        <w:tc>
          <w:tcPr>
            <w:tcW w:w="6675" w:type="dxa"/>
            <w:tcMar/>
          </w:tcPr>
          <w:p w:rsidR="4816C31A" w:rsidP="4816C31A" w:rsidRDefault="4816C31A" w14:paraId="27431367" w14:textId="6769E730">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Metric Type</w:t>
            </w:r>
          </w:p>
        </w:tc>
        <w:tc>
          <w:tcPr>
            <w:tcW w:w="1514" w:type="dxa"/>
            <w:tcMar/>
          </w:tcPr>
          <w:p w:rsidR="4816C31A" w:rsidP="4816C31A" w:rsidRDefault="4816C31A" w14:paraId="3FBCB558" w14:textId="26D438DD">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Frequency</w:t>
            </w:r>
          </w:p>
        </w:tc>
      </w:tr>
      <w:tr w:rsidR="4816C31A" w:rsidTr="4816C31A" w14:paraId="6D543DFB">
        <w:trPr>
          <w:trHeight w:val="300"/>
        </w:trPr>
        <w:tc>
          <w:tcPr>
            <w:tcW w:w="6675" w:type="dxa"/>
            <w:tcMar/>
          </w:tcPr>
          <w:p w:rsidR="4816C31A" w:rsidP="4816C31A" w:rsidRDefault="4816C31A" w14:paraId="43ACA6B6" w14:textId="694691AA">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Confusion Matrix Metrics (Precision, Recall, FPR, Accuracy)</w:t>
            </w:r>
          </w:p>
        </w:tc>
        <w:tc>
          <w:tcPr>
            <w:tcW w:w="1514" w:type="dxa"/>
            <w:tcMar/>
          </w:tcPr>
          <w:p w:rsidR="4816C31A" w:rsidP="4816C31A" w:rsidRDefault="4816C31A" w14:paraId="161C7F21" w14:textId="2A6F5081">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Monthly</w:t>
            </w:r>
          </w:p>
        </w:tc>
      </w:tr>
      <w:tr w:rsidR="4816C31A" w:rsidTr="4816C31A" w14:paraId="750AAD07">
        <w:trPr>
          <w:trHeight w:val="300"/>
        </w:trPr>
        <w:tc>
          <w:tcPr>
            <w:tcW w:w="6675" w:type="dxa"/>
            <w:tcMar/>
          </w:tcPr>
          <w:p w:rsidR="4816C31A" w:rsidP="4816C31A" w:rsidRDefault="4816C31A" w14:paraId="35E77208" w14:textId="554602D7">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AUC-ROC Curve</w:t>
            </w:r>
          </w:p>
        </w:tc>
        <w:tc>
          <w:tcPr>
            <w:tcW w:w="1514" w:type="dxa"/>
            <w:tcMar/>
          </w:tcPr>
          <w:p w:rsidR="4816C31A" w:rsidP="4816C31A" w:rsidRDefault="4816C31A" w14:paraId="496B9EFD" w14:textId="63CA2631">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Monthly</w:t>
            </w:r>
          </w:p>
        </w:tc>
      </w:tr>
      <w:tr w:rsidR="4816C31A" w:rsidTr="4816C31A" w14:paraId="6272D9F4">
        <w:trPr>
          <w:trHeight w:val="300"/>
        </w:trPr>
        <w:tc>
          <w:tcPr>
            <w:tcW w:w="6675" w:type="dxa"/>
            <w:tcMar/>
          </w:tcPr>
          <w:p w:rsidR="4816C31A" w:rsidP="4816C31A" w:rsidRDefault="4816C31A" w14:paraId="2589BFF7" w14:textId="6B289121">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PSI (Risk Score Stability)</w:t>
            </w:r>
          </w:p>
        </w:tc>
        <w:tc>
          <w:tcPr>
            <w:tcW w:w="1514" w:type="dxa"/>
            <w:tcMar/>
          </w:tcPr>
          <w:p w:rsidR="4816C31A" w:rsidP="4816C31A" w:rsidRDefault="4816C31A" w14:paraId="282228B7" w14:textId="24D06010">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Quarterly</w:t>
            </w:r>
          </w:p>
        </w:tc>
      </w:tr>
      <w:tr w:rsidR="4816C31A" w:rsidTr="4816C31A" w14:paraId="755B0AC4">
        <w:trPr>
          <w:trHeight w:val="300"/>
        </w:trPr>
        <w:tc>
          <w:tcPr>
            <w:tcW w:w="6675" w:type="dxa"/>
            <w:tcMar/>
          </w:tcPr>
          <w:p w:rsidR="4816C31A" w:rsidP="4816C31A" w:rsidRDefault="4816C31A" w14:paraId="77DD18DC" w14:textId="12E4DDCC">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Threshold Monitoring</w:t>
            </w:r>
          </w:p>
        </w:tc>
        <w:tc>
          <w:tcPr>
            <w:tcW w:w="1514" w:type="dxa"/>
            <w:tcMar/>
          </w:tcPr>
          <w:p w:rsidR="4816C31A" w:rsidP="4816C31A" w:rsidRDefault="4816C31A" w14:paraId="1D505436" w14:textId="73922047">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Monthly</w:t>
            </w:r>
          </w:p>
        </w:tc>
      </w:tr>
      <w:tr w:rsidR="4816C31A" w:rsidTr="4816C31A" w14:paraId="07B78722">
        <w:trPr>
          <w:trHeight w:val="300"/>
        </w:trPr>
        <w:tc>
          <w:tcPr>
            <w:tcW w:w="6675" w:type="dxa"/>
            <w:tcMar/>
          </w:tcPr>
          <w:p w:rsidR="4816C31A" w:rsidP="4816C31A" w:rsidRDefault="4816C31A" w14:paraId="2556587E" w14:textId="0A2F4E8A">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Latency Monitoring</w:t>
            </w:r>
          </w:p>
        </w:tc>
        <w:tc>
          <w:tcPr>
            <w:tcW w:w="1514" w:type="dxa"/>
            <w:tcMar/>
          </w:tcPr>
          <w:p w:rsidR="4816C31A" w:rsidP="4816C31A" w:rsidRDefault="4816C31A" w14:paraId="6F326B0F" w14:textId="45ED9364">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Monthly</w:t>
            </w:r>
          </w:p>
        </w:tc>
      </w:tr>
    </w:tbl>
    <w:p w:rsidR="4816C31A" w:rsidP="4816C31A" w:rsidRDefault="4816C31A" w14:paraId="278B559F" w14:textId="23275A15">
      <w:pPr>
        <w:shd w:val="clear" w:color="auto" w:fill="FFFFFF" w:themeFill="background1"/>
        <w:spacing w:before="0" w:beforeAutospacing="off" w:after="0" w:afterAutospacing="off"/>
        <w:jc w:val="center"/>
      </w:pPr>
    </w:p>
    <w:p w:rsidR="05B3AC8F" w:rsidP="4816C31A" w:rsidRDefault="05B3AC8F" w14:paraId="33BF3CF2" w14:textId="60C8EE77">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7. Governance and Escalation</w:t>
      </w:r>
    </w:p>
    <w:tbl>
      <w:tblPr>
        <w:tblStyle w:val="TableGrid"/>
        <w:tblW w:w="0" w:type="auto"/>
        <w:tblLayout w:type="fixed"/>
        <w:tblLook w:val="06A0" w:firstRow="1" w:lastRow="0" w:firstColumn="1" w:lastColumn="0" w:noHBand="1" w:noVBand="1"/>
      </w:tblPr>
      <w:tblGrid>
        <w:gridCol w:w="4289"/>
        <w:gridCol w:w="6217"/>
      </w:tblGrid>
      <w:tr w:rsidR="4816C31A" w:rsidTr="4816C31A" w14:paraId="7C62EA15">
        <w:trPr>
          <w:trHeight w:val="300"/>
        </w:trPr>
        <w:tc>
          <w:tcPr>
            <w:tcW w:w="4289" w:type="dxa"/>
            <w:tcMar/>
          </w:tcPr>
          <w:p w:rsidR="4816C31A" w:rsidP="4816C31A" w:rsidRDefault="4816C31A" w14:paraId="4C3B295C" w14:textId="4F961282">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Condition</w:t>
            </w:r>
          </w:p>
        </w:tc>
        <w:tc>
          <w:tcPr>
            <w:tcW w:w="6217" w:type="dxa"/>
            <w:tcMar/>
          </w:tcPr>
          <w:p w:rsidR="4816C31A" w:rsidP="4816C31A" w:rsidRDefault="4816C31A" w14:paraId="12A16B48" w14:textId="60E98A22">
            <w:pPr>
              <w:spacing w:before="0" w:beforeAutospacing="off" w:after="0" w:afterAutospacing="off"/>
            </w:pPr>
            <w:r w:rsidRPr="4816C31A" w:rsidR="4816C31A">
              <w:rPr>
                <w:rFonts w:ascii="Aptos" w:hAnsi="Aptos" w:eastAsia="Aptos" w:cs="Aptos"/>
                <w:b w:val="1"/>
                <w:bCs w:val="1"/>
                <w:i w:val="0"/>
                <w:iCs w:val="0"/>
                <w:caps w:val="0"/>
                <w:smallCaps w:val="0"/>
                <w:color w:val="242424"/>
                <w:sz w:val="24"/>
                <w:szCs w:val="24"/>
              </w:rPr>
              <w:t>Action</w:t>
            </w:r>
          </w:p>
        </w:tc>
      </w:tr>
      <w:tr w:rsidR="4816C31A" w:rsidTr="4816C31A" w14:paraId="525D129E">
        <w:trPr>
          <w:trHeight w:val="300"/>
        </w:trPr>
        <w:tc>
          <w:tcPr>
            <w:tcW w:w="4289" w:type="dxa"/>
            <w:tcMar/>
          </w:tcPr>
          <w:p w:rsidR="4816C31A" w:rsidP="4816C31A" w:rsidRDefault="4816C31A" w14:paraId="69F59CE8" w14:textId="1DD4248B">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AUC &lt; 0.75</w:t>
            </w:r>
          </w:p>
        </w:tc>
        <w:tc>
          <w:tcPr>
            <w:tcW w:w="6217" w:type="dxa"/>
            <w:tcMar/>
          </w:tcPr>
          <w:p w:rsidR="4816C31A" w:rsidP="4816C31A" w:rsidRDefault="4816C31A" w14:paraId="6F099754" w14:textId="4D97E36E">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Immediate escalation to MRM and Model Owner</w:t>
            </w:r>
          </w:p>
        </w:tc>
      </w:tr>
      <w:tr w:rsidR="4816C31A" w:rsidTr="4816C31A" w14:paraId="005CB15D">
        <w:trPr>
          <w:trHeight w:val="300"/>
        </w:trPr>
        <w:tc>
          <w:tcPr>
            <w:tcW w:w="4289" w:type="dxa"/>
            <w:tcMar/>
          </w:tcPr>
          <w:p w:rsidR="4816C31A" w:rsidP="4816C31A" w:rsidRDefault="4816C31A" w14:paraId="3E965722" w14:textId="7BBC295C">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PSI &gt; 0.25</w:t>
            </w:r>
          </w:p>
        </w:tc>
        <w:tc>
          <w:tcPr>
            <w:tcW w:w="6217" w:type="dxa"/>
            <w:tcMar/>
          </w:tcPr>
          <w:p w:rsidR="4816C31A" w:rsidP="4816C31A" w:rsidRDefault="4816C31A" w14:paraId="1A78AA4C" w14:textId="5398D63F">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Drift analysis and threshold review</w:t>
            </w:r>
          </w:p>
        </w:tc>
      </w:tr>
      <w:tr w:rsidR="4816C31A" w:rsidTr="4816C31A" w14:paraId="2D618AFF">
        <w:trPr>
          <w:trHeight w:val="300"/>
        </w:trPr>
        <w:tc>
          <w:tcPr>
            <w:tcW w:w="4289" w:type="dxa"/>
            <w:tcMar/>
          </w:tcPr>
          <w:p w:rsidR="4816C31A" w:rsidP="4816C31A" w:rsidRDefault="4816C31A" w14:paraId="0DFA5709" w14:textId="0C061F29">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False Positive Rate &gt;5% increase</w:t>
            </w:r>
          </w:p>
        </w:tc>
        <w:tc>
          <w:tcPr>
            <w:tcW w:w="6217" w:type="dxa"/>
            <w:tcMar/>
          </w:tcPr>
          <w:p w:rsidR="4816C31A" w:rsidP="4816C31A" w:rsidRDefault="4816C31A" w14:paraId="1371D609" w14:textId="2CCEE20A">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Root cause analysis</w:t>
            </w:r>
          </w:p>
        </w:tc>
      </w:tr>
      <w:tr w:rsidR="4816C31A" w:rsidTr="4816C31A" w14:paraId="1051CF7B">
        <w:trPr>
          <w:trHeight w:val="300"/>
        </w:trPr>
        <w:tc>
          <w:tcPr>
            <w:tcW w:w="4289" w:type="dxa"/>
            <w:tcMar/>
          </w:tcPr>
          <w:p w:rsidR="4816C31A" w:rsidP="4816C31A" w:rsidRDefault="4816C31A" w14:paraId="4BCF723D" w14:textId="7EB755BD">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Feedback Loop Completion &lt;95%</w:t>
            </w:r>
          </w:p>
        </w:tc>
        <w:tc>
          <w:tcPr>
            <w:tcW w:w="6217" w:type="dxa"/>
            <w:tcMar/>
          </w:tcPr>
          <w:p w:rsidR="4816C31A" w:rsidP="4816C31A" w:rsidRDefault="4816C31A" w14:paraId="3DBEBF54" w14:textId="7DCA1D37">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Risk to model adaptiveness — notify Business and Vendor</w:t>
            </w:r>
          </w:p>
        </w:tc>
      </w:tr>
      <w:tr w:rsidR="4816C31A" w:rsidTr="4816C31A" w14:paraId="7B9F068D">
        <w:trPr>
          <w:trHeight w:val="300"/>
        </w:trPr>
        <w:tc>
          <w:tcPr>
            <w:tcW w:w="4289" w:type="dxa"/>
            <w:tcMar/>
          </w:tcPr>
          <w:p w:rsidR="4816C31A" w:rsidP="4816C31A" w:rsidRDefault="4816C31A" w14:paraId="60BCB193" w14:textId="40305871">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Latency &gt; SLA for 2 consecutive months</w:t>
            </w:r>
          </w:p>
        </w:tc>
        <w:tc>
          <w:tcPr>
            <w:tcW w:w="6217" w:type="dxa"/>
            <w:tcMar/>
          </w:tcPr>
          <w:p w:rsidR="4816C31A" w:rsidP="4816C31A" w:rsidRDefault="4816C31A" w14:paraId="317FD403" w14:textId="3C5EE014">
            <w:pPr>
              <w:spacing w:before="0" w:beforeAutospacing="off" w:after="0" w:afterAutospacing="off"/>
            </w:pPr>
            <w:r w:rsidRPr="4816C31A" w:rsidR="4816C31A">
              <w:rPr>
                <w:rFonts w:ascii="Aptos" w:hAnsi="Aptos" w:eastAsia="Aptos" w:cs="Aptos"/>
                <w:b w:val="0"/>
                <w:bCs w:val="0"/>
                <w:i w:val="0"/>
                <w:iCs w:val="0"/>
                <w:caps w:val="0"/>
                <w:smallCaps w:val="0"/>
                <w:color w:val="242424"/>
                <w:sz w:val="24"/>
                <w:szCs w:val="24"/>
              </w:rPr>
              <w:t>Engage Technology Risk Team</w:t>
            </w:r>
          </w:p>
        </w:tc>
      </w:tr>
    </w:tbl>
    <w:p w:rsidR="4816C31A" w:rsidP="4816C31A" w:rsidRDefault="4816C31A" w14:paraId="2332C38B" w14:textId="63265EF8">
      <w:pPr>
        <w:shd w:val="clear" w:color="auto" w:fill="FFFFFF" w:themeFill="background1"/>
        <w:spacing w:before="0" w:beforeAutospacing="off" w:after="0" w:afterAutospacing="off"/>
        <w:jc w:val="center"/>
      </w:pPr>
    </w:p>
    <w:p w:rsidR="05B3AC8F" w:rsidP="4816C31A" w:rsidRDefault="05B3AC8F" w14:paraId="0E57F8BC" w14:textId="45FDA0CD">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8. Special Monitoring Considerations for Azure Models</w:t>
      </w:r>
    </w:p>
    <w:p w:rsidR="05B3AC8F" w:rsidP="4816C31A" w:rsidRDefault="05B3AC8F" w14:paraId="0757599D" w14:textId="76109D9D">
      <w:pPr>
        <w:pStyle w:val="ListParagraph"/>
        <w:numPr>
          <w:ilvl w:val="0"/>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Auto-Updates:</w:t>
      </w:r>
      <w:r w:rsidRPr="4816C31A" w:rsidR="05B3AC8F">
        <w:rPr>
          <w:rFonts w:ascii="Aptos" w:hAnsi="Aptos" w:eastAsia="Aptos" w:cs="Aptos"/>
          <w:b w:val="0"/>
          <w:bCs w:val="0"/>
          <w:i w:val="0"/>
          <w:iCs w:val="0"/>
          <w:caps w:val="0"/>
          <w:smallCaps w:val="0"/>
          <w:noProof w:val="0"/>
          <w:color w:val="242424"/>
          <w:sz w:val="24"/>
          <w:szCs w:val="24"/>
          <w:lang w:val="en-US"/>
        </w:rPr>
        <w:t xml:space="preserve"> Monitor model performance after Azure backend updates even if update is silent.</w:t>
      </w:r>
    </w:p>
    <w:p w:rsidR="05B3AC8F" w:rsidP="4816C31A" w:rsidRDefault="05B3AC8F" w14:paraId="0512DBF6" w14:textId="638C126C">
      <w:pPr>
        <w:pStyle w:val="ListParagraph"/>
        <w:numPr>
          <w:ilvl w:val="0"/>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Reason Code Trend Analysis:</w:t>
      </w:r>
      <w:r w:rsidRPr="4816C31A" w:rsidR="05B3AC8F">
        <w:rPr>
          <w:rFonts w:ascii="Aptos" w:hAnsi="Aptos" w:eastAsia="Aptos" w:cs="Aptos"/>
          <w:b w:val="0"/>
          <w:bCs w:val="0"/>
          <w:i w:val="0"/>
          <w:iCs w:val="0"/>
          <w:caps w:val="0"/>
          <w:smallCaps w:val="0"/>
          <w:noProof w:val="0"/>
          <w:color w:val="242424"/>
          <w:sz w:val="24"/>
          <w:szCs w:val="24"/>
          <w:lang w:val="en-US"/>
        </w:rPr>
        <w:t xml:space="preserve"> Monthly tracking of top drivers of fraud prediction to detect typology shifts.</w:t>
      </w:r>
    </w:p>
    <w:p w:rsidR="05B3AC8F" w:rsidP="4816C31A" w:rsidRDefault="05B3AC8F" w14:paraId="3758A0DF" w14:textId="43F98ABB">
      <w:pPr>
        <w:pStyle w:val="ListParagraph"/>
        <w:numPr>
          <w:ilvl w:val="0"/>
          <w:numId w:val="17"/>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42424"/>
          <w:sz w:val="24"/>
          <w:szCs w:val="24"/>
          <w:lang w:val="en-US"/>
        </w:rPr>
      </w:pPr>
      <w:r w:rsidRPr="4816C31A" w:rsidR="05B3AC8F">
        <w:rPr>
          <w:rFonts w:ascii="Aptos" w:hAnsi="Aptos" w:eastAsia="Aptos" w:cs="Aptos"/>
          <w:b w:val="1"/>
          <w:bCs w:val="1"/>
          <w:i w:val="0"/>
          <w:iCs w:val="0"/>
          <w:caps w:val="0"/>
          <w:smallCaps w:val="0"/>
          <w:noProof w:val="0"/>
          <w:color w:val="242424"/>
          <w:sz w:val="24"/>
          <w:szCs w:val="24"/>
          <w:lang w:val="en-US"/>
        </w:rPr>
        <w:t>Feedback Loop:</w:t>
      </w:r>
      <w:r w:rsidRPr="4816C31A" w:rsidR="05B3AC8F">
        <w:rPr>
          <w:rFonts w:ascii="Aptos" w:hAnsi="Aptos" w:eastAsia="Aptos" w:cs="Aptos"/>
          <w:b w:val="0"/>
          <w:bCs w:val="0"/>
          <w:i w:val="0"/>
          <w:iCs w:val="0"/>
          <w:caps w:val="0"/>
          <w:smallCaps w:val="0"/>
          <w:noProof w:val="0"/>
          <w:color w:val="242424"/>
          <w:sz w:val="24"/>
          <w:szCs w:val="24"/>
          <w:lang w:val="en-US"/>
        </w:rPr>
        <w:t xml:space="preserve"> Ensure timely fraud outcome feedback is maintained, as it directly impacts model retraining quality.</w:t>
      </w:r>
    </w:p>
    <w:p w:rsidR="4816C31A" w:rsidP="4816C31A" w:rsidRDefault="4816C31A" w14:paraId="49474EDE" w14:textId="4A53A982">
      <w:pPr>
        <w:shd w:val="clear" w:color="auto" w:fill="FFFFFF" w:themeFill="background1"/>
        <w:spacing w:before="0" w:beforeAutospacing="off" w:after="0" w:afterAutospacing="off"/>
        <w:jc w:val="center"/>
      </w:pPr>
    </w:p>
    <w:p w:rsidR="05B3AC8F" w:rsidP="4816C31A" w:rsidRDefault="05B3AC8F" w14:paraId="661795B4" w14:textId="10A8CD88">
      <w:pPr>
        <w:shd w:val="clear" w:color="auto" w:fill="FFFFFF" w:themeFill="background1"/>
        <w:spacing w:before="0" w:beforeAutospacing="off" w:after="0" w:afterAutospacing="off"/>
      </w:pPr>
      <w:r w:rsidRPr="4816C31A" w:rsidR="05B3AC8F">
        <w:rPr>
          <w:rFonts w:ascii="Aptos" w:hAnsi="Aptos" w:eastAsia="Aptos" w:cs="Aptos"/>
          <w:b w:val="1"/>
          <w:bCs w:val="1"/>
          <w:i w:val="0"/>
          <w:iCs w:val="0"/>
          <w:caps w:val="0"/>
          <w:smallCaps w:val="0"/>
          <w:noProof w:val="0"/>
          <w:color w:val="242424"/>
          <w:sz w:val="24"/>
          <w:szCs w:val="24"/>
          <w:lang w:val="en-US"/>
        </w:rPr>
        <w:t>Conclusion</w:t>
      </w:r>
    </w:p>
    <w:p w:rsidR="05B3AC8F" w:rsidP="4816C31A" w:rsidRDefault="05B3AC8F" w14:paraId="6C38EB5D" w14:textId="65F606A3">
      <w:pPr>
        <w:shd w:val="clear" w:color="auto" w:fill="FFFFFF" w:themeFill="background1"/>
        <w:spacing w:before="0" w:beforeAutospacing="off" w:after="0" w:afterAutospacing="off"/>
      </w:pPr>
      <w:r w:rsidRPr="4816C31A" w:rsidR="05B3AC8F">
        <w:rPr>
          <w:rFonts w:ascii="Aptos" w:hAnsi="Aptos" w:eastAsia="Aptos" w:cs="Aptos"/>
          <w:b w:val="0"/>
          <w:bCs w:val="0"/>
          <w:i w:val="0"/>
          <w:iCs w:val="0"/>
          <w:caps w:val="0"/>
          <w:smallCaps w:val="0"/>
          <w:noProof w:val="0"/>
          <w:color w:val="242424"/>
          <w:sz w:val="24"/>
          <w:szCs w:val="24"/>
          <w:lang w:val="en-US"/>
        </w:rPr>
        <w:t>This monitoring framework ensures that the Azure Fraud Protection model maintains robust fraud detection capabilities while minimizing customer friction. It supports early detection of performance degradation, drift, or operational issues, ensuring strong model governance and regulatory compliance.</w:t>
      </w:r>
    </w:p>
    <w:p w:rsidR="4816C31A" w:rsidP="4816C31A" w:rsidRDefault="4816C31A" w14:paraId="4039A032" w14:textId="24D6472B">
      <w:pPr>
        <w:pStyle w:val="Normal"/>
        <w:rPr>
          <w:rFonts w:ascii="Aptos" w:hAnsi="Aptos" w:eastAsia="Aptos" w:cs="Aptos"/>
          <w:b w:val="1"/>
          <w:bCs w:val="1"/>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15ac9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edcf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4763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1a57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5719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4ce7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c77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499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2e7f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641b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fb1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eb65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955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722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82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0d12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220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971B1"/>
    <w:rsid w:val="05B3AC8F"/>
    <w:rsid w:val="4816C31A"/>
    <w:rsid w:val="5DD25488"/>
    <w:rsid w:val="67837C17"/>
    <w:rsid w:val="7FA9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71B1"/>
  <w15:chartTrackingRefBased/>
  <w15:docId w15:val="{A9FBBF46-C9A6-4B58-A921-567321FF50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816C31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c671bdb29f45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2025-04-29T08:28:42.5797171Z</dcterms:created>
  <dcterms:modified xsi:type="dcterms:W3CDTF">2025-04-29T08:34:01.8462810Z</dcterms:modified>
  <dc:creator>Rishabh Dutt</dc:creator>
  <lastModifiedBy>Rishabh Dutt</lastModifiedBy>
</coreProperties>
</file>