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B1540" w14:textId="77777777" w:rsidR="0095504D" w:rsidRPr="0095504D" w:rsidRDefault="0095504D" w:rsidP="0095504D">
      <w:pPr>
        <w:rPr>
          <w:b/>
          <w:bCs/>
        </w:rPr>
      </w:pPr>
      <w:r w:rsidRPr="0095504D">
        <w:rPr>
          <w:b/>
          <w:bCs/>
        </w:rPr>
        <w:t>1. Purpose and Objective</w:t>
      </w:r>
    </w:p>
    <w:p w14:paraId="5CAB050D" w14:textId="77777777" w:rsidR="0095504D" w:rsidRPr="0095504D" w:rsidRDefault="0095504D" w:rsidP="0095504D">
      <w:r w:rsidRPr="0095504D">
        <w:t xml:space="preserve">This document outlines a comprehensive fraud monitoring framework for the ChexSystems </w:t>
      </w:r>
      <w:proofErr w:type="spellStart"/>
      <w:r w:rsidRPr="0095504D">
        <w:t>QualiFile</w:t>
      </w:r>
      <w:proofErr w:type="spellEnd"/>
      <w:r w:rsidRPr="0095504D">
        <w:t xml:space="preserve"> solution used during demand deposit account (DDA) onboarding. The goal is to evaluate the effectiveness and stability of the </w:t>
      </w:r>
      <w:proofErr w:type="spellStart"/>
      <w:r w:rsidRPr="0095504D">
        <w:t>QualiFile</w:t>
      </w:r>
      <w:proofErr w:type="spellEnd"/>
      <w:r w:rsidRPr="0095504D">
        <w:t xml:space="preserve"> score in identifying fraudulent applicants while minimizing false declines of legitimate customers. This plan supports the bank’s model governance, compliance, and operational risk monitoring efforts.</w:t>
      </w:r>
    </w:p>
    <w:p w14:paraId="44C3EAE8" w14:textId="77777777" w:rsidR="0095504D" w:rsidRPr="0095504D" w:rsidRDefault="0095504D" w:rsidP="0095504D">
      <w:pPr>
        <w:rPr>
          <w:b/>
          <w:bCs/>
        </w:rPr>
      </w:pPr>
      <w:r w:rsidRPr="0095504D">
        <w:rPr>
          <w:b/>
          <w:bCs/>
        </w:rPr>
        <w:t>2. Background</w:t>
      </w:r>
    </w:p>
    <w:p w14:paraId="2B17A13F" w14:textId="77777777" w:rsidR="0095504D" w:rsidRPr="0095504D" w:rsidRDefault="0095504D" w:rsidP="0095504D">
      <w:r w:rsidRPr="0095504D">
        <w:t xml:space="preserve">ChexSystems </w:t>
      </w:r>
      <w:proofErr w:type="spellStart"/>
      <w:r w:rsidRPr="0095504D">
        <w:t>QualiFile</w:t>
      </w:r>
      <w:proofErr w:type="spellEnd"/>
      <w:r w:rsidRPr="0095504D">
        <w:t xml:space="preserve"> is a proprietary scoring and decisioning tool developed by FIS that assesses new account applicants based on:</w:t>
      </w:r>
    </w:p>
    <w:p w14:paraId="4491C075" w14:textId="77777777" w:rsidR="0095504D" w:rsidRPr="0095504D" w:rsidRDefault="0095504D" w:rsidP="0095504D">
      <w:pPr>
        <w:numPr>
          <w:ilvl w:val="0"/>
          <w:numId w:val="1"/>
        </w:numPr>
      </w:pPr>
      <w:r w:rsidRPr="0095504D">
        <w:t xml:space="preserve">Historical account </w:t>
      </w:r>
      <w:proofErr w:type="spellStart"/>
      <w:r w:rsidRPr="0095504D">
        <w:t>behavior</w:t>
      </w:r>
      <w:proofErr w:type="spellEnd"/>
      <w:r w:rsidRPr="0095504D">
        <w:t xml:space="preserve"> from ChexSystems’ internal databases,</w:t>
      </w:r>
    </w:p>
    <w:p w14:paraId="269128CA" w14:textId="77777777" w:rsidR="0095504D" w:rsidRPr="0095504D" w:rsidRDefault="0095504D" w:rsidP="0095504D">
      <w:pPr>
        <w:numPr>
          <w:ilvl w:val="0"/>
          <w:numId w:val="1"/>
        </w:numPr>
      </w:pPr>
      <w:r w:rsidRPr="0095504D">
        <w:t>Public records and identity verification data,</w:t>
      </w:r>
    </w:p>
    <w:p w14:paraId="29D69085" w14:textId="77777777" w:rsidR="0095504D" w:rsidRPr="0095504D" w:rsidRDefault="0095504D" w:rsidP="0095504D">
      <w:pPr>
        <w:numPr>
          <w:ilvl w:val="0"/>
          <w:numId w:val="1"/>
        </w:numPr>
      </w:pPr>
      <w:r w:rsidRPr="0095504D">
        <w:t>Credit bureau attributes, and</w:t>
      </w:r>
    </w:p>
    <w:p w14:paraId="27730E91" w14:textId="77777777" w:rsidR="0095504D" w:rsidRPr="0095504D" w:rsidRDefault="0095504D" w:rsidP="0095504D">
      <w:pPr>
        <w:numPr>
          <w:ilvl w:val="0"/>
          <w:numId w:val="1"/>
        </w:numPr>
      </w:pPr>
      <w:r w:rsidRPr="0095504D">
        <w:t>Predictive modeling outputs (</w:t>
      </w:r>
      <w:proofErr w:type="spellStart"/>
      <w:r w:rsidRPr="0095504D">
        <w:t>QualiFile</w:t>
      </w:r>
      <w:proofErr w:type="spellEnd"/>
      <w:r w:rsidRPr="0095504D">
        <w:t xml:space="preserve"> score: </w:t>
      </w:r>
      <w:proofErr w:type="gramStart"/>
      <w:r w:rsidRPr="0095504D">
        <w:t>typically</w:t>
      </w:r>
      <w:proofErr w:type="gramEnd"/>
      <w:r w:rsidRPr="0095504D">
        <w:t xml:space="preserve"> 100–899).</w:t>
      </w:r>
    </w:p>
    <w:p w14:paraId="040298C3" w14:textId="77777777" w:rsidR="0095504D" w:rsidRPr="0095504D" w:rsidRDefault="0095504D" w:rsidP="0095504D">
      <w:r w:rsidRPr="0095504D">
        <w:t>The tool categorizes applicants into decision bands (Approve, Decline, Refer), supporting risk-based decisioning at account opening. Given its impact on fraud risk and customer experience, ongoing monitoring is essential to ensure the tool continues to perform as intended across time and segments.</w:t>
      </w:r>
    </w:p>
    <w:p w14:paraId="5D644072" w14:textId="77777777" w:rsidR="0095504D" w:rsidRPr="0095504D" w:rsidRDefault="0095504D" w:rsidP="0095504D">
      <w:pPr>
        <w:rPr>
          <w:b/>
          <w:bCs/>
        </w:rPr>
      </w:pPr>
      <w:r w:rsidRPr="0095504D">
        <w:rPr>
          <w:b/>
          <w:bCs/>
        </w:rPr>
        <w:t>3. Monitoring Scope and Areas</w:t>
      </w:r>
    </w:p>
    <w:p w14:paraId="6A094BB9" w14:textId="77777777" w:rsidR="0095504D" w:rsidRDefault="0095504D" w:rsidP="0095504D">
      <w:r w:rsidRPr="0095504D">
        <w:t>The monitoring plan focuses on both performance effectiveness and stability across the following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1122"/>
      </w:tblGrid>
      <w:tr w:rsidR="001B5EFB" w:rsidRPr="001B5EFB" w14:paraId="21FB34F5" w14:textId="77777777" w:rsidTr="001B5EFB">
        <w:trPr>
          <w:tblHeader/>
          <w:tblCellSpacing w:w="15" w:type="dxa"/>
        </w:trPr>
        <w:tc>
          <w:tcPr>
            <w:tcW w:w="0" w:type="auto"/>
            <w:vAlign w:val="center"/>
            <w:hideMark/>
          </w:tcPr>
          <w:p w14:paraId="2FE97144" w14:textId="77777777" w:rsidR="001B5EFB" w:rsidRPr="001B5EFB" w:rsidRDefault="001B5EFB" w:rsidP="001B5EFB">
            <w:pPr>
              <w:rPr>
                <w:b/>
                <w:bCs/>
              </w:rPr>
            </w:pPr>
            <w:r w:rsidRPr="001B5EFB">
              <w:rPr>
                <w:b/>
                <w:bCs/>
              </w:rPr>
              <w:t>Monitoring Area</w:t>
            </w:r>
          </w:p>
        </w:tc>
        <w:tc>
          <w:tcPr>
            <w:tcW w:w="0" w:type="auto"/>
            <w:vAlign w:val="center"/>
            <w:hideMark/>
          </w:tcPr>
          <w:p w14:paraId="29AB0C14" w14:textId="77777777" w:rsidR="001B5EFB" w:rsidRPr="001B5EFB" w:rsidRDefault="001B5EFB" w:rsidP="001B5EFB">
            <w:pPr>
              <w:rPr>
                <w:b/>
                <w:bCs/>
              </w:rPr>
            </w:pPr>
            <w:r w:rsidRPr="001B5EFB">
              <w:rPr>
                <w:b/>
                <w:bCs/>
              </w:rPr>
              <w:t>Objective</w:t>
            </w:r>
          </w:p>
        </w:tc>
      </w:tr>
    </w:tbl>
    <w:p w14:paraId="3D2B5EBD" w14:textId="77536A71" w:rsidR="001B5EFB" w:rsidRPr="001B5EFB" w:rsidRDefault="001B5EFB" w:rsidP="001B5EFB">
      <w:pPr>
        <w:rPr>
          <w:b/>
          <w:bCs/>
          <w:vanish/>
          <w:color w:val="FF0000"/>
        </w:rPr>
      </w:pPr>
      <w:r w:rsidRPr="001B5EFB">
        <w:rPr>
          <w:b/>
          <w:bCs/>
          <w:color w:val="FF0000"/>
        </w:rPr>
        <w:t xml:space="preserve">Convert this into a </w:t>
      </w:r>
      <w:proofErr w:type="spellStart"/>
      <w:r w:rsidRPr="001B5EFB">
        <w:rPr>
          <w:b/>
          <w:bCs/>
          <w:color w:val="FF0000"/>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5"/>
        <w:gridCol w:w="4675"/>
      </w:tblGrid>
      <w:tr w:rsidR="001B5EFB" w:rsidRPr="001B5EFB" w14:paraId="1C66D801" w14:textId="77777777" w:rsidTr="001B5EFB">
        <w:trPr>
          <w:tblCellSpacing w:w="15" w:type="dxa"/>
        </w:trPr>
        <w:tc>
          <w:tcPr>
            <w:tcW w:w="0" w:type="auto"/>
            <w:vAlign w:val="center"/>
            <w:hideMark/>
          </w:tcPr>
          <w:p w14:paraId="43DE5A4B" w14:textId="77777777" w:rsidR="001B5EFB" w:rsidRPr="001B5EFB" w:rsidRDefault="001B5EFB" w:rsidP="001B5EFB">
            <w:r w:rsidRPr="001B5EFB">
              <w:t>Model</w:t>
            </w:r>
            <w:proofErr w:type="spellEnd"/>
            <w:r w:rsidRPr="001B5EFB">
              <w:t xml:space="preserve"> Effectiveness</w:t>
            </w:r>
          </w:p>
        </w:tc>
        <w:tc>
          <w:tcPr>
            <w:tcW w:w="0" w:type="auto"/>
            <w:vAlign w:val="center"/>
            <w:hideMark/>
          </w:tcPr>
          <w:p w14:paraId="443ABCB9" w14:textId="77777777" w:rsidR="001B5EFB" w:rsidRPr="001B5EFB" w:rsidRDefault="001B5EFB" w:rsidP="001B5EFB">
            <w:r w:rsidRPr="001B5EFB">
              <w:t>Assess fraud detection capability (TPR, FPR).</w:t>
            </w:r>
          </w:p>
        </w:tc>
      </w:tr>
    </w:tbl>
    <w:p w14:paraId="30796D30" w14:textId="77777777" w:rsidR="001B5EFB" w:rsidRPr="001B5EFB" w:rsidRDefault="001B5EFB" w:rsidP="001B5E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0"/>
        <w:gridCol w:w="2930"/>
      </w:tblGrid>
      <w:tr w:rsidR="001B5EFB" w:rsidRPr="001B5EFB" w14:paraId="4C7F26CF" w14:textId="77777777" w:rsidTr="001B5EFB">
        <w:trPr>
          <w:tblCellSpacing w:w="15" w:type="dxa"/>
        </w:trPr>
        <w:tc>
          <w:tcPr>
            <w:tcW w:w="0" w:type="auto"/>
            <w:vAlign w:val="center"/>
            <w:hideMark/>
          </w:tcPr>
          <w:p w14:paraId="3D5EA793" w14:textId="77777777" w:rsidR="001B5EFB" w:rsidRPr="001B5EFB" w:rsidRDefault="001B5EFB" w:rsidP="001B5EFB">
            <w:r w:rsidRPr="001B5EFB">
              <w:t>Score Distribution Stability</w:t>
            </w:r>
          </w:p>
        </w:tc>
        <w:tc>
          <w:tcPr>
            <w:tcW w:w="0" w:type="auto"/>
            <w:vAlign w:val="center"/>
            <w:hideMark/>
          </w:tcPr>
          <w:p w14:paraId="734F83C6" w14:textId="77777777" w:rsidR="001B5EFB" w:rsidRPr="001B5EFB" w:rsidRDefault="001B5EFB" w:rsidP="001B5EFB">
            <w:r w:rsidRPr="001B5EFB">
              <w:t>Track score shifts using PSI.</w:t>
            </w:r>
          </w:p>
        </w:tc>
      </w:tr>
    </w:tbl>
    <w:p w14:paraId="4500B1FC" w14:textId="77777777" w:rsidR="001B5EFB" w:rsidRPr="001B5EFB" w:rsidRDefault="001B5EFB" w:rsidP="001B5E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7"/>
        <w:gridCol w:w="5117"/>
      </w:tblGrid>
      <w:tr w:rsidR="001B5EFB" w:rsidRPr="001B5EFB" w14:paraId="274B1A2E" w14:textId="77777777" w:rsidTr="001B5EFB">
        <w:trPr>
          <w:tblCellSpacing w:w="15" w:type="dxa"/>
        </w:trPr>
        <w:tc>
          <w:tcPr>
            <w:tcW w:w="0" w:type="auto"/>
            <w:vAlign w:val="center"/>
            <w:hideMark/>
          </w:tcPr>
          <w:p w14:paraId="46B8E1C5" w14:textId="77777777" w:rsidR="001B5EFB" w:rsidRPr="001B5EFB" w:rsidRDefault="001B5EFB" w:rsidP="001B5EFB">
            <w:r w:rsidRPr="001B5EFB">
              <w:t>Approval/Decline Trends</w:t>
            </w:r>
          </w:p>
        </w:tc>
        <w:tc>
          <w:tcPr>
            <w:tcW w:w="0" w:type="auto"/>
            <w:vAlign w:val="center"/>
            <w:hideMark/>
          </w:tcPr>
          <w:p w14:paraId="3DBA1882" w14:textId="77777777" w:rsidR="001B5EFB" w:rsidRPr="001B5EFB" w:rsidRDefault="001B5EFB" w:rsidP="001B5EFB">
            <w:r w:rsidRPr="001B5EFB">
              <w:t>Understand shifts in approval rate by score band.</w:t>
            </w:r>
          </w:p>
        </w:tc>
      </w:tr>
    </w:tbl>
    <w:p w14:paraId="07382038" w14:textId="77777777" w:rsidR="001B5EFB" w:rsidRPr="001B5EFB" w:rsidRDefault="001B5EFB" w:rsidP="001B5E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9"/>
        <w:gridCol w:w="4563"/>
      </w:tblGrid>
      <w:tr w:rsidR="001B5EFB" w:rsidRPr="001B5EFB" w14:paraId="316F0A27" w14:textId="77777777" w:rsidTr="001B5EFB">
        <w:trPr>
          <w:tblCellSpacing w:w="15" w:type="dxa"/>
        </w:trPr>
        <w:tc>
          <w:tcPr>
            <w:tcW w:w="0" w:type="auto"/>
            <w:vAlign w:val="center"/>
            <w:hideMark/>
          </w:tcPr>
          <w:p w14:paraId="0F38BF17" w14:textId="77777777" w:rsidR="001B5EFB" w:rsidRPr="001B5EFB" w:rsidRDefault="001B5EFB" w:rsidP="001B5EFB">
            <w:r w:rsidRPr="001B5EFB">
              <w:t>Band-Level Fraud Rates</w:t>
            </w:r>
          </w:p>
        </w:tc>
        <w:tc>
          <w:tcPr>
            <w:tcW w:w="0" w:type="auto"/>
            <w:vAlign w:val="center"/>
            <w:hideMark/>
          </w:tcPr>
          <w:p w14:paraId="0F07986B" w14:textId="77777777" w:rsidR="001B5EFB" w:rsidRPr="001B5EFB" w:rsidRDefault="001B5EFB" w:rsidP="001B5EFB">
            <w:r w:rsidRPr="001B5EFB">
              <w:t>Identify fraud concentration in score bands.</w:t>
            </w:r>
          </w:p>
        </w:tc>
      </w:tr>
    </w:tbl>
    <w:p w14:paraId="0BE54660" w14:textId="77777777" w:rsidR="001B5EFB" w:rsidRPr="001B5EFB" w:rsidRDefault="001B5EFB" w:rsidP="001B5E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6"/>
        <w:gridCol w:w="2957"/>
      </w:tblGrid>
      <w:tr w:rsidR="001B5EFB" w:rsidRPr="001B5EFB" w14:paraId="38AE6AD0" w14:textId="77777777" w:rsidTr="001B5EFB">
        <w:trPr>
          <w:tblCellSpacing w:w="15" w:type="dxa"/>
        </w:trPr>
        <w:tc>
          <w:tcPr>
            <w:tcW w:w="0" w:type="auto"/>
            <w:vAlign w:val="center"/>
            <w:hideMark/>
          </w:tcPr>
          <w:p w14:paraId="75C979EF" w14:textId="77777777" w:rsidR="001B5EFB" w:rsidRPr="001B5EFB" w:rsidRDefault="001B5EFB" w:rsidP="001B5EFB">
            <w:r w:rsidRPr="001B5EFB">
              <w:t>False Positive/False Negative Rates</w:t>
            </w:r>
          </w:p>
        </w:tc>
        <w:tc>
          <w:tcPr>
            <w:tcW w:w="0" w:type="auto"/>
            <w:vAlign w:val="center"/>
            <w:hideMark/>
          </w:tcPr>
          <w:p w14:paraId="4D57B458" w14:textId="77777777" w:rsidR="001B5EFB" w:rsidRPr="001B5EFB" w:rsidRDefault="001B5EFB" w:rsidP="001B5EFB">
            <w:r w:rsidRPr="001B5EFB">
              <w:t>Evaluate misclassifications.</w:t>
            </w:r>
          </w:p>
        </w:tc>
      </w:tr>
    </w:tbl>
    <w:p w14:paraId="1644750C" w14:textId="77777777" w:rsidR="001B5EFB" w:rsidRPr="001B5EFB" w:rsidRDefault="001B5EFB" w:rsidP="001B5E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0"/>
        <w:gridCol w:w="5936"/>
      </w:tblGrid>
      <w:tr w:rsidR="001B5EFB" w:rsidRPr="001B5EFB" w14:paraId="152896F0" w14:textId="77777777" w:rsidTr="001B5EFB">
        <w:trPr>
          <w:tblCellSpacing w:w="15" w:type="dxa"/>
        </w:trPr>
        <w:tc>
          <w:tcPr>
            <w:tcW w:w="0" w:type="auto"/>
            <w:vAlign w:val="center"/>
            <w:hideMark/>
          </w:tcPr>
          <w:p w14:paraId="5B4B0BC6" w14:textId="77777777" w:rsidR="001B5EFB" w:rsidRPr="001B5EFB" w:rsidRDefault="001B5EFB" w:rsidP="001B5EFB">
            <w:r w:rsidRPr="001B5EFB">
              <w:t>Segment and Channel Performance</w:t>
            </w:r>
          </w:p>
        </w:tc>
        <w:tc>
          <w:tcPr>
            <w:tcW w:w="0" w:type="auto"/>
            <w:vAlign w:val="center"/>
            <w:hideMark/>
          </w:tcPr>
          <w:p w14:paraId="690F9088" w14:textId="77777777" w:rsidR="001B5EFB" w:rsidRPr="001B5EFB" w:rsidRDefault="001B5EFB" w:rsidP="001B5EFB">
            <w:r w:rsidRPr="001B5EFB">
              <w:t>Understand score effectiveness across customer segments and channels.</w:t>
            </w:r>
          </w:p>
        </w:tc>
      </w:tr>
    </w:tbl>
    <w:p w14:paraId="232DE393" w14:textId="7FD1320F" w:rsidR="00CD55C6" w:rsidRPr="00CD55C6" w:rsidRDefault="00CD55C6" w:rsidP="00CD55C6">
      <w:pPr>
        <w:rPr>
          <w:b/>
          <w:bCs/>
          <w:color w:val="FF0000"/>
          <w:sz w:val="26"/>
          <w:szCs w:val="26"/>
        </w:rPr>
      </w:pPr>
      <w:r w:rsidRPr="00CD55C6">
        <w:rPr>
          <w:b/>
          <w:bCs/>
          <w:color w:val="FF0000"/>
          <w:sz w:val="26"/>
          <w:szCs w:val="26"/>
        </w:rPr>
        <w:t>4. Data Requirements</w:t>
      </w:r>
      <w:r w:rsidRPr="00CD55C6">
        <w:rPr>
          <w:b/>
          <w:bCs/>
          <w:color w:val="FF0000"/>
          <w:sz w:val="26"/>
          <w:szCs w:val="26"/>
        </w:rPr>
        <w:t xml:space="preserve"> – Make this into a neatly formatted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4098"/>
        <w:gridCol w:w="3172"/>
      </w:tblGrid>
      <w:tr w:rsidR="00CD55C6" w:rsidRPr="00CD55C6" w14:paraId="6D53F9D3" w14:textId="77777777" w:rsidTr="00CD55C6">
        <w:trPr>
          <w:tblHeader/>
          <w:tblCellSpacing w:w="15" w:type="dxa"/>
        </w:trPr>
        <w:tc>
          <w:tcPr>
            <w:tcW w:w="0" w:type="auto"/>
            <w:vAlign w:val="center"/>
            <w:hideMark/>
          </w:tcPr>
          <w:p w14:paraId="328030AE" w14:textId="77777777" w:rsidR="00CD55C6" w:rsidRPr="00CD55C6" w:rsidRDefault="00CD55C6" w:rsidP="00CD55C6">
            <w:pPr>
              <w:rPr>
                <w:b/>
                <w:bCs/>
              </w:rPr>
            </w:pPr>
            <w:r w:rsidRPr="00CD55C6">
              <w:rPr>
                <w:b/>
                <w:bCs/>
              </w:rPr>
              <w:t>Field Name</w:t>
            </w:r>
          </w:p>
        </w:tc>
        <w:tc>
          <w:tcPr>
            <w:tcW w:w="0" w:type="auto"/>
            <w:vAlign w:val="center"/>
            <w:hideMark/>
          </w:tcPr>
          <w:p w14:paraId="7AD8587A" w14:textId="77777777" w:rsidR="00CD55C6" w:rsidRPr="00CD55C6" w:rsidRDefault="00CD55C6" w:rsidP="00CD55C6">
            <w:pPr>
              <w:rPr>
                <w:b/>
                <w:bCs/>
              </w:rPr>
            </w:pPr>
            <w:r w:rsidRPr="00CD55C6">
              <w:rPr>
                <w:b/>
                <w:bCs/>
              </w:rPr>
              <w:t>Business Explanation</w:t>
            </w:r>
          </w:p>
        </w:tc>
        <w:tc>
          <w:tcPr>
            <w:tcW w:w="0" w:type="auto"/>
            <w:vAlign w:val="center"/>
            <w:hideMark/>
          </w:tcPr>
          <w:p w14:paraId="58C73548" w14:textId="77777777" w:rsidR="00CD55C6" w:rsidRPr="00CD55C6" w:rsidRDefault="00CD55C6" w:rsidP="00CD55C6">
            <w:pPr>
              <w:rPr>
                <w:b/>
                <w:bCs/>
              </w:rPr>
            </w:pPr>
            <w:r w:rsidRPr="00CD55C6">
              <w:rPr>
                <w:b/>
                <w:bCs/>
              </w:rPr>
              <w:t>Metrics Supported</w:t>
            </w:r>
          </w:p>
        </w:tc>
      </w:tr>
      <w:tr w:rsidR="00CD55C6" w:rsidRPr="00CD55C6" w14:paraId="5CFEBC76" w14:textId="77777777" w:rsidTr="00CD55C6">
        <w:trPr>
          <w:tblCellSpacing w:w="15" w:type="dxa"/>
        </w:trPr>
        <w:tc>
          <w:tcPr>
            <w:tcW w:w="0" w:type="auto"/>
            <w:vAlign w:val="center"/>
            <w:hideMark/>
          </w:tcPr>
          <w:p w14:paraId="49A3F85B" w14:textId="77777777" w:rsidR="00CD55C6" w:rsidRPr="00CD55C6" w:rsidRDefault="00CD55C6" w:rsidP="00CD55C6">
            <w:r w:rsidRPr="00CD55C6">
              <w:t>Applicant ID</w:t>
            </w:r>
          </w:p>
        </w:tc>
        <w:tc>
          <w:tcPr>
            <w:tcW w:w="0" w:type="auto"/>
            <w:vAlign w:val="center"/>
            <w:hideMark/>
          </w:tcPr>
          <w:p w14:paraId="327B99B2" w14:textId="77777777" w:rsidR="00CD55C6" w:rsidRPr="00CD55C6" w:rsidRDefault="00CD55C6" w:rsidP="00CD55C6">
            <w:r w:rsidRPr="00CD55C6">
              <w:t>Unique identifier for applicant tracking.</w:t>
            </w:r>
          </w:p>
        </w:tc>
        <w:tc>
          <w:tcPr>
            <w:tcW w:w="0" w:type="auto"/>
            <w:vAlign w:val="center"/>
            <w:hideMark/>
          </w:tcPr>
          <w:p w14:paraId="4AC404F3" w14:textId="77777777" w:rsidR="00CD55C6" w:rsidRPr="00CD55C6" w:rsidRDefault="00CD55C6" w:rsidP="00CD55C6">
            <w:r w:rsidRPr="00CD55C6">
              <w:t>Record-level linking for all metrics.</w:t>
            </w:r>
          </w:p>
        </w:tc>
      </w:tr>
      <w:tr w:rsidR="00CD55C6" w:rsidRPr="00CD55C6" w14:paraId="6B8D7C97" w14:textId="77777777" w:rsidTr="00CD55C6">
        <w:trPr>
          <w:tblCellSpacing w:w="15" w:type="dxa"/>
        </w:trPr>
        <w:tc>
          <w:tcPr>
            <w:tcW w:w="0" w:type="auto"/>
            <w:vAlign w:val="center"/>
            <w:hideMark/>
          </w:tcPr>
          <w:p w14:paraId="3390E112" w14:textId="77777777" w:rsidR="00CD55C6" w:rsidRPr="00CD55C6" w:rsidRDefault="00CD55C6" w:rsidP="00CD55C6">
            <w:r w:rsidRPr="00CD55C6">
              <w:t>Application Date</w:t>
            </w:r>
          </w:p>
        </w:tc>
        <w:tc>
          <w:tcPr>
            <w:tcW w:w="0" w:type="auto"/>
            <w:vAlign w:val="center"/>
            <w:hideMark/>
          </w:tcPr>
          <w:p w14:paraId="58174016" w14:textId="77777777" w:rsidR="00CD55C6" w:rsidRPr="00CD55C6" w:rsidRDefault="00CD55C6" w:rsidP="00CD55C6">
            <w:r w:rsidRPr="00CD55C6">
              <w:t>Tracks the timing of application submissions.</w:t>
            </w:r>
          </w:p>
        </w:tc>
        <w:tc>
          <w:tcPr>
            <w:tcW w:w="0" w:type="auto"/>
            <w:vAlign w:val="center"/>
            <w:hideMark/>
          </w:tcPr>
          <w:p w14:paraId="0F026FF3" w14:textId="77777777" w:rsidR="00CD55C6" w:rsidRPr="00CD55C6" w:rsidRDefault="00CD55C6" w:rsidP="00CD55C6">
            <w:r w:rsidRPr="00CD55C6">
              <w:t>PSI (time-based), trend analysis.</w:t>
            </w:r>
          </w:p>
        </w:tc>
      </w:tr>
      <w:tr w:rsidR="00CD55C6" w:rsidRPr="00CD55C6" w14:paraId="7F0FEF90" w14:textId="77777777" w:rsidTr="00CD55C6">
        <w:trPr>
          <w:tblCellSpacing w:w="15" w:type="dxa"/>
        </w:trPr>
        <w:tc>
          <w:tcPr>
            <w:tcW w:w="0" w:type="auto"/>
            <w:vAlign w:val="center"/>
            <w:hideMark/>
          </w:tcPr>
          <w:p w14:paraId="2DF1995A" w14:textId="77777777" w:rsidR="00CD55C6" w:rsidRPr="00CD55C6" w:rsidRDefault="00CD55C6" w:rsidP="00CD55C6">
            <w:proofErr w:type="spellStart"/>
            <w:r w:rsidRPr="00CD55C6">
              <w:t>QualiFile</w:t>
            </w:r>
            <w:proofErr w:type="spellEnd"/>
            <w:r w:rsidRPr="00CD55C6">
              <w:t xml:space="preserve"> Score</w:t>
            </w:r>
          </w:p>
        </w:tc>
        <w:tc>
          <w:tcPr>
            <w:tcW w:w="0" w:type="auto"/>
            <w:vAlign w:val="center"/>
            <w:hideMark/>
          </w:tcPr>
          <w:p w14:paraId="2894EC23" w14:textId="77777777" w:rsidR="00CD55C6" w:rsidRPr="00CD55C6" w:rsidRDefault="00CD55C6" w:rsidP="00CD55C6">
            <w:r w:rsidRPr="00CD55C6">
              <w:t>Primary score from ChexSystems used for decisioning.</w:t>
            </w:r>
          </w:p>
        </w:tc>
        <w:tc>
          <w:tcPr>
            <w:tcW w:w="0" w:type="auto"/>
            <w:vAlign w:val="center"/>
            <w:hideMark/>
          </w:tcPr>
          <w:p w14:paraId="7433B767" w14:textId="77777777" w:rsidR="00CD55C6" w:rsidRPr="00CD55C6" w:rsidRDefault="00CD55C6" w:rsidP="00CD55C6">
            <w:r w:rsidRPr="00CD55C6">
              <w:t>TPR, FPR, PSI, Band-level analysis.</w:t>
            </w:r>
          </w:p>
        </w:tc>
      </w:tr>
      <w:tr w:rsidR="00CD55C6" w:rsidRPr="00CD55C6" w14:paraId="762313F3" w14:textId="77777777" w:rsidTr="00CD55C6">
        <w:trPr>
          <w:tblCellSpacing w:w="15" w:type="dxa"/>
        </w:trPr>
        <w:tc>
          <w:tcPr>
            <w:tcW w:w="0" w:type="auto"/>
            <w:vAlign w:val="center"/>
            <w:hideMark/>
          </w:tcPr>
          <w:p w14:paraId="21665EFA" w14:textId="77777777" w:rsidR="00CD55C6" w:rsidRPr="00CD55C6" w:rsidRDefault="00CD55C6" w:rsidP="00CD55C6">
            <w:r w:rsidRPr="00CD55C6">
              <w:t>Score Band</w:t>
            </w:r>
          </w:p>
        </w:tc>
        <w:tc>
          <w:tcPr>
            <w:tcW w:w="0" w:type="auto"/>
            <w:vAlign w:val="center"/>
            <w:hideMark/>
          </w:tcPr>
          <w:p w14:paraId="6F565371" w14:textId="77777777" w:rsidR="00CD55C6" w:rsidRPr="00CD55C6" w:rsidRDefault="00CD55C6" w:rsidP="00CD55C6">
            <w:r w:rsidRPr="00CD55C6">
              <w:t>Grouped score intervals for analysis.</w:t>
            </w:r>
          </w:p>
        </w:tc>
        <w:tc>
          <w:tcPr>
            <w:tcW w:w="0" w:type="auto"/>
            <w:vAlign w:val="center"/>
            <w:hideMark/>
          </w:tcPr>
          <w:p w14:paraId="5DCBFFD9" w14:textId="77777777" w:rsidR="00CD55C6" w:rsidRPr="00CD55C6" w:rsidRDefault="00CD55C6" w:rsidP="00CD55C6">
            <w:r w:rsidRPr="00CD55C6">
              <w:t>PSI, Approval/Fraud Rate by Band.</w:t>
            </w:r>
          </w:p>
        </w:tc>
      </w:tr>
      <w:tr w:rsidR="00CD55C6" w:rsidRPr="00CD55C6" w14:paraId="01EEF9F1" w14:textId="77777777" w:rsidTr="00CD55C6">
        <w:trPr>
          <w:tblCellSpacing w:w="15" w:type="dxa"/>
        </w:trPr>
        <w:tc>
          <w:tcPr>
            <w:tcW w:w="0" w:type="auto"/>
            <w:vAlign w:val="center"/>
            <w:hideMark/>
          </w:tcPr>
          <w:p w14:paraId="3AC1559A" w14:textId="77777777" w:rsidR="00CD55C6" w:rsidRPr="00CD55C6" w:rsidRDefault="00CD55C6" w:rsidP="00CD55C6">
            <w:r w:rsidRPr="00CD55C6">
              <w:t>Decision Band</w:t>
            </w:r>
          </w:p>
        </w:tc>
        <w:tc>
          <w:tcPr>
            <w:tcW w:w="0" w:type="auto"/>
            <w:vAlign w:val="center"/>
            <w:hideMark/>
          </w:tcPr>
          <w:p w14:paraId="25FDC665" w14:textId="77777777" w:rsidR="00CD55C6" w:rsidRPr="00CD55C6" w:rsidRDefault="00CD55C6" w:rsidP="00CD55C6">
            <w:proofErr w:type="spellStart"/>
            <w:r w:rsidRPr="00CD55C6">
              <w:t>QualiFile’s</w:t>
            </w:r>
            <w:proofErr w:type="spellEnd"/>
            <w:r w:rsidRPr="00CD55C6">
              <w:t xml:space="preserve"> recommendation (Approve/Decline/Refer).</w:t>
            </w:r>
          </w:p>
        </w:tc>
        <w:tc>
          <w:tcPr>
            <w:tcW w:w="0" w:type="auto"/>
            <w:vAlign w:val="center"/>
            <w:hideMark/>
          </w:tcPr>
          <w:p w14:paraId="13B0D52E" w14:textId="77777777" w:rsidR="00CD55C6" w:rsidRPr="00CD55C6" w:rsidRDefault="00CD55C6" w:rsidP="00CD55C6">
            <w:r w:rsidRPr="00CD55C6">
              <w:t>Approval Rates, False Decline Rates.</w:t>
            </w:r>
          </w:p>
        </w:tc>
      </w:tr>
      <w:tr w:rsidR="00CD55C6" w:rsidRPr="00CD55C6" w14:paraId="5E6AF0F2" w14:textId="77777777" w:rsidTr="00CD55C6">
        <w:trPr>
          <w:tblCellSpacing w:w="15" w:type="dxa"/>
        </w:trPr>
        <w:tc>
          <w:tcPr>
            <w:tcW w:w="0" w:type="auto"/>
            <w:vAlign w:val="center"/>
            <w:hideMark/>
          </w:tcPr>
          <w:p w14:paraId="47F736D1" w14:textId="77777777" w:rsidR="00CD55C6" w:rsidRPr="00CD55C6" w:rsidRDefault="00CD55C6" w:rsidP="00CD55C6">
            <w:r w:rsidRPr="00CD55C6">
              <w:t>Final Bank Decision</w:t>
            </w:r>
          </w:p>
        </w:tc>
        <w:tc>
          <w:tcPr>
            <w:tcW w:w="0" w:type="auto"/>
            <w:vAlign w:val="center"/>
            <w:hideMark/>
          </w:tcPr>
          <w:p w14:paraId="71FEC678" w14:textId="77777777" w:rsidR="00CD55C6" w:rsidRPr="00CD55C6" w:rsidRDefault="00CD55C6" w:rsidP="00CD55C6">
            <w:r w:rsidRPr="00CD55C6">
              <w:t>Actual bank decision, including overrides.</w:t>
            </w:r>
          </w:p>
        </w:tc>
        <w:tc>
          <w:tcPr>
            <w:tcW w:w="0" w:type="auto"/>
            <w:vAlign w:val="center"/>
            <w:hideMark/>
          </w:tcPr>
          <w:p w14:paraId="5610D291" w14:textId="77777777" w:rsidR="00CD55C6" w:rsidRPr="00CD55C6" w:rsidRDefault="00CD55C6" w:rsidP="00CD55C6">
            <w:r w:rsidRPr="00CD55C6">
              <w:t>Override impact, FP/FN calculation.</w:t>
            </w:r>
          </w:p>
        </w:tc>
      </w:tr>
      <w:tr w:rsidR="00CD55C6" w:rsidRPr="00CD55C6" w14:paraId="062A0964" w14:textId="77777777" w:rsidTr="00CD55C6">
        <w:trPr>
          <w:tblCellSpacing w:w="15" w:type="dxa"/>
        </w:trPr>
        <w:tc>
          <w:tcPr>
            <w:tcW w:w="0" w:type="auto"/>
            <w:vAlign w:val="center"/>
            <w:hideMark/>
          </w:tcPr>
          <w:p w14:paraId="47AA5FD0" w14:textId="77777777" w:rsidR="00CD55C6" w:rsidRPr="00CD55C6" w:rsidRDefault="00CD55C6" w:rsidP="00CD55C6">
            <w:r w:rsidRPr="00CD55C6">
              <w:t>Fraud Flag</w:t>
            </w:r>
          </w:p>
        </w:tc>
        <w:tc>
          <w:tcPr>
            <w:tcW w:w="0" w:type="auto"/>
            <w:vAlign w:val="center"/>
            <w:hideMark/>
          </w:tcPr>
          <w:p w14:paraId="6E2A779D" w14:textId="77777777" w:rsidR="00CD55C6" w:rsidRPr="00CD55C6" w:rsidRDefault="00CD55C6" w:rsidP="00CD55C6">
            <w:r w:rsidRPr="00CD55C6">
              <w:t>Indicates if applicant was later confirmed as fraud.</w:t>
            </w:r>
          </w:p>
        </w:tc>
        <w:tc>
          <w:tcPr>
            <w:tcW w:w="0" w:type="auto"/>
            <w:vAlign w:val="center"/>
            <w:hideMark/>
          </w:tcPr>
          <w:p w14:paraId="6E3BC60E" w14:textId="77777777" w:rsidR="00CD55C6" w:rsidRPr="00CD55C6" w:rsidRDefault="00CD55C6" w:rsidP="00CD55C6">
            <w:r w:rsidRPr="00CD55C6">
              <w:t>TPR, FN Rate, Fraud Rate by Band.</w:t>
            </w:r>
          </w:p>
        </w:tc>
      </w:tr>
      <w:tr w:rsidR="00CD55C6" w:rsidRPr="00CD55C6" w14:paraId="4CB6E6A5" w14:textId="77777777" w:rsidTr="00CD55C6">
        <w:trPr>
          <w:tblCellSpacing w:w="15" w:type="dxa"/>
        </w:trPr>
        <w:tc>
          <w:tcPr>
            <w:tcW w:w="0" w:type="auto"/>
            <w:vAlign w:val="center"/>
            <w:hideMark/>
          </w:tcPr>
          <w:p w14:paraId="15B6F003" w14:textId="77777777" w:rsidR="00CD55C6" w:rsidRPr="00CD55C6" w:rsidRDefault="00CD55C6" w:rsidP="00CD55C6">
            <w:r w:rsidRPr="00CD55C6">
              <w:t>Fraud Discovery Date</w:t>
            </w:r>
          </w:p>
        </w:tc>
        <w:tc>
          <w:tcPr>
            <w:tcW w:w="0" w:type="auto"/>
            <w:vAlign w:val="center"/>
            <w:hideMark/>
          </w:tcPr>
          <w:p w14:paraId="26225CC9" w14:textId="77777777" w:rsidR="00CD55C6" w:rsidRPr="00CD55C6" w:rsidRDefault="00CD55C6" w:rsidP="00CD55C6">
            <w:r w:rsidRPr="00CD55C6">
              <w:t>When the fraud was identified post-account opening.</w:t>
            </w:r>
          </w:p>
        </w:tc>
        <w:tc>
          <w:tcPr>
            <w:tcW w:w="0" w:type="auto"/>
            <w:vAlign w:val="center"/>
            <w:hideMark/>
          </w:tcPr>
          <w:p w14:paraId="0F4E5F9E" w14:textId="77777777" w:rsidR="00CD55C6" w:rsidRPr="00CD55C6" w:rsidRDefault="00CD55C6" w:rsidP="00CD55C6">
            <w:r w:rsidRPr="00CD55C6">
              <w:t>Fraud aging, TPR timing analysis.</w:t>
            </w:r>
          </w:p>
        </w:tc>
      </w:tr>
      <w:tr w:rsidR="00CD55C6" w:rsidRPr="00CD55C6" w14:paraId="3892994D" w14:textId="77777777" w:rsidTr="00CD55C6">
        <w:trPr>
          <w:tblCellSpacing w:w="15" w:type="dxa"/>
        </w:trPr>
        <w:tc>
          <w:tcPr>
            <w:tcW w:w="0" w:type="auto"/>
            <w:vAlign w:val="center"/>
            <w:hideMark/>
          </w:tcPr>
          <w:p w14:paraId="1FBB3544" w14:textId="77777777" w:rsidR="00CD55C6" w:rsidRPr="00CD55C6" w:rsidRDefault="00CD55C6" w:rsidP="00CD55C6">
            <w:r w:rsidRPr="00CD55C6">
              <w:t>Customer Segment</w:t>
            </w:r>
          </w:p>
        </w:tc>
        <w:tc>
          <w:tcPr>
            <w:tcW w:w="0" w:type="auto"/>
            <w:vAlign w:val="center"/>
            <w:hideMark/>
          </w:tcPr>
          <w:p w14:paraId="6BF725B3" w14:textId="77777777" w:rsidR="00CD55C6" w:rsidRPr="00CD55C6" w:rsidRDefault="00CD55C6" w:rsidP="00CD55C6">
            <w:r w:rsidRPr="00CD55C6">
              <w:t xml:space="preserve">Helps </w:t>
            </w:r>
            <w:proofErr w:type="spellStart"/>
            <w:r w:rsidRPr="00CD55C6">
              <w:t>analyze</w:t>
            </w:r>
            <w:proofErr w:type="spellEnd"/>
            <w:r w:rsidRPr="00CD55C6">
              <w:t xml:space="preserve"> performance across different customer groups.</w:t>
            </w:r>
          </w:p>
        </w:tc>
        <w:tc>
          <w:tcPr>
            <w:tcW w:w="0" w:type="auto"/>
            <w:vAlign w:val="center"/>
            <w:hideMark/>
          </w:tcPr>
          <w:p w14:paraId="036E467B" w14:textId="77777777" w:rsidR="00CD55C6" w:rsidRPr="00CD55C6" w:rsidRDefault="00CD55C6" w:rsidP="00CD55C6">
            <w:r w:rsidRPr="00CD55C6">
              <w:t>Segment-wise TPR/FPR, False Decline Rate.</w:t>
            </w:r>
          </w:p>
        </w:tc>
      </w:tr>
      <w:tr w:rsidR="00CD55C6" w:rsidRPr="00CD55C6" w14:paraId="6246020F" w14:textId="77777777" w:rsidTr="00CD55C6">
        <w:trPr>
          <w:tblCellSpacing w:w="15" w:type="dxa"/>
        </w:trPr>
        <w:tc>
          <w:tcPr>
            <w:tcW w:w="0" w:type="auto"/>
            <w:vAlign w:val="center"/>
            <w:hideMark/>
          </w:tcPr>
          <w:p w14:paraId="6B0FF6C9" w14:textId="77777777" w:rsidR="00CD55C6" w:rsidRPr="00CD55C6" w:rsidRDefault="00CD55C6" w:rsidP="00CD55C6">
            <w:r w:rsidRPr="00CD55C6">
              <w:t>Application Channel</w:t>
            </w:r>
          </w:p>
        </w:tc>
        <w:tc>
          <w:tcPr>
            <w:tcW w:w="0" w:type="auto"/>
            <w:vAlign w:val="center"/>
            <w:hideMark/>
          </w:tcPr>
          <w:p w14:paraId="5E7B78BA" w14:textId="77777777" w:rsidR="00CD55C6" w:rsidRPr="00CD55C6" w:rsidRDefault="00CD55C6" w:rsidP="00CD55C6">
            <w:r w:rsidRPr="00CD55C6">
              <w:t>Source of application (e.g., online, branch).</w:t>
            </w:r>
          </w:p>
        </w:tc>
        <w:tc>
          <w:tcPr>
            <w:tcW w:w="0" w:type="auto"/>
            <w:vAlign w:val="center"/>
            <w:hideMark/>
          </w:tcPr>
          <w:p w14:paraId="41D34D37" w14:textId="77777777" w:rsidR="00CD55C6" w:rsidRPr="00CD55C6" w:rsidRDefault="00CD55C6" w:rsidP="00CD55C6">
            <w:r w:rsidRPr="00CD55C6">
              <w:t>Channel-level fraud trend, Approval Rate by Channel.</w:t>
            </w:r>
          </w:p>
        </w:tc>
      </w:tr>
      <w:tr w:rsidR="00CD55C6" w:rsidRPr="00CD55C6" w14:paraId="25C6CC74" w14:textId="77777777" w:rsidTr="00CD55C6">
        <w:trPr>
          <w:tblCellSpacing w:w="15" w:type="dxa"/>
        </w:trPr>
        <w:tc>
          <w:tcPr>
            <w:tcW w:w="0" w:type="auto"/>
            <w:vAlign w:val="center"/>
            <w:hideMark/>
          </w:tcPr>
          <w:p w14:paraId="32C9D370" w14:textId="77777777" w:rsidR="00CD55C6" w:rsidRPr="00CD55C6" w:rsidRDefault="00CD55C6" w:rsidP="00CD55C6">
            <w:r w:rsidRPr="00CD55C6">
              <w:t>Override Reason*</w:t>
            </w:r>
          </w:p>
        </w:tc>
        <w:tc>
          <w:tcPr>
            <w:tcW w:w="0" w:type="auto"/>
            <w:vAlign w:val="center"/>
            <w:hideMark/>
          </w:tcPr>
          <w:p w14:paraId="03C14F4D" w14:textId="77777777" w:rsidR="00CD55C6" w:rsidRPr="00CD55C6" w:rsidRDefault="00CD55C6" w:rsidP="00CD55C6">
            <w:r w:rsidRPr="00CD55C6">
              <w:t>Captures rationale when bank overrides Chex decision.</w:t>
            </w:r>
          </w:p>
        </w:tc>
        <w:tc>
          <w:tcPr>
            <w:tcW w:w="0" w:type="auto"/>
            <w:vAlign w:val="center"/>
            <w:hideMark/>
          </w:tcPr>
          <w:p w14:paraId="2A0BE7C2" w14:textId="77777777" w:rsidR="00CD55C6" w:rsidRPr="00CD55C6" w:rsidRDefault="00CD55C6" w:rsidP="00CD55C6">
            <w:r w:rsidRPr="00CD55C6">
              <w:t>Override audit, understanding score gaps.</w:t>
            </w:r>
          </w:p>
        </w:tc>
      </w:tr>
      <w:tr w:rsidR="00CD55C6" w:rsidRPr="00CD55C6" w14:paraId="61D1B252" w14:textId="77777777" w:rsidTr="00CD55C6">
        <w:trPr>
          <w:tblCellSpacing w:w="15" w:type="dxa"/>
        </w:trPr>
        <w:tc>
          <w:tcPr>
            <w:tcW w:w="0" w:type="auto"/>
            <w:vAlign w:val="center"/>
            <w:hideMark/>
          </w:tcPr>
          <w:p w14:paraId="569E42D9" w14:textId="77777777" w:rsidR="00CD55C6" w:rsidRPr="00CD55C6" w:rsidRDefault="00CD55C6" w:rsidP="00CD55C6">
            <w:r w:rsidRPr="00CD55C6">
              <w:t>Branch Code/Region</w:t>
            </w:r>
          </w:p>
        </w:tc>
        <w:tc>
          <w:tcPr>
            <w:tcW w:w="0" w:type="auto"/>
            <w:vAlign w:val="center"/>
            <w:hideMark/>
          </w:tcPr>
          <w:p w14:paraId="10776E54" w14:textId="77777777" w:rsidR="00CD55C6" w:rsidRPr="00CD55C6" w:rsidRDefault="00CD55C6" w:rsidP="00CD55C6">
            <w:r w:rsidRPr="00CD55C6">
              <w:t>For regional performance monitoring.</w:t>
            </w:r>
          </w:p>
        </w:tc>
        <w:tc>
          <w:tcPr>
            <w:tcW w:w="0" w:type="auto"/>
            <w:vAlign w:val="center"/>
            <w:hideMark/>
          </w:tcPr>
          <w:p w14:paraId="50D04AC8" w14:textId="77777777" w:rsidR="00CD55C6" w:rsidRPr="00CD55C6" w:rsidRDefault="00CD55C6" w:rsidP="00CD55C6">
            <w:r w:rsidRPr="00CD55C6">
              <w:t>Operational consistency, hotspot identification.</w:t>
            </w:r>
          </w:p>
        </w:tc>
      </w:tr>
    </w:tbl>
    <w:p w14:paraId="44B2E18F" w14:textId="77777777" w:rsidR="00CD55C6" w:rsidRPr="00CD55C6" w:rsidRDefault="00CD55C6" w:rsidP="00CD55C6">
      <w:r w:rsidRPr="00CD55C6">
        <w:pict w14:anchorId="2480C669">
          <v:rect id="_x0000_i1062" style="width:0;height:1.5pt" o:hralign="center" o:hrstd="t" o:hr="t" fillcolor="#a0a0a0" stroked="f"/>
        </w:pict>
      </w:r>
    </w:p>
    <w:p w14:paraId="4BE6B800" w14:textId="77777777" w:rsidR="00CD55C6" w:rsidRDefault="00CD55C6" w:rsidP="00CD55C6">
      <w:pPr>
        <w:rPr>
          <w:b/>
          <w:bCs/>
        </w:rPr>
      </w:pPr>
    </w:p>
    <w:p w14:paraId="0F315E14" w14:textId="77777777" w:rsidR="00CD55C6" w:rsidRDefault="00CD55C6" w:rsidP="00CD55C6">
      <w:pPr>
        <w:rPr>
          <w:b/>
          <w:bCs/>
        </w:rPr>
      </w:pPr>
    </w:p>
    <w:p w14:paraId="49296366" w14:textId="77777777" w:rsidR="00CD55C6" w:rsidRDefault="00CD55C6" w:rsidP="00CD55C6">
      <w:pPr>
        <w:rPr>
          <w:b/>
          <w:bCs/>
        </w:rPr>
      </w:pPr>
    </w:p>
    <w:p w14:paraId="1D8408C3" w14:textId="73F2EADF" w:rsidR="00CD55C6" w:rsidRPr="00CD55C6" w:rsidRDefault="00CD55C6" w:rsidP="00CD55C6">
      <w:pPr>
        <w:rPr>
          <w:b/>
          <w:bCs/>
        </w:rPr>
      </w:pPr>
      <w:r w:rsidRPr="00CD55C6">
        <w:rPr>
          <w:b/>
          <w:bCs/>
        </w:rPr>
        <w:t>5. Key Metrics and Formulas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9"/>
        <w:gridCol w:w="4326"/>
        <w:gridCol w:w="1701"/>
      </w:tblGrid>
      <w:tr w:rsidR="00CD55C6" w:rsidRPr="00CD55C6" w14:paraId="249BD3E9" w14:textId="77777777" w:rsidTr="00CD55C6">
        <w:trPr>
          <w:tblHeader/>
          <w:tblCellSpacing w:w="15" w:type="dxa"/>
        </w:trPr>
        <w:tc>
          <w:tcPr>
            <w:tcW w:w="0" w:type="auto"/>
            <w:vAlign w:val="center"/>
            <w:hideMark/>
          </w:tcPr>
          <w:p w14:paraId="6D50E433" w14:textId="77777777" w:rsidR="00CD55C6" w:rsidRPr="00CD55C6" w:rsidRDefault="00CD55C6" w:rsidP="00CD55C6">
            <w:pPr>
              <w:rPr>
                <w:b/>
                <w:bCs/>
              </w:rPr>
            </w:pPr>
            <w:r w:rsidRPr="00CD55C6">
              <w:rPr>
                <w:b/>
                <w:bCs/>
              </w:rPr>
              <w:t>Metric</w:t>
            </w:r>
          </w:p>
        </w:tc>
        <w:tc>
          <w:tcPr>
            <w:tcW w:w="0" w:type="auto"/>
            <w:vAlign w:val="center"/>
            <w:hideMark/>
          </w:tcPr>
          <w:p w14:paraId="534F5DAE" w14:textId="77777777" w:rsidR="00CD55C6" w:rsidRPr="00CD55C6" w:rsidRDefault="00CD55C6" w:rsidP="00CD55C6">
            <w:pPr>
              <w:rPr>
                <w:b/>
                <w:bCs/>
              </w:rPr>
            </w:pPr>
            <w:r w:rsidRPr="00CD55C6">
              <w:rPr>
                <w:b/>
                <w:bCs/>
              </w:rPr>
              <w:t>Formula</w:t>
            </w:r>
          </w:p>
        </w:tc>
        <w:tc>
          <w:tcPr>
            <w:tcW w:w="0" w:type="auto"/>
            <w:vAlign w:val="center"/>
            <w:hideMark/>
          </w:tcPr>
          <w:p w14:paraId="26C9BE72" w14:textId="77777777" w:rsidR="00CD55C6" w:rsidRPr="00CD55C6" w:rsidRDefault="00CD55C6" w:rsidP="00CD55C6">
            <w:pPr>
              <w:rPr>
                <w:b/>
                <w:bCs/>
              </w:rPr>
            </w:pPr>
            <w:r w:rsidRPr="00CD55C6">
              <w:rPr>
                <w:b/>
                <w:bCs/>
              </w:rPr>
              <w:t>Target</w:t>
            </w:r>
          </w:p>
        </w:tc>
      </w:tr>
      <w:tr w:rsidR="00CD55C6" w:rsidRPr="00CD55C6" w14:paraId="1E5E5090" w14:textId="77777777" w:rsidTr="00CD55C6">
        <w:trPr>
          <w:tblCellSpacing w:w="15" w:type="dxa"/>
        </w:trPr>
        <w:tc>
          <w:tcPr>
            <w:tcW w:w="0" w:type="auto"/>
            <w:vAlign w:val="center"/>
            <w:hideMark/>
          </w:tcPr>
          <w:p w14:paraId="091D69D7" w14:textId="77777777" w:rsidR="00CD55C6" w:rsidRPr="00CD55C6" w:rsidRDefault="00CD55C6" w:rsidP="00CD55C6">
            <w:r w:rsidRPr="00CD55C6">
              <w:rPr>
                <w:b/>
                <w:bCs/>
              </w:rPr>
              <w:t>True Positive Rate</w:t>
            </w:r>
          </w:p>
        </w:tc>
        <w:tc>
          <w:tcPr>
            <w:tcW w:w="0" w:type="auto"/>
            <w:vAlign w:val="center"/>
            <w:hideMark/>
          </w:tcPr>
          <w:p w14:paraId="48720890" w14:textId="77777777" w:rsidR="00CD55C6" w:rsidRPr="00CD55C6" w:rsidRDefault="00CD55C6" w:rsidP="00CD55C6">
            <w:r w:rsidRPr="00CD55C6">
              <w:t>TPR = TP / (TP + FN)</w:t>
            </w:r>
          </w:p>
        </w:tc>
        <w:tc>
          <w:tcPr>
            <w:tcW w:w="0" w:type="auto"/>
            <w:vAlign w:val="center"/>
            <w:hideMark/>
          </w:tcPr>
          <w:p w14:paraId="59BF63A3" w14:textId="77777777" w:rsidR="00CD55C6" w:rsidRPr="00CD55C6" w:rsidRDefault="00CD55C6" w:rsidP="00CD55C6">
            <w:r w:rsidRPr="00CD55C6">
              <w:t>&gt; 70%</w:t>
            </w:r>
          </w:p>
        </w:tc>
      </w:tr>
      <w:tr w:rsidR="00CD55C6" w:rsidRPr="00CD55C6" w14:paraId="542C6645" w14:textId="77777777" w:rsidTr="00CD55C6">
        <w:trPr>
          <w:tblCellSpacing w:w="15" w:type="dxa"/>
        </w:trPr>
        <w:tc>
          <w:tcPr>
            <w:tcW w:w="0" w:type="auto"/>
            <w:vAlign w:val="center"/>
            <w:hideMark/>
          </w:tcPr>
          <w:p w14:paraId="234570D1" w14:textId="77777777" w:rsidR="00CD55C6" w:rsidRPr="00CD55C6" w:rsidRDefault="00CD55C6" w:rsidP="00CD55C6">
            <w:r w:rsidRPr="00CD55C6">
              <w:rPr>
                <w:b/>
                <w:bCs/>
              </w:rPr>
              <w:t>False Positive Rate</w:t>
            </w:r>
          </w:p>
        </w:tc>
        <w:tc>
          <w:tcPr>
            <w:tcW w:w="0" w:type="auto"/>
            <w:vAlign w:val="center"/>
            <w:hideMark/>
          </w:tcPr>
          <w:p w14:paraId="3A05C6DC" w14:textId="77777777" w:rsidR="00CD55C6" w:rsidRPr="00CD55C6" w:rsidRDefault="00CD55C6" w:rsidP="00CD55C6">
            <w:r w:rsidRPr="00CD55C6">
              <w:t>FPR = FP / (FP + TN)</w:t>
            </w:r>
          </w:p>
        </w:tc>
        <w:tc>
          <w:tcPr>
            <w:tcW w:w="0" w:type="auto"/>
            <w:vAlign w:val="center"/>
            <w:hideMark/>
          </w:tcPr>
          <w:p w14:paraId="0AAAC3F6" w14:textId="77777777" w:rsidR="00CD55C6" w:rsidRPr="00CD55C6" w:rsidRDefault="00CD55C6" w:rsidP="00CD55C6">
            <w:r w:rsidRPr="00CD55C6">
              <w:t>&lt; 5%</w:t>
            </w:r>
          </w:p>
        </w:tc>
      </w:tr>
      <w:tr w:rsidR="00CD55C6" w:rsidRPr="00CD55C6" w14:paraId="522B534B" w14:textId="77777777" w:rsidTr="00CD55C6">
        <w:trPr>
          <w:tblCellSpacing w:w="15" w:type="dxa"/>
        </w:trPr>
        <w:tc>
          <w:tcPr>
            <w:tcW w:w="0" w:type="auto"/>
            <w:vAlign w:val="center"/>
            <w:hideMark/>
          </w:tcPr>
          <w:p w14:paraId="465C3DDB" w14:textId="77777777" w:rsidR="00CD55C6" w:rsidRPr="00CD55C6" w:rsidRDefault="00CD55C6" w:rsidP="00CD55C6">
            <w:r w:rsidRPr="00CD55C6">
              <w:rPr>
                <w:b/>
                <w:bCs/>
              </w:rPr>
              <w:t>Approval Rate</w:t>
            </w:r>
          </w:p>
        </w:tc>
        <w:tc>
          <w:tcPr>
            <w:tcW w:w="0" w:type="auto"/>
            <w:vAlign w:val="center"/>
            <w:hideMark/>
          </w:tcPr>
          <w:p w14:paraId="5BBDDDC3" w14:textId="77777777" w:rsidR="00CD55C6" w:rsidRPr="00CD55C6" w:rsidRDefault="00CD55C6" w:rsidP="00CD55C6">
            <w:r w:rsidRPr="00CD55C6">
              <w:t>Approved Applications / Total Applications</w:t>
            </w:r>
          </w:p>
        </w:tc>
        <w:tc>
          <w:tcPr>
            <w:tcW w:w="0" w:type="auto"/>
            <w:vAlign w:val="center"/>
            <w:hideMark/>
          </w:tcPr>
          <w:p w14:paraId="1DF16E90" w14:textId="77777777" w:rsidR="00CD55C6" w:rsidRPr="00CD55C6" w:rsidRDefault="00CD55C6" w:rsidP="00CD55C6">
            <w:r w:rsidRPr="00CD55C6">
              <w:t>Trend monitoring</w:t>
            </w:r>
          </w:p>
        </w:tc>
      </w:tr>
      <w:tr w:rsidR="00CD55C6" w:rsidRPr="00CD55C6" w14:paraId="180F7997" w14:textId="77777777" w:rsidTr="00CD55C6">
        <w:trPr>
          <w:tblCellSpacing w:w="15" w:type="dxa"/>
        </w:trPr>
        <w:tc>
          <w:tcPr>
            <w:tcW w:w="0" w:type="auto"/>
            <w:vAlign w:val="center"/>
            <w:hideMark/>
          </w:tcPr>
          <w:p w14:paraId="63273AF0" w14:textId="77777777" w:rsidR="00CD55C6" w:rsidRPr="00CD55C6" w:rsidRDefault="00CD55C6" w:rsidP="00CD55C6">
            <w:r w:rsidRPr="00CD55C6">
              <w:rPr>
                <w:b/>
                <w:bCs/>
              </w:rPr>
              <w:t>Fraud Rate by Band</w:t>
            </w:r>
          </w:p>
        </w:tc>
        <w:tc>
          <w:tcPr>
            <w:tcW w:w="0" w:type="auto"/>
            <w:vAlign w:val="center"/>
            <w:hideMark/>
          </w:tcPr>
          <w:p w14:paraId="730CE918" w14:textId="77777777" w:rsidR="00CD55C6" w:rsidRPr="00CD55C6" w:rsidRDefault="00CD55C6" w:rsidP="00CD55C6">
            <w:r w:rsidRPr="00CD55C6">
              <w:t>Fraud Cases in Band / Total Applications in Band</w:t>
            </w:r>
          </w:p>
        </w:tc>
        <w:tc>
          <w:tcPr>
            <w:tcW w:w="0" w:type="auto"/>
            <w:vAlign w:val="center"/>
            <w:hideMark/>
          </w:tcPr>
          <w:p w14:paraId="51572ABD" w14:textId="77777777" w:rsidR="00CD55C6" w:rsidRPr="00CD55C6" w:rsidRDefault="00CD55C6" w:rsidP="00CD55C6">
            <w:r w:rsidRPr="00CD55C6">
              <w:t>Band-specific</w:t>
            </w:r>
          </w:p>
        </w:tc>
      </w:tr>
      <w:tr w:rsidR="00CD55C6" w:rsidRPr="00CD55C6" w14:paraId="5F5F87CF" w14:textId="77777777" w:rsidTr="00CD55C6">
        <w:trPr>
          <w:tblCellSpacing w:w="15" w:type="dxa"/>
        </w:trPr>
        <w:tc>
          <w:tcPr>
            <w:tcW w:w="0" w:type="auto"/>
            <w:vAlign w:val="center"/>
            <w:hideMark/>
          </w:tcPr>
          <w:p w14:paraId="24B86309" w14:textId="77777777" w:rsidR="00CD55C6" w:rsidRPr="00CD55C6" w:rsidRDefault="00CD55C6" w:rsidP="00CD55C6">
            <w:r w:rsidRPr="00CD55C6">
              <w:rPr>
                <w:b/>
                <w:bCs/>
              </w:rPr>
              <w:t>False Decline Rate</w:t>
            </w:r>
          </w:p>
        </w:tc>
        <w:tc>
          <w:tcPr>
            <w:tcW w:w="0" w:type="auto"/>
            <w:vAlign w:val="center"/>
            <w:hideMark/>
          </w:tcPr>
          <w:p w14:paraId="50BC0731" w14:textId="77777777" w:rsidR="00CD55C6" w:rsidRPr="00CD55C6" w:rsidRDefault="00CD55C6" w:rsidP="00CD55C6">
            <w:r w:rsidRPr="00CD55C6">
              <w:t>FP / (FP + TN + FP)</w:t>
            </w:r>
          </w:p>
        </w:tc>
        <w:tc>
          <w:tcPr>
            <w:tcW w:w="0" w:type="auto"/>
            <w:vAlign w:val="center"/>
            <w:hideMark/>
          </w:tcPr>
          <w:p w14:paraId="586CC21C" w14:textId="77777777" w:rsidR="00CD55C6" w:rsidRPr="00CD55C6" w:rsidRDefault="00CD55C6" w:rsidP="00CD55C6">
            <w:r w:rsidRPr="00CD55C6">
              <w:t>&lt; 2–3%</w:t>
            </w:r>
          </w:p>
        </w:tc>
      </w:tr>
      <w:tr w:rsidR="00CD55C6" w:rsidRPr="00CD55C6" w14:paraId="1532FCE0" w14:textId="77777777" w:rsidTr="00CD55C6">
        <w:trPr>
          <w:tblCellSpacing w:w="15" w:type="dxa"/>
        </w:trPr>
        <w:tc>
          <w:tcPr>
            <w:tcW w:w="0" w:type="auto"/>
            <w:vAlign w:val="center"/>
            <w:hideMark/>
          </w:tcPr>
          <w:p w14:paraId="6EE9EFA8" w14:textId="77777777" w:rsidR="00CD55C6" w:rsidRPr="00CD55C6" w:rsidRDefault="00CD55C6" w:rsidP="00CD55C6">
            <w:r w:rsidRPr="00CD55C6">
              <w:rPr>
                <w:b/>
                <w:bCs/>
              </w:rPr>
              <w:t>Population Stability Index (PSI)</w:t>
            </w:r>
          </w:p>
        </w:tc>
        <w:tc>
          <w:tcPr>
            <w:tcW w:w="0" w:type="auto"/>
            <w:vAlign w:val="center"/>
            <w:hideMark/>
          </w:tcPr>
          <w:p w14:paraId="1F9BE99C" w14:textId="77777777" w:rsidR="00CD55C6" w:rsidRPr="00CD55C6" w:rsidRDefault="00CD55C6" w:rsidP="00CD55C6">
            <w:r w:rsidRPr="00CD55C6">
              <w:t xml:space="preserve">PSI = Σ [(Mon% - Dev%) × </w:t>
            </w:r>
            <w:proofErr w:type="gramStart"/>
            <w:r w:rsidRPr="00CD55C6">
              <w:t>ln(</w:t>
            </w:r>
            <w:proofErr w:type="gramEnd"/>
            <w:r w:rsidRPr="00CD55C6">
              <w:t>Mon% / Dev%)]</w:t>
            </w:r>
          </w:p>
        </w:tc>
        <w:tc>
          <w:tcPr>
            <w:tcW w:w="0" w:type="auto"/>
            <w:vAlign w:val="center"/>
            <w:hideMark/>
          </w:tcPr>
          <w:p w14:paraId="3B5DB69A" w14:textId="77777777" w:rsidR="00CD55C6" w:rsidRPr="00CD55C6" w:rsidRDefault="00CD55C6" w:rsidP="00CD55C6">
            <w:r w:rsidRPr="00CD55C6">
              <w:t>&lt; 0.10 (stable)</w:t>
            </w:r>
          </w:p>
        </w:tc>
      </w:tr>
    </w:tbl>
    <w:p w14:paraId="601BE96D" w14:textId="77777777" w:rsidR="00CD55C6" w:rsidRPr="00CD55C6" w:rsidRDefault="00CD55C6" w:rsidP="00CD55C6">
      <w:r w:rsidRPr="00CD55C6">
        <w:pict w14:anchorId="7B4863E9">
          <v:rect id="_x0000_i1063" style="width:0;height:1.5pt" o:hralign="center" o:hrstd="t" o:hr="t" fillcolor="#a0a0a0" stroked="f"/>
        </w:pict>
      </w:r>
    </w:p>
    <w:p w14:paraId="34A730AE" w14:textId="77777777" w:rsidR="001B5EFB" w:rsidRPr="0095504D" w:rsidRDefault="001B5EFB" w:rsidP="0095504D"/>
    <w:p w14:paraId="73D2EA80" w14:textId="4CB9A7DF" w:rsidR="0095504D" w:rsidRDefault="00C761D7" w:rsidP="0095504D">
      <w:r w:rsidRPr="00C761D7">
        <w:rPr>
          <w:noProof/>
        </w:rPr>
        <w:drawing>
          <wp:inline distT="0" distB="0" distL="0" distR="0" wp14:anchorId="6ED87E3F" wp14:editId="10E0E060">
            <wp:extent cx="6165099" cy="1155700"/>
            <wp:effectExtent l="0" t="0" r="7620" b="6350"/>
            <wp:docPr id="16315603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8634" cy="1158237"/>
                    </a:xfrm>
                    <a:prstGeom prst="rect">
                      <a:avLst/>
                    </a:prstGeom>
                    <a:noFill/>
                    <a:ln>
                      <a:noFill/>
                    </a:ln>
                  </pic:spPr>
                </pic:pic>
              </a:graphicData>
            </a:graphic>
          </wp:inline>
        </w:drawing>
      </w:r>
    </w:p>
    <w:p w14:paraId="79F13C2B" w14:textId="2E1811E5" w:rsidR="0095504D" w:rsidRDefault="00C761D7" w:rsidP="0095504D">
      <w:r w:rsidRPr="00C761D7">
        <w:rPr>
          <w:noProof/>
        </w:rPr>
        <w:drawing>
          <wp:inline distT="0" distB="0" distL="0" distR="0" wp14:anchorId="74FB8BAB" wp14:editId="1E7248B1">
            <wp:extent cx="6203950" cy="1479550"/>
            <wp:effectExtent l="0" t="0" r="6350" b="6350"/>
            <wp:docPr id="19102087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0" cy="1479550"/>
                    </a:xfrm>
                    <a:prstGeom prst="rect">
                      <a:avLst/>
                    </a:prstGeom>
                    <a:noFill/>
                    <a:ln>
                      <a:noFill/>
                    </a:ln>
                  </pic:spPr>
                </pic:pic>
              </a:graphicData>
            </a:graphic>
          </wp:inline>
        </w:drawing>
      </w:r>
    </w:p>
    <w:p w14:paraId="7811E4A4" w14:textId="049B2849" w:rsidR="0095504D" w:rsidRPr="0095504D" w:rsidRDefault="0095504D" w:rsidP="0095504D">
      <w:pPr>
        <w:rPr>
          <w:b/>
          <w:bCs/>
        </w:rPr>
      </w:pPr>
      <w:r w:rsidRPr="0095504D">
        <w:rPr>
          <w:b/>
          <w:bCs/>
        </w:rPr>
        <w:t>7. Governance and Reporting</w:t>
      </w:r>
    </w:p>
    <w:p w14:paraId="617D5E7D" w14:textId="77777777" w:rsidR="0095504D" w:rsidRPr="0095504D" w:rsidRDefault="0095504D" w:rsidP="0095504D">
      <w:pPr>
        <w:numPr>
          <w:ilvl w:val="0"/>
          <w:numId w:val="5"/>
        </w:numPr>
      </w:pPr>
      <w:r w:rsidRPr="0095504D">
        <w:rPr>
          <w:b/>
          <w:bCs/>
        </w:rPr>
        <w:t>Frequency:</w:t>
      </w:r>
      <w:r w:rsidRPr="0095504D">
        <w:t xml:space="preserve"> Monthly monitoring, with quarterly deep dives</w:t>
      </w:r>
    </w:p>
    <w:p w14:paraId="219EC571" w14:textId="77777777" w:rsidR="0095504D" w:rsidRPr="0095504D" w:rsidRDefault="0095504D" w:rsidP="0095504D">
      <w:pPr>
        <w:numPr>
          <w:ilvl w:val="0"/>
          <w:numId w:val="5"/>
        </w:numPr>
      </w:pPr>
      <w:r w:rsidRPr="0095504D">
        <w:rPr>
          <w:b/>
          <w:bCs/>
        </w:rPr>
        <w:t>Ownership:</w:t>
      </w:r>
      <w:r w:rsidRPr="0095504D">
        <w:t xml:space="preserve"> Fraud Analytics / Model Risk / Risk Strategy Team</w:t>
      </w:r>
    </w:p>
    <w:p w14:paraId="63094655" w14:textId="77777777" w:rsidR="0095504D" w:rsidRPr="0095504D" w:rsidRDefault="0095504D" w:rsidP="0095504D">
      <w:pPr>
        <w:numPr>
          <w:ilvl w:val="0"/>
          <w:numId w:val="5"/>
        </w:numPr>
      </w:pPr>
      <w:r w:rsidRPr="0095504D">
        <w:rPr>
          <w:b/>
          <w:bCs/>
        </w:rPr>
        <w:t>Escalation Criteria:</w:t>
      </w:r>
    </w:p>
    <w:p w14:paraId="75DC1340" w14:textId="77777777" w:rsidR="0095504D" w:rsidRPr="0095504D" w:rsidRDefault="0095504D" w:rsidP="0095504D">
      <w:pPr>
        <w:numPr>
          <w:ilvl w:val="1"/>
          <w:numId w:val="5"/>
        </w:numPr>
      </w:pPr>
      <w:r w:rsidRPr="0095504D">
        <w:t>TPR &lt; 70% for two consecutive periods</w:t>
      </w:r>
    </w:p>
    <w:p w14:paraId="16DB7F6E" w14:textId="77777777" w:rsidR="0095504D" w:rsidRPr="0095504D" w:rsidRDefault="0095504D" w:rsidP="0095504D">
      <w:pPr>
        <w:numPr>
          <w:ilvl w:val="1"/>
          <w:numId w:val="5"/>
        </w:numPr>
      </w:pPr>
      <w:r w:rsidRPr="0095504D">
        <w:t>PSI &gt; 0.25 in any score segment</w:t>
      </w:r>
    </w:p>
    <w:p w14:paraId="7DB45821" w14:textId="77777777" w:rsidR="0095504D" w:rsidRPr="0095504D" w:rsidRDefault="0095504D" w:rsidP="0095504D">
      <w:pPr>
        <w:numPr>
          <w:ilvl w:val="1"/>
          <w:numId w:val="5"/>
        </w:numPr>
      </w:pPr>
      <w:r w:rsidRPr="0095504D">
        <w:t xml:space="preserve">Sudden </w:t>
      </w:r>
      <w:proofErr w:type="gramStart"/>
      <w:r w:rsidRPr="0095504D">
        <w:t>drop in</w:t>
      </w:r>
      <w:proofErr w:type="gramEnd"/>
      <w:r w:rsidRPr="0095504D">
        <w:t xml:space="preserve"> approval rates without policy change</w:t>
      </w:r>
    </w:p>
    <w:p w14:paraId="0AA5DA89" w14:textId="77777777" w:rsidR="0095504D" w:rsidRPr="0095504D" w:rsidRDefault="0095504D" w:rsidP="0095504D">
      <w:pPr>
        <w:numPr>
          <w:ilvl w:val="0"/>
          <w:numId w:val="5"/>
        </w:numPr>
      </w:pPr>
      <w:r w:rsidRPr="0095504D">
        <w:rPr>
          <w:b/>
          <w:bCs/>
        </w:rPr>
        <w:t>Review Forum:</w:t>
      </w:r>
      <w:r w:rsidRPr="0095504D">
        <w:t xml:space="preserve"> Monthly risk governance forum with Retail Ops, Fraud Strategy, and Compliance</w:t>
      </w:r>
    </w:p>
    <w:p w14:paraId="6FE49754" w14:textId="77777777" w:rsidR="0095504D" w:rsidRDefault="0095504D" w:rsidP="0095504D"/>
    <w:sectPr w:rsidR="00955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3D5D"/>
    <w:multiLevelType w:val="multilevel"/>
    <w:tmpl w:val="D824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43D9A"/>
    <w:multiLevelType w:val="multilevel"/>
    <w:tmpl w:val="179AC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4009F"/>
    <w:multiLevelType w:val="multilevel"/>
    <w:tmpl w:val="14D8E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1C32B5"/>
    <w:multiLevelType w:val="multilevel"/>
    <w:tmpl w:val="262C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BC414D"/>
    <w:multiLevelType w:val="multilevel"/>
    <w:tmpl w:val="D6D8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844901">
    <w:abstractNumId w:val="4"/>
  </w:num>
  <w:num w:numId="2" w16cid:durableId="711347795">
    <w:abstractNumId w:val="3"/>
  </w:num>
  <w:num w:numId="3" w16cid:durableId="1540849165">
    <w:abstractNumId w:val="1"/>
  </w:num>
  <w:num w:numId="4" w16cid:durableId="111369643">
    <w:abstractNumId w:val="0"/>
  </w:num>
  <w:num w:numId="5" w16cid:durableId="493111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4D"/>
    <w:rsid w:val="001B5EFB"/>
    <w:rsid w:val="00224517"/>
    <w:rsid w:val="006505A9"/>
    <w:rsid w:val="007A2101"/>
    <w:rsid w:val="0095504D"/>
    <w:rsid w:val="00AC4D67"/>
    <w:rsid w:val="00BA0BBC"/>
    <w:rsid w:val="00C761D7"/>
    <w:rsid w:val="00CD55C6"/>
    <w:rsid w:val="00EA7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9566E85"/>
  <w15:chartTrackingRefBased/>
  <w15:docId w15:val="{5AB3A804-39BA-4282-AFC1-F7F9B99D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0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0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0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0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0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0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0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0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0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0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0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0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0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0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0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0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0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04D"/>
    <w:rPr>
      <w:rFonts w:eastAsiaTheme="majorEastAsia" w:cstheme="majorBidi"/>
      <w:color w:val="272727" w:themeColor="text1" w:themeTint="D8"/>
    </w:rPr>
  </w:style>
  <w:style w:type="paragraph" w:styleId="Title">
    <w:name w:val="Title"/>
    <w:basedOn w:val="Normal"/>
    <w:next w:val="Normal"/>
    <w:link w:val="TitleChar"/>
    <w:uiPriority w:val="10"/>
    <w:qFormat/>
    <w:rsid w:val="009550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0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0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0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04D"/>
    <w:pPr>
      <w:spacing w:before="160"/>
      <w:jc w:val="center"/>
    </w:pPr>
    <w:rPr>
      <w:i/>
      <w:iCs/>
      <w:color w:val="404040" w:themeColor="text1" w:themeTint="BF"/>
    </w:rPr>
  </w:style>
  <w:style w:type="character" w:customStyle="1" w:styleId="QuoteChar">
    <w:name w:val="Quote Char"/>
    <w:basedOn w:val="DefaultParagraphFont"/>
    <w:link w:val="Quote"/>
    <w:uiPriority w:val="29"/>
    <w:rsid w:val="0095504D"/>
    <w:rPr>
      <w:i/>
      <w:iCs/>
      <w:color w:val="404040" w:themeColor="text1" w:themeTint="BF"/>
    </w:rPr>
  </w:style>
  <w:style w:type="paragraph" w:styleId="ListParagraph">
    <w:name w:val="List Paragraph"/>
    <w:basedOn w:val="Normal"/>
    <w:uiPriority w:val="34"/>
    <w:qFormat/>
    <w:rsid w:val="0095504D"/>
    <w:pPr>
      <w:ind w:left="720"/>
      <w:contextualSpacing/>
    </w:pPr>
  </w:style>
  <w:style w:type="character" w:styleId="IntenseEmphasis">
    <w:name w:val="Intense Emphasis"/>
    <w:basedOn w:val="DefaultParagraphFont"/>
    <w:uiPriority w:val="21"/>
    <w:qFormat/>
    <w:rsid w:val="0095504D"/>
    <w:rPr>
      <w:i/>
      <w:iCs/>
      <w:color w:val="0F4761" w:themeColor="accent1" w:themeShade="BF"/>
    </w:rPr>
  </w:style>
  <w:style w:type="paragraph" w:styleId="IntenseQuote">
    <w:name w:val="Intense Quote"/>
    <w:basedOn w:val="Normal"/>
    <w:next w:val="Normal"/>
    <w:link w:val="IntenseQuoteChar"/>
    <w:uiPriority w:val="30"/>
    <w:qFormat/>
    <w:rsid w:val="009550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04D"/>
    <w:rPr>
      <w:i/>
      <w:iCs/>
      <w:color w:val="0F4761" w:themeColor="accent1" w:themeShade="BF"/>
    </w:rPr>
  </w:style>
  <w:style w:type="character" w:styleId="IntenseReference">
    <w:name w:val="Intense Reference"/>
    <w:basedOn w:val="DefaultParagraphFont"/>
    <w:uiPriority w:val="32"/>
    <w:qFormat/>
    <w:rsid w:val="0095504D"/>
    <w:rPr>
      <w:b/>
      <w:bCs/>
      <w:smallCaps/>
      <w:color w:val="0F4761" w:themeColor="accent1" w:themeShade="BF"/>
      <w:spacing w:val="5"/>
    </w:rPr>
  </w:style>
  <w:style w:type="table" w:styleId="TableGrid">
    <w:name w:val="Table Grid"/>
    <w:basedOn w:val="TableNormal"/>
    <w:uiPriority w:val="39"/>
    <w:rsid w:val="0095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69704">
      <w:bodyDiv w:val="1"/>
      <w:marLeft w:val="0"/>
      <w:marRight w:val="0"/>
      <w:marTop w:val="0"/>
      <w:marBottom w:val="0"/>
      <w:divBdr>
        <w:top w:val="none" w:sz="0" w:space="0" w:color="auto"/>
        <w:left w:val="none" w:sz="0" w:space="0" w:color="auto"/>
        <w:bottom w:val="none" w:sz="0" w:space="0" w:color="auto"/>
        <w:right w:val="none" w:sz="0" w:space="0" w:color="auto"/>
      </w:divBdr>
      <w:divsChild>
        <w:div w:id="1819682712">
          <w:marLeft w:val="0"/>
          <w:marRight w:val="0"/>
          <w:marTop w:val="0"/>
          <w:marBottom w:val="0"/>
          <w:divBdr>
            <w:top w:val="none" w:sz="0" w:space="0" w:color="auto"/>
            <w:left w:val="none" w:sz="0" w:space="0" w:color="auto"/>
            <w:bottom w:val="none" w:sz="0" w:space="0" w:color="auto"/>
            <w:right w:val="none" w:sz="0" w:space="0" w:color="auto"/>
          </w:divBdr>
          <w:divsChild>
            <w:div w:id="86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6446">
      <w:bodyDiv w:val="1"/>
      <w:marLeft w:val="0"/>
      <w:marRight w:val="0"/>
      <w:marTop w:val="0"/>
      <w:marBottom w:val="0"/>
      <w:divBdr>
        <w:top w:val="none" w:sz="0" w:space="0" w:color="auto"/>
        <w:left w:val="none" w:sz="0" w:space="0" w:color="auto"/>
        <w:bottom w:val="none" w:sz="0" w:space="0" w:color="auto"/>
        <w:right w:val="none" w:sz="0" w:space="0" w:color="auto"/>
      </w:divBdr>
      <w:divsChild>
        <w:div w:id="1811240476">
          <w:marLeft w:val="0"/>
          <w:marRight w:val="0"/>
          <w:marTop w:val="0"/>
          <w:marBottom w:val="0"/>
          <w:divBdr>
            <w:top w:val="none" w:sz="0" w:space="0" w:color="auto"/>
            <w:left w:val="none" w:sz="0" w:space="0" w:color="auto"/>
            <w:bottom w:val="none" w:sz="0" w:space="0" w:color="auto"/>
            <w:right w:val="none" w:sz="0" w:space="0" w:color="auto"/>
          </w:divBdr>
          <w:divsChild>
            <w:div w:id="1485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484">
      <w:bodyDiv w:val="1"/>
      <w:marLeft w:val="0"/>
      <w:marRight w:val="0"/>
      <w:marTop w:val="0"/>
      <w:marBottom w:val="0"/>
      <w:divBdr>
        <w:top w:val="none" w:sz="0" w:space="0" w:color="auto"/>
        <w:left w:val="none" w:sz="0" w:space="0" w:color="auto"/>
        <w:bottom w:val="none" w:sz="0" w:space="0" w:color="auto"/>
        <w:right w:val="none" w:sz="0" w:space="0" w:color="auto"/>
      </w:divBdr>
      <w:divsChild>
        <w:div w:id="52043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0941542">
      <w:bodyDiv w:val="1"/>
      <w:marLeft w:val="0"/>
      <w:marRight w:val="0"/>
      <w:marTop w:val="0"/>
      <w:marBottom w:val="0"/>
      <w:divBdr>
        <w:top w:val="none" w:sz="0" w:space="0" w:color="auto"/>
        <w:left w:val="none" w:sz="0" w:space="0" w:color="auto"/>
        <w:bottom w:val="none" w:sz="0" w:space="0" w:color="auto"/>
        <w:right w:val="none" w:sz="0" w:space="0" w:color="auto"/>
      </w:divBdr>
    </w:div>
    <w:div w:id="260072551">
      <w:bodyDiv w:val="1"/>
      <w:marLeft w:val="0"/>
      <w:marRight w:val="0"/>
      <w:marTop w:val="0"/>
      <w:marBottom w:val="0"/>
      <w:divBdr>
        <w:top w:val="none" w:sz="0" w:space="0" w:color="auto"/>
        <w:left w:val="none" w:sz="0" w:space="0" w:color="auto"/>
        <w:bottom w:val="none" w:sz="0" w:space="0" w:color="auto"/>
        <w:right w:val="none" w:sz="0" w:space="0" w:color="auto"/>
      </w:divBdr>
    </w:div>
    <w:div w:id="284195444">
      <w:bodyDiv w:val="1"/>
      <w:marLeft w:val="0"/>
      <w:marRight w:val="0"/>
      <w:marTop w:val="0"/>
      <w:marBottom w:val="0"/>
      <w:divBdr>
        <w:top w:val="none" w:sz="0" w:space="0" w:color="auto"/>
        <w:left w:val="none" w:sz="0" w:space="0" w:color="auto"/>
        <w:bottom w:val="none" w:sz="0" w:space="0" w:color="auto"/>
        <w:right w:val="none" w:sz="0" w:space="0" w:color="auto"/>
      </w:divBdr>
    </w:div>
    <w:div w:id="479150193">
      <w:bodyDiv w:val="1"/>
      <w:marLeft w:val="0"/>
      <w:marRight w:val="0"/>
      <w:marTop w:val="0"/>
      <w:marBottom w:val="0"/>
      <w:divBdr>
        <w:top w:val="none" w:sz="0" w:space="0" w:color="auto"/>
        <w:left w:val="none" w:sz="0" w:space="0" w:color="auto"/>
        <w:bottom w:val="none" w:sz="0" w:space="0" w:color="auto"/>
        <w:right w:val="none" w:sz="0" w:space="0" w:color="auto"/>
      </w:divBdr>
      <w:divsChild>
        <w:div w:id="2056805423">
          <w:marLeft w:val="0"/>
          <w:marRight w:val="0"/>
          <w:marTop w:val="0"/>
          <w:marBottom w:val="0"/>
          <w:divBdr>
            <w:top w:val="none" w:sz="0" w:space="0" w:color="auto"/>
            <w:left w:val="none" w:sz="0" w:space="0" w:color="auto"/>
            <w:bottom w:val="none" w:sz="0" w:space="0" w:color="auto"/>
            <w:right w:val="none" w:sz="0" w:space="0" w:color="auto"/>
          </w:divBdr>
          <w:divsChild>
            <w:div w:id="17006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6308">
      <w:bodyDiv w:val="1"/>
      <w:marLeft w:val="0"/>
      <w:marRight w:val="0"/>
      <w:marTop w:val="0"/>
      <w:marBottom w:val="0"/>
      <w:divBdr>
        <w:top w:val="none" w:sz="0" w:space="0" w:color="auto"/>
        <w:left w:val="none" w:sz="0" w:space="0" w:color="auto"/>
        <w:bottom w:val="none" w:sz="0" w:space="0" w:color="auto"/>
        <w:right w:val="none" w:sz="0" w:space="0" w:color="auto"/>
      </w:divBdr>
    </w:div>
    <w:div w:id="635909881">
      <w:bodyDiv w:val="1"/>
      <w:marLeft w:val="0"/>
      <w:marRight w:val="0"/>
      <w:marTop w:val="0"/>
      <w:marBottom w:val="0"/>
      <w:divBdr>
        <w:top w:val="none" w:sz="0" w:space="0" w:color="auto"/>
        <w:left w:val="none" w:sz="0" w:space="0" w:color="auto"/>
        <w:bottom w:val="none" w:sz="0" w:space="0" w:color="auto"/>
        <w:right w:val="none" w:sz="0" w:space="0" w:color="auto"/>
      </w:divBdr>
    </w:div>
    <w:div w:id="684940590">
      <w:bodyDiv w:val="1"/>
      <w:marLeft w:val="0"/>
      <w:marRight w:val="0"/>
      <w:marTop w:val="0"/>
      <w:marBottom w:val="0"/>
      <w:divBdr>
        <w:top w:val="none" w:sz="0" w:space="0" w:color="auto"/>
        <w:left w:val="none" w:sz="0" w:space="0" w:color="auto"/>
        <w:bottom w:val="none" w:sz="0" w:space="0" w:color="auto"/>
        <w:right w:val="none" w:sz="0" w:space="0" w:color="auto"/>
      </w:divBdr>
      <w:divsChild>
        <w:div w:id="1102067740">
          <w:marLeft w:val="0"/>
          <w:marRight w:val="0"/>
          <w:marTop w:val="0"/>
          <w:marBottom w:val="0"/>
          <w:divBdr>
            <w:top w:val="none" w:sz="0" w:space="0" w:color="auto"/>
            <w:left w:val="none" w:sz="0" w:space="0" w:color="auto"/>
            <w:bottom w:val="none" w:sz="0" w:space="0" w:color="auto"/>
            <w:right w:val="none" w:sz="0" w:space="0" w:color="auto"/>
          </w:divBdr>
          <w:divsChild>
            <w:div w:id="4328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4564">
      <w:bodyDiv w:val="1"/>
      <w:marLeft w:val="0"/>
      <w:marRight w:val="0"/>
      <w:marTop w:val="0"/>
      <w:marBottom w:val="0"/>
      <w:divBdr>
        <w:top w:val="none" w:sz="0" w:space="0" w:color="auto"/>
        <w:left w:val="none" w:sz="0" w:space="0" w:color="auto"/>
        <w:bottom w:val="none" w:sz="0" w:space="0" w:color="auto"/>
        <w:right w:val="none" w:sz="0" w:space="0" w:color="auto"/>
      </w:divBdr>
    </w:div>
    <w:div w:id="800224143">
      <w:bodyDiv w:val="1"/>
      <w:marLeft w:val="0"/>
      <w:marRight w:val="0"/>
      <w:marTop w:val="0"/>
      <w:marBottom w:val="0"/>
      <w:divBdr>
        <w:top w:val="none" w:sz="0" w:space="0" w:color="auto"/>
        <w:left w:val="none" w:sz="0" w:space="0" w:color="auto"/>
        <w:bottom w:val="none" w:sz="0" w:space="0" w:color="auto"/>
        <w:right w:val="none" w:sz="0" w:space="0" w:color="auto"/>
      </w:divBdr>
    </w:div>
    <w:div w:id="899563341">
      <w:bodyDiv w:val="1"/>
      <w:marLeft w:val="0"/>
      <w:marRight w:val="0"/>
      <w:marTop w:val="0"/>
      <w:marBottom w:val="0"/>
      <w:divBdr>
        <w:top w:val="none" w:sz="0" w:space="0" w:color="auto"/>
        <w:left w:val="none" w:sz="0" w:space="0" w:color="auto"/>
        <w:bottom w:val="none" w:sz="0" w:space="0" w:color="auto"/>
        <w:right w:val="none" w:sz="0" w:space="0" w:color="auto"/>
      </w:divBdr>
      <w:divsChild>
        <w:div w:id="155276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352983">
      <w:bodyDiv w:val="1"/>
      <w:marLeft w:val="0"/>
      <w:marRight w:val="0"/>
      <w:marTop w:val="0"/>
      <w:marBottom w:val="0"/>
      <w:divBdr>
        <w:top w:val="none" w:sz="0" w:space="0" w:color="auto"/>
        <w:left w:val="none" w:sz="0" w:space="0" w:color="auto"/>
        <w:bottom w:val="none" w:sz="0" w:space="0" w:color="auto"/>
        <w:right w:val="none" w:sz="0" w:space="0" w:color="auto"/>
      </w:divBdr>
      <w:divsChild>
        <w:div w:id="1318462336">
          <w:marLeft w:val="0"/>
          <w:marRight w:val="0"/>
          <w:marTop w:val="0"/>
          <w:marBottom w:val="0"/>
          <w:divBdr>
            <w:top w:val="none" w:sz="0" w:space="0" w:color="auto"/>
            <w:left w:val="none" w:sz="0" w:space="0" w:color="auto"/>
            <w:bottom w:val="none" w:sz="0" w:space="0" w:color="auto"/>
            <w:right w:val="none" w:sz="0" w:space="0" w:color="auto"/>
          </w:divBdr>
          <w:divsChild>
            <w:div w:id="1487237120">
              <w:marLeft w:val="0"/>
              <w:marRight w:val="0"/>
              <w:marTop w:val="0"/>
              <w:marBottom w:val="0"/>
              <w:divBdr>
                <w:top w:val="none" w:sz="0" w:space="0" w:color="auto"/>
                <w:left w:val="none" w:sz="0" w:space="0" w:color="auto"/>
                <w:bottom w:val="none" w:sz="0" w:space="0" w:color="auto"/>
                <w:right w:val="none" w:sz="0" w:space="0" w:color="auto"/>
              </w:divBdr>
            </w:div>
          </w:divsChild>
        </w:div>
        <w:div w:id="577985464">
          <w:marLeft w:val="0"/>
          <w:marRight w:val="0"/>
          <w:marTop w:val="0"/>
          <w:marBottom w:val="0"/>
          <w:divBdr>
            <w:top w:val="none" w:sz="0" w:space="0" w:color="auto"/>
            <w:left w:val="none" w:sz="0" w:space="0" w:color="auto"/>
            <w:bottom w:val="none" w:sz="0" w:space="0" w:color="auto"/>
            <w:right w:val="none" w:sz="0" w:space="0" w:color="auto"/>
          </w:divBdr>
          <w:divsChild>
            <w:div w:id="4449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12351">
      <w:bodyDiv w:val="1"/>
      <w:marLeft w:val="0"/>
      <w:marRight w:val="0"/>
      <w:marTop w:val="0"/>
      <w:marBottom w:val="0"/>
      <w:divBdr>
        <w:top w:val="none" w:sz="0" w:space="0" w:color="auto"/>
        <w:left w:val="none" w:sz="0" w:space="0" w:color="auto"/>
        <w:bottom w:val="none" w:sz="0" w:space="0" w:color="auto"/>
        <w:right w:val="none" w:sz="0" w:space="0" w:color="auto"/>
      </w:divBdr>
    </w:div>
    <w:div w:id="1092553934">
      <w:bodyDiv w:val="1"/>
      <w:marLeft w:val="0"/>
      <w:marRight w:val="0"/>
      <w:marTop w:val="0"/>
      <w:marBottom w:val="0"/>
      <w:divBdr>
        <w:top w:val="none" w:sz="0" w:space="0" w:color="auto"/>
        <w:left w:val="none" w:sz="0" w:space="0" w:color="auto"/>
        <w:bottom w:val="none" w:sz="0" w:space="0" w:color="auto"/>
        <w:right w:val="none" w:sz="0" w:space="0" w:color="auto"/>
      </w:divBdr>
    </w:div>
    <w:div w:id="1248854564">
      <w:bodyDiv w:val="1"/>
      <w:marLeft w:val="0"/>
      <w:marRight w:val="0"/>
      <w:marTop w:val="0"/>
      <w:marBottom w:val="0"/>
      <w:divBdr>
        <w:top w:val="none" w:sz="0" w:space="0" w:color="auto"/>
        <w:left w:val="none" w:sz="0" w:space="0" w:color="auto"/>
        <w:bottom w:val="none" w:sz="0" w:space="0" w:color="auto"/>
        <w:right w:val="none" w:sz="0" w:space="0" w:color="auto"/>
      </w:divBdr>
    </w:div>
    <w:div w:id="1335382392">
      <w:bodyDiv w:val="1"/>
      <w:marLeft w:val="0"/>
      <w:marRight w:val="0"/>
      <w:marTop w:val="0"/>
      <w:marBottom w:val="0"/>
      <w:divBdr>
        <w:top w:val="none" w:sz="0" w:space="0" w:color="auto"/>
        <w:left w:val="none" w:sz="0" w:space="0" w:color="auto"/>
        <w:bottom w:val="none" w:sz="0" w:space="0" w:color="auto"/>
        <w:right w:val="none" w:sz="0" w:space="0" w:color="auto"/>
      </w:divBdr>
    </w:div>
    <w:div w:id="1487937006">
      <w:bodyDiv w:val="1"/>
      <w:marLeft w:val="0"/>
      <w:marRight w:val="0"/>
      <w:marTop w:val="0"/>
      <w:marBottom w:val="0"/>
      <w:divBdr>
        <w:top w:val="none" w:sz="0" w:space="0" w:color="auto"/>
        <w:left w:val="none" w:sz="0" w:space="0" w:color="auto"/>
        <w:bottom w:val="none" w:sz="0" w:space="0" w:color="auto"/>
        <w:right w:val="none" w:sz="0" w:space="0" w:color="auto"/>
      </w:divBdr>
    </w:div>
    <w:div w:id="1526215518">
      <w:bodyDiv w:val="1"/>
      <w:marLeft w:val="0"/>
      <w:marRight w:val="0"/>
      <w:marTop w:val="0"/>
      <w:marBottom w:val="0"/>
      <w:divBdr>
        <w:top w:val="none" w:sz="0" w:space="0" w:color="auto"/>
        <w:left w:val="none" w:sz="0" w:space="0" w:color="auto"/>
        <w:bottom w:val="none" w:sz="0" w:space="0" w:color="auto"/>
        <w:right w:val="none" w:sz="0" w:space="0" w:color="auto"/>
      </w:divBdr>
    </w:div>
    <w:div w:id="1567034935">
      <w:bodyDiv w:val="1"/>
      <w:marLeft w:val="0"/>
      <w:marRight w:val="0"/>
      <w:marTop w:val="0"/>
      <w:marBottom w:val="0"/>
      <w:divBdr>
        <w:top w:val="none" w:sz="0" w:space="0" w:color="auto"/>
        <w:left w:val="none" w:sz="0" w:space="0" w:color="auto"/>
        <w:bottom w:val="none" w:sz="0" w:space="0" w:color="auto"/>
        <w:right w:val="none" w:sz="0" w:space="0" w:color="auto"/>
      </w:divBdr>
    </w:div>
    <w:div w:id="1624193396">
      <w:bodyDiv w:val="1"/>
      <w:marLeft w:val="0"/>
      <w:marRight w:val="0"/>
      <w:marTop w:val="0"/>
      <w:marBottom w:val="0"/>
      <w:divBdr>
        <w:top w:val="none" w:sz="0" w:space="0" w:color="auto"/>
        <w:left w:val="none" w:sz="0" w:space="0" w:color="auto"/>
        <w:bottom w:val="none" w:sz="0" w:space="0" w:color="auto"/>
        <w:right w:val="none" w:sz="0" w:space="0" w:color="auto"/>
      </w:divBdr>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
    <w:div w:id="1776175793">
      <w:bodyDiv w:val="1"/>
      <w:marLeft w:val="0"/>
      <w:marRight w:val="0"/>
      <w:marTop w:val="0"/>
      <w:marBottom w:val="0"/>
      <w:divBdr>
        <w:top w:val="none" w:sz="0" w:space="0" w:color="auto"/>
        <w:left w:val="none" w:sz="0" w:space="0" w:color="auto"/>
        <w:bottom w:val="none" w:sz="0" w:space="0" w:color="auto"/>
        <w:right w:val="none" w:sz="0" w:space="0" w:color="auto"/>
      </w:divBdr>
      <w:divsChild>
        <w:div w:id="1833912503">
          <w:marLeft w:val="0"/>
          <w:marRight w:val="0"/>
          <w:marTop w:val="0"/>
          <w:marBottom w:val="0"/>
          <w:divBdr>
            <w:top w:val="none" w:sz="0" w:space="0" w:color="auto"/>
            <w:left w:val="none" w:sz="0" w:space="0" w:color="auto"/>
            <w:bottom w:val="none" w:sz="0" w:space="0" w:color="auto"/>
            <w:right w:val="none" w:sz="0" w:space="0" w:color="auto"/>
          </w:divBdr>
          <w:divsChild>
            <w:div w:id="909315009">
              <w:marLeft w:val="0"/>
              <w:marRight w:val="0"/>
              <w:marTop w:val="0"/>
              <w:marBottom w:val="0"/>
              <w:divBdr>
                <w:top w:val="none" w:sz="0" w:space="0" w:color="auto"/>
                <w:left w:val="none" w:sz="0" w:space="0" w:color="auto"/>
                <w:bottom w:val="none" w:sz="0" w:space="0" w:color="auto"/>
                <w:right w:val="none" w:sz="0" w:space="0" w:color="auto"/>
              </w:divBdr>
            </w:div>
          </w:divsChild>
        </w:div>
        <w:div w:id="1947927732">
          <w:marLeft w:val="0"/>
          <w:marRight w:val="0"/>
          <w:marTop w:val="0"/>
          <w:marBottom w:val="0"/>
          <w:divBdr>
            <w:top w:val="none" w:sz="0" w:space="0" w:color="auto"/>
            <w:left w:val="none" w:sz="0" w:space="0" w:color="auto"/>
            <w:bottom w:val="none" w:sz="0" w:space="0" w:color="auto"/>
            <w:right w:val="none" w:sz="0" w:space="0" w:color="auto"/>
          </w:divBdr>
          <w:divsChild>
            <w:div w:id="5022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Sharjil</dc:creator>
  <cp:keywords/>
  <dc:description/>
  <cp:lastModifiedBy>Tariq Sharjil</cp:lastModifiedBy>
  <cp:revision>4</cp:revision>
  <dcterms:created xsi:type="dcterms:W3CDTF">2025-04-24T03:45:00Z</dcterms:created>
  <dcterms:modified xsi:type="dcterms:W3CDTF">2025-04-24T04:23:00Z</dcterms:modified>
</cp:coreProperties>
</file>