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19565" w14:textId="77777777" w:rsidR="00A23EC4" w:rsidRPr="00A23EC4" w:rsidRDefault="00A23EC4" w:rsidP="00A23EC4">
      <w:pPr>
        <w:ind w:left="720" w:firstLine="720"/>
        <w:rPr>
          <w:b/>
          <w:bCs/>
        </w:rPr>
      </w:pPr>
      <w:r w:rsidRPr="00A23EC4">
        <w:rPr>
          <w:b/>
          <w:bCs/>
        </w:rPr>
        <w:t>Fraud Monitoring Plan for LexisNexis Fraud Intelligence</w:t>
      </w:r>
    </w:p>
    <w:p w14:paraId="207CEDA7" w14:textId="77777777" w:rsidR="00A23EC4" w:rsidRPr="00A23EC4" w:rsidRDefault="00000000" w:rsidP="00A23EC4">
      <w:r>
        <w:pict w14:anchorId="2D9D53EB">
          <v:rect id="_x0000_i1025" style="width:0;height:1.5pt" o:hralign="center" o:hrstd="t" o:hr="t" fillcolor="#a0a0a0" stroked="f"/>
        </w:pict>
      </w:r>
    </w:p>
    <w:p w14:paraId="73B5EEB7" w14:textId="77777777" w:rsidR="00A23EC4" w:rsidRPr="00A23EC4" w:rsidRDefault="00A23EC4" w:rsidP="00A23EC4">
      <w:pPr>
        <w:rPr>
          <w:b/>
          <w:bCs/>
        </w:rPr>
      </w:pPr>
      <w:r w:rsidRPr="00A23EC4">
        <w:rPr>
          <w:b/>
          <w:bCs/>
        </w:rPr>
        <w:t>1. Objective</w:t>
      </w:r>
    </w:p>
    <w:p w14:paraId="2593E006" w14:textId="515F01C0" w:rsidR="00A23EC4" w:rsidRPr="00A23EC4" w:rsidRDefault="00E851DF" w:rsidP="00A23EC4">
      <w:r w:rsidRPr="00E851DF">
        <w:t xml:space="preserve">This plan outlines the performance monitoring framework for </w:t>
      </w:r>
      <w:r w:rsidRPr="00E851DF">
        <w:rPr>
          <w:b/>
          <w:bCs/>
        </w:rPr>
        <w:t>LexisNexis Fraud Intelligence (LNFI)</w:t>
      </w:r>
      <w:r w:rsidRPr="00E851DF">
        <w:t>, used for evaluating fraud risk during onboarding. It defines the metrics, trends, and thresholds needed to assess the model’s effectiveness and stability based on score outcomes, risk tiers, operational actions, and fraud outcomes.</w:t>
      </w:r>
    </w:p>
    <w:p w14:paraId="350619E0" w14:textId="77777777" w:rsidR="00A23EC4" w:rsidRPr="00A23EC4" w:rsidRDefault="00000000" w:rsidP="00A23EC4">
      <w:r>
        <w:pict w14:anchorId="07A93571">
          <v:rect id="_x0000_i1026" style="width:0;height:1.5pt" o:hralign="center" o:hrstd="t" o:hr="t" fillcolor="#a0a0a0" stroked="f"/>
        </w:pict>
      </w:r>
    </w:p>
    <w:p w14:paraId="461B7C18" w14:textId="77777777" w:rsidR="00A23EC4" w:rsidRPr="00A23EC4" w:rsidRDefault="00A23EC4" w:rsidP="00A23EC4">
      <w:pPr>
        <w:rPr>
          <w:b/>
          <w:bCs/>
        </w:rPr>
      </w:pPr>
      <w:r w:rsidRPr="00A23EC4">
        <w:rPr>
          <w:b/>
          <w:bCs/>
        </w:rPr>
        <w:t>2. Background</w:t>
      </w:r>
    </w:p>
    <w:p w14:paraId="51EB22E3" w14:textId="77777777" w:rsidR="00954667" w:rsidRPr="00954667" w:rsidRDefault="00954667" w:rsidP="00954667">
      <w:r w:rsidRPr="00954667">
        <w:t xml:space="preserve">LexisNexis Fraud Intelligence (LNFI) generates a </w:t>
      </w:r>
      <w:r w:rsidRPr="00954667">
        <w:rPr>
          <w:b/>
          <w:bCs/>
        </w:rPr>
        <w:t>fraud risk score</w:t>
      </w:r>
      <w:r w:rsidRPr="00954667">
        <w:t xml:space="preserve">, typically on a scale of </w:t>
      </w:r>
      <w:r w:rsidRPr="00954667">
        <w:rPr>
          <w:b/>
          <w:bCs/>
        </w:rPr>
        <w:t>0 to 999</w:t>
      </w:r>
      <w:r w:rsidRPr="00954667">
        <w:t xml:space="preserve">, where a </w:t>
      </w:r>
      <w:r w:rsidRPr="00954667">
        <w:rPr>
          <w:b/>
          <w:bCs/>
        </w:rPr>
        <w:t>higher score indicates greater fraud risk</w:t>
      </w:r>
      <w:r w:rsidRPr="00954667">
        <w:t>. This score is used by banks to:</w:t>
      </w:r>
    </w:p>
    <w:p w14:paraId="44A63562" w14:textId="77777777" w:rsidR="00954667" w:rsidRPr="00954667" w:rsidRDefault="00954667" w:rsidP="00954667">
      <w:pPr>
        <w:numPr>
          <w:ilvl w:val="0"/>
          <w:numId w:val="5"/>
        </w:numPr>
      </w:pPr>
      <w:r w:rsidRPr="00954667">
        <w:t>Directly inform decisions (Approve / Refer / Decline),</w:t>
      </w:r>
    </w:p>
    <w:p w14:paraId="375ABF0D" w14:textId="77777777" w:rsidR="00954667" w:rsidRPr="00954667" w:rsidRDefault="00954667" w:rsidP="00954667">
      <w:pPr>
        <w:numPr>
          <w:ilvl w:val="0"/>
          <w:numId w:val="5"/>
        </w:numPr>
      </w:pPr>
      <w:r w:rsidRPr="00954667">
        <w:t xml:space="preserve">Classify applicants into </w:t>
      </w:r>
      <w:r w:rsidRPr="00954667">
        <w:rPr>
          <w:b/>
          <w:bCs/>
        </w:rPr>
        <w:t>internal risk tiers</w:t>
      </w:r>
      <w:r w:rsidRPr="00954667">
        <w:t xml:space="preserve"> (e.g., Low / Medium / High),</w:t>
      </w:r>
    </w:p>
    <w:p w14:paraId="2F603662" w14:textId="77777777" w:rsidR="00954667" w:rsidRPr="00954667" w:rsidRDefault="00954667" w:rsidP="00954667">
      <w:pPr>
        <w:numPr>
          <w:ilvl w:val="0"/>
          <w:numId w:val="5"/>
        </w:numPr>
      </w:pPr>
      <w:r w:rsidRPr="00954667">
        <w:t>Support identity fraud detection and compliance with onboarding risk controls.</w:t>
      </w:r>
    </w:p>
    <w:p w14:paraId="19130D38" w14:textId="77777777" w:rsidR="00954667" w:rsidRPr="00954667" w:rsidRDefault="00954667" w:rsidP="00954667">
      <w:r w:rsidRPr="00954667">
        <w:t>LNFI plays a key role in filtering out synthetic identities, manipulated identities, and repeat fraud attempts at the point of account opening. Given its criticality, a structured approach is needed to monitor the model’s accuracy, score distribution, fraud capture, and population stability.</w:t>
      </w:r>
    </w:p>
    <w:p w14:paraId="5BCCF51F" w14:textId="77777777" w:rsidR="00A23EC4" w:rsidRPr="00A23EC4" w:rsidRDefault="00000000" w:rsidP="00A23EC4">
      <w:r>
        <w:pict w14:anchorId="0173E614">
          <v:rect id="_x0000_i1027" style="width:0;height:1.5pt" o:hralign="center" o:hrstd="t" o:hr="t" fillcolor="#a0a0a0" stroked="f"/>
        </w:pict>
      </w:r>
    </w:p>
    <w:p w14:paraId="60E48425" w14:textId="3ED9A2E7" w:rsidR="00A23EC4" w:rsidRDefault="00A23EC4" w:rsidP="00A23EC4">
      <w:pPr>
        <w:rPr>
          <w:b/>
          <w:bCs/>
        </w:rPr>
      </w:pPr>
      <w:r w:rsidRPr="00A23EC4">
        <w:rPr>
          <w:b/>
          <w:bCs/>
        </w:rPr>
        <w:t xml:space="preserve">3. Monitoring Areas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4"/>
        <w:gridCol w:w="6492"/>
      </w:tblGrid>
      <w:tr w:rsidR="004E5869" w:rsidRPr="004E5869" w14:paraId="4338CB99" w14:textId="77777777" w:rsidTr="004E5869">
        <w:trPr>
          <w:tblHeader/>
          <w:tblCellSpacing w:w="15" w:type="dxa"/>
        </w:trPr>
        <w:tc>
          <w:tcPr>
            <w:tcW w:w="0" w:type="auto"/>
            <w:vAlign w:val="center"/>
            <w:hideMark/>
          </w:tcPr>
          <w:p w14:paraId="4B53C6A5" w14:textId="77777777" w:rsidR="004E5869" w:rsidRPr="004E5869" w:rsidRDefault="004E5869" w:rsidP="004E5869">
            <w:r w:rsidRPr="004E5869">
              <w:t>Monitoring Area</w:t>
            </w:r>
          </w:p>
        </w:tc>
        <w:tc>
          <w:tcPr>
            <w:tcW w:w="0" w:type="auto"/>
            <w:vAlign w:val="center"/>
            <w:hideMark/>
          </w:tcPr>
          <w:p w14:paraId="67F87F4E" w14:textId="77777777" w:rsidR="004E5869" w:rsidRPr="004E5869" w:rsidRDefault="004E5869" w:rsidP="004E5869">
            <w:r w:rsidRPr="004E5869">
              <w:t>Objective</w:t>
            </w:r>
          </w:p>
        </w:tc>
      </w:tr>
      <w:tr w:rsidR="004E5869" w:rsidRPr="004E5869" w14:paraId="00B1F7E2" w14:textId="77777777" w:rsidTr="004E5869">
        <w:trPr>
          <w:tblCellSpacing w:w="15" w:type="dxa"/>
        </w:trPr>
        <w:tc>
          <w:tcPr>
            <w:tcW w:w="0" w:type="auto"/>
            <w:vAlign w:val="center"/>
            <w:hideMark/>
          </w:tcPr>
          <w:p w14:paraId="74E77483" w14:textId="77777777" w:rsidR="004E5869" w:rsidRPr="004E5869" w:rsidRDefault="004E5869" w:rsidP="004E5869">
            <w:r w:rsidRPr="004E5869">
              <w:t>Score Distribution</w:t>
            </w:r>
          </w:p>
        </w:tc>
        <w:tc>
          <w:tcPr>
            <w:tcW w:w="0" w:type="auto"/>
            <w:vAlign w:val="center"/>
            <w:hideMark/>
          </w:tcPr>
          <w:p w14:paraId="6E6DADD0" w14:textId="77777777" w:rsidR="004E5869" w:rsidRPr="004E5869" w:rsidRDefault="004E5869" w:rsidP="004E5869">
            <w:r w:rsidRPr="004E5869">
              <w:t>Detect shifts in fraud score patterns over time.</w:t>
            </w:r>
          </w:p>
        </w:tc>
      </w:tr>
      <w:tr w:rsidR="004E5869" w:rsidRPr="004E5869" w14:paraId="41ED05E8" w14:textId="77777777" w:rsidTr="004E5869">
        <w:trPr>
          <w:tblCellSpacing w:w="15" w:type="dxa"/>
        </w:trPr>
        <w:tc>
          <w:tcPr>
            <w:tcW w:w="0" w:type="auto"/>
            <w:vAlign w:val="center"/>
            <w:hideMark/>
          </w:tcPr>
          <w:p w14:paraId="467F3B32" w14:textId="77777777" w:rsidR="004E5869" w:rsidRPr="004E5869" w:rsidRDefault="004E5869" w:rsidP="004E5869">
            <w:r w:rsidRPr="004E5869">
              <w:t>Risk Tier Trends</w:t>
            </w:r>
          </w:p>
        </w:tc>
        <w:tc>
          <w:tcPr>
            <w:tcW w:w="0" w:type="auto"/>
            <w:vAlign w:val="center"/>
            <w:hideMark/>
          </w:tcPr>
          <w:p w14:paraId="1A0EB972" w14:textId="77777777" w:rsidR="004E5869" w:rsidRPr="004E5869" w:rsidRDefault="004E5869" w:rsidP="004E5869">
            <w:r w:rsidRPr="004E5869">
              <w:t>Monitor movement across internal risk bands (High/Medium/Low).</w:t>
            </w:r>
          </w:p>
        </w:tc>
      </w:tr>
      <w:tr w:rsidR="004E5869" w:rsidRPr="004E5869" w14:paraId="19F9D6C0" w14:textId="77777777" w:rsidTr="004E5869">
        <w:trPr>
          <w:tblCellSpacing w:w="15" w:type="dxa"/>
        </w:trPr>
        <w:tc>
          <w:tcPr>
            <w:tcW w:w="0" w:type="auto"/>
            <w:vAlign w:val="center"/>
            <w:hideMark/>
          </w:tcPr>
          <w:p w14:paraId="3D0877AA" w14:textId="77777777" w:rsidR="004E5869" w:rsidRPr="004E5869" w:rsidRDefault="004E5869" w:rsidP="004E5869">
            <w:r w:rsidRPr="004E5869">
              <w:t>Decision Outcome Trends</w:t>
            </w:r>
          </w:p>
        </w:tc>
        <w:tc>
          <w:tcPr>
            <w:tcW w:w="0" w:type="auto"/>
            <w:vAlign w:val="center"/>
            <w:hideMark/>
          </w:tcPr>
          <w:p w14:paraId="08E37B32" w14:textId="77777777" w:rsidR="004E5869" w:rsidRPr="004E5869" w:rsidRDefault="004E5869" w:rsidP="004E5869">
            <w:r w:rsidRPr="004E5869">
              <w:t>Track model recommendation outcomes (Approve/Refer/Decline).</w:t>
            </w:r>
          </w:p>
        </w:tc>
      </w:tr>
      <w:tr w:rsidR="004E5869" w:rsidRPr="004E5869" w14:paraId="3361640A" w14:textId="77777777" w:rsidTr="004E5869">
        <w:trPr>
          <w:tblCellSpacing w:w="15" w:type="dxa"/>
        </w:trPr>
        <w:tc>
          <w:tcPr>
            <w:tcW w:w="0" w:type="auto"/>
            <w:vAlign w:val="center"/>
            <w:hideMark/>
          </w:tcPr>
          <w:p w14:paraId="20B05653" w14:textId="77777777" w:rsidR="004E5869" w:rsidRPr="004E5869" w:rsidRDefault="004E5869" w:rsidP="004E5869">
            <w:r w:rsidRPr="004E5869">
              <w:t>Override Trends</w:t>
            </w:r>
          </w:p>
        </w:tc>
        <w:tc>
          <w:tcPr>
            <w:tcW w:w="0" w:type="auto"/>
            <w:vAlign w:val="center"/>
            <w:hideMark/>
          </w:tcPr>
          <w:p w14:paraId="27EC6813" w14:textId="77777777" w:rsidR="004E5869" w:rsidRPr="004E5869" w:rsidRDefault="004E5869" w:rsidP="004E5869">
            <w:r w:rsidRPr="004E5869">
              <w:t>Evaluate overrides on Refer or Decline outcomes.</w:t>
            </w:r>
          </w:p>
        </w:tc>
      </w:tr>
      <w:tr w:rsidR="004E5869" w:rsidRPr="004E5869" w14:paraId="2A4023E0" w14:textId="77777777" w:rsidTr="004E5869">
        <w:trPr>
          <w:tblCellSpacing w:w="15" w:type="dxa"/>
        </w:trPr>
        <w:tc>
          <w:tcPr>
            <w:tcW w:w="0" w:type="auto"/>
            <w:vAlign w:val="center"/>
            <w:hideMark/>
          </w:tcPr>
          <w:p w14:paraId="3A47A3E2" w14:textId="77777777" w:rsidR="004E5869" w:rsidRPr="004E5869" w:rsidRDefault="004E5869" w:rsidP="004E5869">
            <w:r w:rsidRPr="004E5869">
              <w:t>Fraud Capture / Miss Rate</w:t>
            </w:r>
          </w:p>
        </w:tc>
        <w:tc>
          <w:tcPr>
            <w:tcW w:w="0" w:type="auto"/>
            <w:vAlign w:val="center"/>
            <w:hideMark/>
          </w:tcPr>
          <w:p w14:paraId="6966DD2E" w14:textId="77777777" w:rsidR="004E5869" w:rsidRPr="004E5869" w:rsidRDefault="004E5869" w:rsidP="004E5869">
            <w:r w:rsidRPr="004E5869">
              <w:t>Assess how well high-risk scores and tiers correlate with fraud cases.</w:t>
            </w:r>
          </w:p>
        </w:tc>
      </w:tr>
      <w:tr w:rsidR="004E5869" w:rsidRPr="004E5869" w14:paraId="6338F613" w14:textId="77777777" w:rsidTr="004E5869">
        <w:trPr>
          <w:tblCellSpacing w:w="15" w:type="dxa"/>
        </w:trPr>
        <w:tc>
          <w:tcPr>
            <w:tcW w:w="0" w:type="auto"/>
            <w:vAlign w:val="center"/>
            <w:hideMark/>
          </w:tcPr>
          <w:p w14:paraId="79AD0D02" w14:textId="77777777" w:rsidR="004E5869" w:rsidRPr="004E5869" w:rsidRDefault="004E5869" w:rsidP="004E5869">
            <w:r w:rsidRPr="004E5869">
              <w:lastRenderedPageBreak/>
              <w:t>False Decline Rate</w:t>
            </w:r>
          </w:p>
        </w:tc>
        <w:tc>
          <w:tcPr>
            <w:tcW w:w="0" w:type="auto"/>
            <w:vAlign w:val="center"/>
            <w:hideMark/>
          </w:tcPr>
          <w:p w14:paraId="7ED8EE3F" w14:textId="77777777" w:rsidR="004E5869" w:rsidRPr="004E5869" w:rsidRDefault="004E5869" w:rsidP="004E5869">
            <w:r w:rsidRPr="004E5869">
              <w:t>Identify good customers flagged by the model but later approved.</w:t>
            </w:r>
          </w:p>
        </w:tc>
      </w:tr>
      <w:tr w:rsidR="004E5869" w:rsidRPr="004E5869" w14:paraId="48ADC97E" w14:textId="77777777" w:rsidTr="004E5869">
        <w:trPr>
          <w:tblCellSpacing w:w="15" w:type="dxa"/>
        </w:trPr>
        <w:tc>
          <w:tcPr>
            <w:tcW w:w="0" w:type="auto"/>
            <w:vAlign w:val="center"/>
            <w:hideMark/>
          </w:tcPr>
          <w:p w14:paraId="1B45153D" w14:textId="77777777" w:rsidR="004E5869" w:rsidRPr="004E5869" w:rsidRDefault="004E5869" w:rsidP="004E5869">
            <w:r w:rsidRPr="004E5869">
              <w:t>PSI – Score Bands / Tiers</w:t>
            </w:r>
          </w:p>
        </w:tc>
        <w:tc>
          <w:tcPr>
            <w:tcW w:w="0" w:type="auto"/>
            <w:vAlign w:val="center"/>
            <w:hideMark/>
          </w:tcPr>
          <w:p w14:paraId="444C92F0" w14:textId="77777777" w:rsidR="004E5869" w:rsidRPr="004E5869" w:rsidRDefault="004E5869" w:rsidP="004E5869">
            <w:r w:rsidRPr="004E5869">
              <w:t>Detect shifts in scoring distribution (score or tier).</w:t>
            </w:r>
          </w:p>
        </w:tc>
      </w:tr>
    </w:tbl>
    <w:p w14:paraId="6BD9C225" w14:textId="77777777" w:rsidR="004E5869" w:rsidRPr="00A23EC4" w:rsidRDefault="004E5869" w:rsidP="00A23EC4">
      <w:pPr>
        <w:rPr>
          <w:b/>
          <w:bCs/>
        </w:rPr>
      </w:pPr>
    </w:p>
    <w:p w14:paraId="4BD24C3E" w14:textId="77777777" w:rsidR="00A23EC4" w:rsidRPr="00A23EC4" w:rsidRDefault="00000000" w:rsidP="00A23EC4">
      <w:r>
        <w:pict w14:anchorId="564E3F51">
          <v:rect id="_x0000_i1028" style="width:0;height:1.5pt" o:hralign="center" o:hrstd="t" o:hr="t" fillcolor="#a0a0a0" stroked="f"/>
        </w:pict>
      </w:r>
    </w:p>
    <w:p w14:paraId="5DC3C60E" w14:textId="17FBDA8D" w:rsidR="00A23EC4" w:rsidRDefault="00A23EC4" w:rsidP="00A23EC4">
      <w:pPr>
        <w:rPr>
          <w:b/>
          <w:bCs/>
        </w:rPr>
      </w:pPr>
      <w:r w:rsidRPr="00A23EC4">
        <w:rPr>
          <w:b/>
          <w:bCs/>
        </w:rPr>
        <w:t xml:space="preserve">4. Data Requirements </w:t>
      </w:r>
    </w:p>
    <w:tbl>
      <w:tblPr>
        <w:tblStyle w:val="PlainTable1"/>
        <w:tblW w:w="0" w:type="auto"/>
        <w:tblLook w:val="04A0" w:firstRow="1" w:lastRow="0" w:firstColumn="1" w:lastColumn="0" w:noHBand="0" w:noVBand="1"/>
      </w:tblPr>
      <w:tblGrid>
        <w:gridCol w:w="2323"/>
        <w:gridCol w:w="2510"/>
        <w:gridCol w:w="1901"/>
        <w:gridCol w:w="2282"/>
      </w:tblGrid>
      <w:tr w:rsidR="0055313B" w:rsidRPr="0055313B" w14:paraId="0FF3C3EA" w14:textId="77777777" w:rsidTr="005531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04EF32" w14:textId="77777777" w:rsidR="0055313B" w:rsidRPr="0055313B" w:rsidRDefault="0055313B" w:rsidP="0055313B">
            <w:pPr>
              <w:spacing w:after="160" w:line="278" w:lineRule="auto"/>
            </w:pPr>
            <w:r w:rsidRPr="0055313B">
              <w:t>Field Name</w:t>
            </w:r>
          </w:p>
        </w:tc>
        <w:tc>
          <w:tcPr>
            <w:tcW w:w="0" w:type="auto"/>
            <w:hideMark/>
          </w:tcPr>
          <w:p w14:paraId="1A59229D" w14:textId="77777777" w:rsidR="0055313B" w:rsidRPr="0055313B" w:rsidRDefault="0055313B" w:rsidP="0055313B">
            <w:pPr>
              <w:spacing w:after="160" w:line="278" w:lineRule="auto"/>
              <w:cnfStyle w:val="100000000000" w:firstRow="1" w:lastRow="0" w:firstColumn="0" w:lastColumn="0" w:oddVBand="0" w:evenVBand="0" w:oddHBand="0" w:evenHBand="0" w:firstRowFirstColumn="0" w:firstRowLastColumn="0" w:lastRowFirstColumn="0" w:lastRowLastColumn="0"/>
            </w:pPr>
            <w:r w:rsidRPr="0055313B">
              <w:t>Business Explanation</w:t>
            </w:r>
          </w:p>
        </w:tc>
        <w:tc>
          <w:tcPr>
            <w:tcW w:w="0" w:type="auto"/>
            <w:hideMark/>
          </w:tcPr>
          <w:p w14:paraId="6891A584" w14:textId="77777777" w:rsidR="0055313B" w:rsidRPr="0055313B" w:rsidRDefault="0055313B" w:rsidP="0055313B">
            <w:pPr>
              <w:spacing w:after="160" w:line="278" w:lineRule="auto"/>
              <w:cnfStyle w:val="100000000000" w:firstRow="1" w:lastRow="0" w:firstColumn="0" w:lastColumn="0" w:oddVBand="0" w:evenVBand="0" w:oddHBand="0" w:evenHBand="0" w:firstRowFirstColumn="0" w:firstRowLastColumn="0" w:lastRowFirstColumn="0" w:lastRowLastColumn="0"/>
            </w:pPr>
            <w:r w:rsidRPr="0055313B">
              <w:t>Metrics Supported</w:t>
            </w:r>
          </w:p>
        </w:tc>
        <w:tc>
          <w:tcPr>
            <w:tcW w:w="0" w:type="auto"/>
            <w:hideMark/>
          </w:tcPr>
          <w:p w14:paraId="3687B9E8" w14:textId="77777777" w:rsidR="0055313B" w:rsidRPr="0055313B" w:rsidRDefault="0055313B" w:rsidP="0055313B">
            <w:pPr>
              <w:spacing w:after="160" w:line="278" w:lineRule="auto"/>
              <w:cnfStyle w:val="100000000000" w:firstRow="1" w:lastRow="0" w:firstColumn="0" w:lastColumn="0" w:oddVBand="0" w:evenVBand="0" w:oddHBand="0" w:evenHBand="0" w:firstRowFirstColumn="0" w:firstRowLastColumn="0" w:lastRowFirstColumn="0" w:lastRowLastColumn="0"/>
            </w:pPr>
            <w:r w:rsidRPr="0055313B">
              <w:t>Business Relevance</w:t>
            </w:r>
          </w:p>
        </w:tc>
      </w:tr>
      <w:tr w:rsidR="0055313B" w:rsidRPr="0055313B" w14:paraId="261C1EB3" w14:textId="77777777" w:rsidTr="00553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AF9831" w14:textId="77777777" w:rsidR="0055313B" w:rsidRPr="0055313B" w:rsidRDefault="0055313B" w:rsidP="0055313B">
            <w:pPr>
              <w:spacing w:after="160" w:line="278" w:lineRule="auto"/>
            </w:pPr>
            <w:r w:rsidRPr="0055313B">
              <w:t>Application ID (Hashed)</w:t>
            </w:r>
          </w:p>
        </w:tc>
        <w:tc>
          <w:tcPr>
            <w:tcW w:w="0" w:type="auto"/>
            <w:hideMark/>
          </w:tcPr>
          <w:p w14:paraId="0C6E3B6A" w14:textId="77777777" w:rsidR="0055313B" w:rsidRPr="0055313B" w:rsidRDefault="0055313B" w:rsidP="0055313B">
            <w:pPr>
              <w:spacing w:after="160" w:line="278" w:lineRule="auto"/>
              <w:cnfStyle w:val="000000100000" w:firstRow="0" w:lastRow="0" w:firstColumn="0" w:lastColumn="0" w:oddVBand="0" w:evenVBand="0" w:oddHBand="1" w:evenHBand="0" w:firstRowFirstColumn="0" w:firstRowLastColumn="0" w:lastRowFirstColumn="0" w:lastRowLastColumn="0"/>
            </w:pPr>
            <w:r w:rsidRPr="0055313B">
              <w:t>Unique record identifier used to link results, decisions, and outcomes.</w:t>
            </w:r>
          </w:p>
        </w:tc>
        <w:tc>
          <w:tcPr>
            <w:tcW w:w="0" w:type="auto"/>
            <w:hideMark/>
          </w:tcPr>
          <w:p w14:paraId="7BE9FA0A" w14:textId="77777777" w:rsidR="0055313B" w:rsidRPr="0055313B" w:rsidRDefault="0055313B" w:rsidP="0055313B">
            <w:pPr>
              <w:spacing w:after="160" w:line="278" w:lineRule="auto"/>
              <w:cnfStyle w:val="000000100000" w:firstRow="0" w:lastRow="0" w:firstColumn="0" w:lastColumn="0" w:oddVBand="0" w:evenVBand="0" w:oddHBand="1" w:evenHBand="0" w:firstRowFirstColumn="0" w:firstRowLastColumn="0" w:lastRowFirstColumn="0" w:lastRowLastColumn="0"/>
            </w:pPr>
            <w:r w:rsidRPr="0055313B">
              <w:t>All metrics</w:t>
            </w:r>
          </w:p>
        </w:tc>
        <w:tc>
          <w:tcPr>
            <w:tcW w:w="0" w:type="auto"/>
            <w:hideMark/>
          </w:tcPr>
          <w:p w14:paraId="5A2A5C19" w14:textId="77777777" w:rsidR="0055313B" w:rsidRPr="0055313B" w:rsidRDefault="0055313B" w:rsidP="0055313B">
            <w:pPr>
              <w:spacing w:after="160" w:line="278" w:lineRule="auto"/>
              <w:cnfStyle w:val="000000100000" w:firstRow="0" w:lastRow="0" w:firstColumn="0" w:lastColumn="0" w:oddVBand="0" w:evenVBand="0" w:oddHBand="1" w:evenHBand="0" w:firstRowFirstColumn="0" w:firstRowLastColumn="0" w:lastRowFirstColumn="0" w:lastRowLastColumn="0"/>
            </w:pPr>
            <w:r w:rsidRPr="0055313B">
              <w:t>Ensures continuity across decision, override, and fraud records.</w:t>
            </w:r>
          </w:p>
        </w:tc>
      </w:tr>
      <w:tr w:rsidR="0055313B" w:rsidRPr="0055313B" w14:paraId="46BBBB4E" w14:textId="77777777" w:rsidTr="0055313B">
        <w:tc>
          <w:tcPr>
            <w:cnfStyle w:val="001000000000" w:firstRow="0" w:lastRow="0" w:firstColumn="1" w:lastColumn="0" w:oddVBand="0" w:evenVBand="0" w:oddHBand="0" w:evenHBand="0" w:firstRowFirstColumn="0" w:firstRowLastColumn="0" w:lastRowFirstColumn="0" w:lastRowLastColumn="0"/>
            <w:tcW w:w="0" w:type="auto"/>
            <w:hideMark/>
          </w:tcPr>
          <w:p w14:paraId="1FD276EC" w14:textId="77777777" w:rsidR="0055313B" w:rsidRPr="0055313B" w:rsidRDefault="0055313B" w:rsidP="0055313B">
            <w:pPr>
              <w:spacing w:after="160" w:line="278" w:lineRule="auto"/>
            </w:pPr>
            <w:r w:rsidRPr="0055313B">
              <w:t>Application Date</w:t>
            </w:r>
          </w:p>
        </w:tc>
        <w:tc>
          <w:tcPr>
            <w:tcW w:w="0" w:type="auto"/>
            <w:hideMark/>
          </w:tcPr>
          <w:p w14:paraId="6828F08F" w14:textId="77777777" w:rsidR="0055313B" w:rsidRPr="0055313B" w:rsidRDefault="0055313B" w:rsidP="0055313B">
            <w:pPr>
              <w:spacing w:after="160" w:line="278" w:lineRule="auto"/>
              <w:cnfStyle w:val="000000000000" w:firstRow="0" w:lastRow="0" w:firstColumn="0" w:lastColumn="0" w:oddVBand="0" w:evenVBand="0" w:oddHBand="0" w:evenHBand="0" w:firstRowFirstColumn="0" w:firstRowLastColumn="0" w:lastRowFirstColumn="0" w:lastRowLastColumn="0"/>
            </w:pPr>
            <w:r w:rsidRPr="0055313B">
              <w:t>Timestamp of onboarding attempt.</w:t>
            </w:r>
          </w:p>
        </w:tc>
        <w:tc>
          <w:tcPr>
            <w:tcW w:w="0" w:type="auto"/>
            <w:hideMark/>
          </w:tcPr>
          <w:p w14:paraId="05A179F7" w14:textId="77777777" w:rsidR="0055313B" w:rsidRPr="0055313B" w:rsidRDefault="0055313B" w:rsidP="0055313B">
            <w:pPr>
              <w:spacing w:after="160" w:line="278" w:lineRule="auto"/>
              <w:cnfStyle w:val="000000000000" w:firstRow="0" w:lastRow="0" w:firstColumn="0" w:lastColumn="0" w:oddVBand="0" w:evenVBand="0" w:oddHBand="0" w:evenHBand="0" w:firstRowFirstColumn="0" w:firstRowLastColumn="0" w:lastRowFirstColumn="0" w:lastRowLastColumn="0"/>
            </w:pPr>
            <w:r w:rsidRPr="0055313B">
              <w:t>Trend analysis, Monthly Metrics, PSI</w:t>
            </w:r>
          </w:p>
        </w:tc>
        <w:tc>
          <w:tcPr>
            <w:tcW w:w="0" w:type="auto"/>
            <w:hideMark/>
          </w:tcPr>
          <w:p w14:paraId="1ED0AE4E" w14:textId="77777777" w:rsidR="0055313B" w:rsidRPr="0055313B" w:rsidRDefault="0055313B" w:rsidP="0055313B">
            <w:pPr>
              <w:spacing w:after="160" w:line="278" w:lineRule="auto"/>
              <w:cnfStyle w:val="000000000000" w:firstRow="0" w:lastRow="0" w:firstColumn="0" w:lastColumn="0" w:oddVBand="0" w:evenVBand="0" w:oddHBand="0" w:evenHBand="0" w:firstRowFirstColumn="0" w:firstRowLastColumn="0" w:lastRowFirstColumn="0" w:lastRowLastColumn="0"/>
            </w:pPr>
            <w:r w:rsidRPr="0055313B">
              <w:t>Enables period-based tracking, trend analysis, and data stability comparisons.</w:t>
            </w:r>
          </w:p>
        </w:tc>
      </w:tr>
      <w:tr w:rsidR="0055313B" w:rsidRPr="0055313B" w14:paraId="63ECEDBF" w14:textId="77777777" w:rsidTr="00553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0D786D" w14:textId="77777777" w:rsidR="0055313B" w:rsidRPr="0055313B" w:rsidRDefault="0055313B" w:rsidP="0055313B">
            <w:pPr>
              <w:spacing w:after="160" w:line="278" w:lineRule="auto"/>
            </w:pPr>
            <w:r w:rsidRPr="0055313B">
              <w:t>LNFI Score (0–999)</w:t>
            </w:r>
          </w:p>
        </w:tc>
        <w:tc>
          <w:tcPr>
            <w:tcW w:w="0" w:type="auto"/>
            <w:hideMark/>
          </w:tcPr>
          <w:p w14:paraId="3ED1C650" w14:textId="77777777" w:rsidR="0055313B" w:rsidRPr="0055313B" w:rsidRDefault="0055313B" w:rsidP="0055313B">
            <w:pPr>
              <w:spacing w:after="160" w:line="278" w:lineRule="auto"/>
              <w:cnfStyle w:val="000000100000" w:firstRow="0" w:lastRow="0" w:firstColumn="0" w:lastColumn="0" w:oddVBand="0" w:evenVBand="0" w:oddHBand="1" w:evenHBand="0" w:firstRowFirstColumn="0" w:firstRowLastColumn="0" w:lastRowFirstColumn="0" w:lastRowLastColumn="0"/>
            </w:pPr>
            <w:r w:rsidRPr="0055313B">
              <w:t>Raw fraud risk score assigned by the model.</w:t>
            </w:r>
          </w:p>
        </w:tc>
        <w:tc>
          <w:tcPr>
            <w:tcW w:w="0" w:type="auto"/>
            <w:hideMark/>
          </w:tcPr>
          <w:p w14:paraId="10B1C74D" w14:textId="77777777" w:rsidR="0055313B" w:rsidRPr="0055313B" w:rsidRDefault="0055313B" w:rsidP="0055313B">
            <w:pPr>
              <w:spacing w:after="160" w:line="278" w:lineRule="auto"/>
              <w:cnfStyle w:val="000000100000" w:firstRow="0" w:lastRow="0" w:firstColumn="0" w:lastColumn="0" w:oddVBand="0" w:evenVBand="0" w:oddHBand="1" w:evenHBand="0" w:firstRowFirstColumn="0" w:firstRowLastColumn="0" w:lastRowFirstColumn="0" w:lastRowLastColumn="0"/>
            </w:pPr>
            <w:r w:rsidRPr="0055313B">
              <w:t>Score Band Distribution, Average Score, Score-Based PSI</w:t>
            </w:r>
          </w:p>
        </w:tc>
        <w:tc>
          <w:tcPr>
            <w:tcW w:w="0" w:type="auto"/>
            <w:hideMark/>
          </w:tcPr>
          <w:p w14:paraId="0F379F74" w14:textId="77777777" w:rsidR="0055313B" w:rsidRPr="0055313B" w:rsidRDefault="0055313B" w:rsidP="0055313B">
            <w:pPr>
              <w:spacing w:after="160" w:line="278" w:lineRule="auto"/>
              <w:cnfStyle w:val="000000100000" w:firstRow="0" w:lastRow="0" w:firstColumn="0" w:lastColumn="0" w:oddVBand="0" w:evenVBand="0" w:oddHBand="1" w:evenHBand="0" w:firstRowFirstColumn="0" w:firstRowLastColumn="0" w:lastRowFirstColumn="0" w:lastRowLastColumn="0"/>
            </w:pPr>
            <w:r w:rsidRPr="0055313B">
              <w:t>Central signal of fraud risk; used to derive decisions and perform score drift checks.</w:t>
            </w:r>
          </w:p>
        </w:tc>
      </w:tr>
      <w:tr w:rsidR="0055313B" w:rsidRPr="0055313B" w14:paraId="68BE3AE4" w14:textId="77777777" w:rsidTr="0055313B">
        <w:tc>
          <w:tcPr>
            <w:cnfStyle w:val="001000000000" w:firstRow="0" w:lastRow="0" w:firstColumn="1" w:lastColumn="0" w:oddVBand="0" w:evenVBand="0" w:oddHBand="0" w:evenHBand="0" w:firstRowFirstColumn="0" w:firstRowLastColumn="0" w:lastRowFirstColumn="0" w:lastRowLastColumn="0"/>
            <w:tcW w:w="0" w:type="auto"/>
            <w:hideMark/>
          </w:tcPr>
          <w:p w14:paraId="1369929A" w14:textId="77777777" w:rsidR="0055313B" w:rsidRPr="0055313B" w:rsidRDefault="0055313B" w:rsidP="0055313B">
            <w:pPr>
              <w:spacing w:after="160" w:line="278" w:lineRule="auto"/>
            </w:pPr>
            <w:r w:rsidRPr="0055313B">
              <w:t>LNFI Risk Tier</w:t>
            </w:r>
          </w:p>
        </w:tc>
        <w:tc>
          <w:tcPr>
            <w:tcW w:w="0" w:type="auto"/>
            <w:hideMark/>
          </w:tcPr>
          <w:p w14:paraId="5429EC18" w14:textId="77777777" w:rsidR="0055313B" w:rsidRPr="0055313B" w:rsidRDefault="0055313B" w:rsidP="0055313B">
            <w:pPr>
              <w:spacing w:after="160" w:line="278" w:lineRule="auto"/>
              <w:cnfStyle w:val="000000000000" w:firstRow="0" w:lastRow="0" w:firstColumn="0" w:lastColumn="0" w:oddVBand="0" w:evenVBand="0" w:oddHBand="0" w:evenHBand="0" w:firstRowFirstColumn="0" w:firstRowLastColumn="0" w:lastRowFirstColumn="0" w:lastRowLastColumn="0"/>
            </w:pPr>
            <w:r w:rsidRPr="0055313B">
              <w:t>Derived classification from LNFI score (e.g., Low, Medium, High).</w:t>
            </w:r>
          </w:p>
        </w:tc>
        <w:tc>
          <w:tcPr>
            <w:tcW w:w="0" w:type="auto"/>
            <w:hideMark/>
          </w:tcPr>
          <w:p w14:paraId="67533FDD" w14:textId="77777777" w:rsidR="0055313B" w:rsidRPr="0055313B" w:rsidRDefault="0055313B" w:rsidP="0055313B">
            <w:pPr>
              <w:spacing w:after="160" w:line="278" w:lineRule="auto"/>
              <w:cnfStyle w:val="000000000000" w:firstRow="0" w:lastRow="0" w:firstColumn="0" w:lastColumn="0" w:oddVBand="0" w:evenVBand="0" w:oddHBand="0" w:evenHBand="0" w:firstRowFirstColumn="0" w:firstRowLastColumn="0" w:lastRowFirstColumn="0" w:lastRowLastColumn="0"/>
            </w:pPr>
            <w:r w:rsidRPr="0055313B">
              <w:t>Tier Distribution, Tier-Based PSI</w:t>
            </w:r>
          </w:p>
        </w:tc>
        <w:tc>
          <w:tcPr>
            <w:tcW w:w="0" w:type="auto"/>
            <w:hideMark/>
          </w:tcPr>
          <w:p w14:paraId="7FC5F7BE" w14:textId="77777777" w:rsidR="0055313B" w:rsidRPr="0055313B" w:rsidRDefault="0055313B" w:rsidP="0055313B">
            <w:pPr>
              <w:spacing w:after="160" w:line="278" w:lineRule="auto"/>
              <w:cnfStyle w:val="000000000000" w:firstRow="0" w:lastRow="0" w:firstColumn="0" w:lastColumn="0" w:oddVBand="0" w:evenVBand="0" w:oddHBand="0" w:evenHBand="0" w:firstRowFirstColumn="0" w:firstRowLastColumn="0" w:lastRowFirstColumn="0" w:lastRowLastColumn="0"/>
            </w:pPr>
            <w:r w:rsidRPr="0055313B">
              <w:t>Supports easier monitoring, reporting, and tier-level performance breakdown.</w:t>
            </w:r>
          </w:p>
        </w:tc>
      </w:tr>
      <w:tr w:rsidR="0055313B" w:rsidRPr="0055313B" w14:paraId="68C9093E" w14:textId="77777777" w:rsidTr="00553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E63B3B" w14:textId="77777777" w:rsidR="0055313B" w:rsidRPr="0055313B" w:rsidRDefault="0055313B" w:rsidP="0055313B">
            <w:pPr>
              <w:spacing w:after="160" w:line="278" w:lineRule="auto"/>
            </w:pPr>
            <w:r w:rsidRPr="0055313B">
              <w:t>Model Recommendation Outcome</w:t>
            </w:r>
          </w:p>
        </w:tc>
        <w:tc>
          <w:tcPr>
            <w:tcW w:w="0" w:type="auto"/>
            <w:hideMark/>
          </w:tcPr>
          <w:p w14:paraId="6F7B30AE" w14:textId="77777777" w:rsidR="0055313B" w:rsidRPr="0055313B" w:rsidRDefault="0055313B" w:rsidP="0055313B">
            <w:pPr>
              <w:spacing w:after="160" w:line="278" w:lineRule="auto"/>
              <w:cnfStyle w:val="000000100000" w:firstRow="0" w:lastRow="0" w:firstColumn="0" w:lastColumn="0" w:oddVBand="0" w:evenVBand="0" w:oddHBand="1" w:evenHBand="0" w:firstRowFirstColumn="0" w:firstRowLastColumn="0" w:lastRowFirstColumn="0" w:lastRowLastColumn="0"/>
            </w:pPr>
            <w:r w:rsidRPr="0055313B">
              <w:t>LNFI's suggested decision: Approve / Refer / Decline.</w:t>
            </w:r>
          </w:p>
        </w:tc>
        <w:tc>
          <w:tcPr>
            <w:tcW w:w="0" w:type="auto"/>
            <w:hideMark/>
          </w:tcPr>
          <w:p w14:paraId="640772C7" w14:textId="77777777" w:rsidR="0055313B" w:rsidRPr="0055313B" w:rsidRDefault="0055313B" w:rsidP="0055313B">
            <w:pPr>
              <w:spacing w:after="160" w:line="278" w:lineRule="auto"/>
              <w:cnfStyle w:val="000000100000" w:firstRow="0" w:lastRow="0" w:firstColumn="0" w:lastColumn="0" w:oddVBand="0" w:evenVBand="0" w:oddHBand="1" w:evenHBand="0" w:firstRowFirstColumn="0" w:firstRowLastColumn="0" w:lastRowFirstColumn="0" w:lastRowLastColumn="0"/>
            </w:pPr>
            <w:r w:rsidRPr="0055313B">
              <w:t>Outcome Trend, Override Rate</w:t>
            </w:r>
          </w:p>
        </w:tc>
        <w:tc>
          <w:tcPr>
            <w:tcW w:w="0" w:type="auto"/>
            <w:hideMark/>
          </w:tcPr>
          <w:p w14:paraId="0CCB27F8" w14:textId="77777777" w:rsidR="0055313B" w:rsidRPr="0055313B" w:rsidRDefault="0055313B" w:rsidP="0055313B">
            <w:pPr>
              <w:spacing w:after="160" w:line="278" w:lineRule="auto"/>
              <w:cnfStyle w:val="000000100000" w:firstRow="0" w:lastRow="0" w:firstColumn="0" w:lastColumn="0" w:oddVBand="0" w:evenVBand="0" w:oddHBand="1" w:evenHBand="0" w:firstRowFirstColumn="0" w:firstRowLastColumn="0" w:lastRowFirstColumn="0" w:lastRowLastColumn="0"/>
            </w:pPr>
            <w:r w:rsidRPr="0055313B">
              <w:t>Key to evaluating model influence on onboarding decision-making.</w:t>
            </w:r>
          </w:p>
        </w:tc>
      </w:tr>
      <w:tr w:rsidR="0055313B" w:rsidRPr="0055313B" w14:paraId="72987653" w14:textId="77777777" w:rsidTr="0055313B">
        <w:tc>
          <w:tcPr>
            <w:cnfStyle w:val="001000000000" w:firstRow="0" w:lastRow="0" w:firstColumn="1" w:lastColumn="0" w:oddVBand="0" w:evenVBand="0" w:oddHBand="0" w:evenHBand="0" w:firstRowFirstColumn="0" w:firstRowLastColumn="0" w:lastRowFirstColumn="0" w:lastRowLastColumn="0"/>
            <w:tcW w:w="0" w:type="auto"/>
            <w:hideMark/>
          </w:tcPr>
          <w:p w14:paraId="0374798D" w14:textId="77777777" w:rsidR="0055313B" w:rsidRPr="0055313B" w:rsidRDefault="0055313B" w:rsidP="0055313B">
            <w:pPr>
              <w:spacing w:after="160" w:line="278" w:lineRule="auto"/>
            </w:pPr>
            <w:r w:rsidRPr="0055313B">
              <w:lastRenderedPageBreak/>
              <w:t>Final Bank Decision</w:t>
            </w:r>
          </w:p>
        </w:tc>
        <w:tc>
          <w:tcPr>
            <w:tcW w:w="0" w:type="auto"/>
            <w:hideMark/>
          </w:tcPr>
          <w:p w14:paraId="2667CA86" w14:textId="77777777" w:rsidR="0055313B" w:rsidRPr="0055313B" w:rsidRDefault="0055313B" w:rsidP="0055313B">
            <w:pPr>
              <w:spacing w:after="160" w:line="278" w:lineRule="auto"/>
              <w:cnfStyle w:val="000000000000" w:firstRow="0" w:lastRow="0" w:firstColumn="0" w:lastColumn="0" w:oddVBand="0" w:evenVBand="0" w:oddHBand="0" w:evenHBand="0" w:firstRowFirstColumn="0" w:firstRowLastColumn="0" w:lastRowFirstColumn="0" w:lastRowLastColumn="0"/>
            </w:pPr>
            <w:r w:rsidRPr="0055313B">
              <w:t>Final action taken by the bank — Approved or Rejected.</w:t>
            </w:r>
          </w:p>
        </w:tc>
        <w:tc>
          <w:tcPr>
            <w:tcW w:w="0" w:type="auto"/>
            <w:hideMark/>
          </w:tcPr>
          <w:p w14:paraId="76D14846" w14:textId="77777777" w:rsidR="0055313B" w:rsidRPr="0055313B" w:rsidRDefault="0055313B" w:rsidP="0055313B">
            <w:pPr>
              <w:spacing w:after="160" w:line="278" w:lineRule="auto"/>
              <w:cnfStyle w:val="000000000000" w:firstRow="0" w:lastRow="0" w:firstColumn="0" w:lastColumn="0" w:oddVBand="0" w:evenVBand="0" w:oddHBand="0" w:evenHBand="0" w:firstRowFirstColumn="0" w:firstRowLastColumn="0" w:lastRowFirstColumn="0" w:lastRowLastColumn="0"/>
            </w:pPr>
            <w:r w:rsidRPr="0055313B">
              <w:t>False Declines, Override Rate, Approval After Override</w:t>
            </w:r>
          </w:p>
        </w:tc>
        <w:tc>
          <w:tcPr>
            <w:tcW w:w="0" w:type="auto"/>
            <w:hideMark/>
          </w:tcPr>
          <w:p w14:paraId="55CE9E37" w14:textId="77777777" w:rsidR="0055313B" w:rsidRPr="0055313B" w:rsidRDefault="0055313B" w:rsidP="0055313B">
            <w:pPr>
              <w:spacing w:after="160" w:line="278" w:lineRule="auto"/>
              <w:cnfStyle w:val="000000000000" w:firstRow="0" w:lastRow="0" w:firstColumn="0" w:lastColumn="0" w:oddVBand="0" w:evenVBand="0" w:oddHBand="0" w:evenHBand="0" w:firstRowFirstColumn="0" w:firstRowLastColumn="0" w:lastRowFirstColumn="0" w:lastRowLastColumn="0"/>
            </w:pPr>
            <w:r w:rsidRPr="0055313B">
              <w:t>Validates override logic and operational reliance on the model.</w:t>
            </w:r>
          </w:p>
        </w:tc>
      </w:tr>
      <w:tr w:rsidR="0055313B" w:rsidRPr="0055313B" w14:paraId="06512642" w14:textId="77777777" w:rsidTr="00553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003FE4" w14:textId="77777777" w:rsidR="0055313B" w:rsidRPr="0055313B" w:rsidRDefault="0055313B" w:rsidP="0055313B">
            <w:pPr>
              <w:spacing w:after="160" w:line="278" w:lineRule="auto"/>
            </w:pPr>
            <w:r w:rsidRPr="0055313B">
              <w:t>Override Indicator</w:t>
            </w:r>
          </w:p>
        </w:tc>
        <w:tc>
          <w:tcPr>
            <w:tcW w:w="0" w:type="auto"/>
            <w:hideMark/>
          </w:tcPr>
          <w:p w14:paraId="4AA003D7" w14:textId="77777777" w:rsidR="0055313B" w:rsidRPr="0055313B" w:rsidRDefault="0055313B" w:rsidP="0055313B">
            <w:pPr>
              <w:spacing w:after="160" w:line="278" w:lineRule="auto"/>
              <w:cnfStyle w:val="000000100000" w:firstRow="0" w:lastRow="0" w:firstColumn="0" w:lastColumn="0" w:oddVBand="0" w:evenVBand="0" w:oddHBand="1" w:evenHBand="0" w:firstRowFirstColumn="0" w:firstRowLastColumn="0" w:lastRowFirstColumn="0" w:lastRowLastColumn="0"/>
            </w:pPr>
            <w:r w:rsidRPr="0055313B">
              <w:t>Flag to denote if the model’s recommendation was manually changed.</w:t>
            </w:r>
          </w:p>
        </w:tc>
        <w:tc>
          <w:tcPr>
            <w:tcW w:w="0" w:type="auto"/>
            <w:hideMark/>
          </w:tcPr>
          <w:p w14:paraId="77C02C2A" w14:textId="77777777" w:rsidR="0055313B" w:rsidRPr="0055313B" w:rsidRDefault="0055313B" w:rsidP="0055313B">
            <w:pPr>
              <w:spacing w:after="160" w:line="278" w:lineRule="auto"/>
              <w:cnfStyle w:val="000000100000" w:firstRow="0" w:lastRow="0" w:firstColumn="0" w:lastColumn="0" w:oddVBand="0" w:evenVBand="0" w:oddHBand="1" w:evenHBand="0" w:firstRowFirstColumn="0" w:firstRowLastColumn="0" w:lastRowFirstColumn="0" w:lastRowLastColumn="0"/>
            </w:pPr>
            <w:r w:rsidRPr="0055313B">
              <w:t>Override Count, Override Rate</w:t>
            </w:r>
          </w:p>
        </w:tc>
        <w:tc>
          <w:tcPr>
            <w:tcW w:w="0" w:type="auto"/>
            <w:hideMark/>
          </w:tcPr>
          <w:p w14:paraId="226B3807" w14:textId="77777777" w:rsidR="0055313B" w:rsidRPr="0055313B" w:rsidRDefault="0055313B" w:rsidP="0055313B">
            <w:pPr>
              <w:spacing w:after="160" w:line="278" w:lineRule="auto"/>
              <w:cnfStyle w:val="000000100000" w:firstRow="0" w:lastRow="0" w:firstColumn="0" w:lastColumn="0" w:oddVBand="0" w:evenVBand="0" w:oddHBand="1" w:evenHBand="0" w:firstRowFirstColumn="0" w:firstRowLastColumn="0" w:lastRowFirstColumn="0" w:lastRowLastColumn="0"/>
            </w:pPr>
            <w:r w:rsidRPr="0055313B">
              <w:t>Measures human intervention, providing insight into confidence in the model.</w:t>
            </w:r>
          </w:p>
        </w:tc>
      </w:tr>
      <w:tr w:rsidR="0055313B" w:rsidRPr="0055313B" w14:paraId="06A4EFC0" w14:textId="77777777" w:rsidTr="0055313B">
        <w:tc>
          <w:tcPr>
            <w:cnfStyle w:val="001000000000" w:firstRow="0" w:lastRow="0" w:firstColumn="1" w:lastColumn="0" w:oddVBand="0" w:evenVBand="0" w:oddHBand="0" w:evenHBand="0" w:firstRowFirstColumn="0" w:firstRowLastColumn="0" w:lastRowFirstColumn="0" w:lastRowLastColumn="0"/>
            <w:tcW w:w="0" w:type="auto"/>
            <w:hideMark/>
          </w:tcPr>
          <w:p w14:paraId="723570EA" w14:textId="77777777" w:rsidR="0055313B" w:rsidRPr="0055313B" w:rsidRDefault="0055313B" w:rsidP="0055313B">
            <w:pPr>
              <w:spacing w:after="160" w:line="278" w:lineRule="auto"/>
            </w:pPr>
            <w:r w:rsidRPr="0055313B">
              <w:t>Fraud Flag (Post-Onboarding)</w:t>
            </w:r>
          </w:p>
        </w:tc>
        <w:tc>
          <w:tcPr>
            <w:tcW w:w="0" w:type="auto"/>
            <w:hideMark/>
          </w:tcPr>
          <w:p w14:paraId="0739B108" w14:textId="77777777" w:rsidR="0055313B" w:rsidRPr="0055313B" w:rsidRDefault="0055313B" w:rsidP="0055313B">
            <w:pPr>
              <w:spacing w:after="160" w:line="278" w:lineRule="auto"/>
              <w:cnfStyle w:val="000000000000" w:firstRow="0" w:lastRow="0" w:firstColumn="0" w:lastColumn="0" w:oddVBand="0" w:evenVBand="0" w:oddHBand="0" w:evenHBand="0" w:firstRowFirstColumn="0" w:firstRowLastColumn="0" w:lastRowFirstColumn="0" w:lastRowLastColumn="0"/>
            </w:pPr>
            <w:r w:rsidRPr="0055313B">
              <w:t>Indicator of fraud discovered after onboarding (e.g., within 30/60/90 days).</w:t>
            </w:r>
          </w:p>
        </w:tc>
        <w:tc>
          <w:tcPr>
            <w:tcW w:w="0" w:type="auto"/>
            <w:hideMark/>
          </w:tcPr>
          <w:p w14:paraId="4B49224C" w14:textId="77777777" w:rsidR="0055313B" w:rsidRPr="0055313B" w:rsidRDefault="0055313B" w:rsidP="0055313B">
            <w:pPr>
              <w:spacing w:after="160" w:line="278" w:lineRule="auto"/>
              <w:cnfStyle w:val="000000000000" w:firstRow="0" w:lastRow="0" w:firstColumn="0" w:lastColumn="0" w:oddVBand="0" w:evenVBand="0" w:oddHBand="0" w:evenHBand="0" w:firstRowFirstColumn="0" w:firstRowLastColumn="0" w:lastRowFirstColumn="0" w:lastRowLastColumn="0"/>
            </w:pPr>
            <w:r w:rsidRPr="0055313B">
              <w:t>Fraud Capture, Fraud Miss Rate</w:t>
            </w:r>
          </w:p>
        </w:tc>
        <w:tc>
          <w:tcPr>
            <w:tcW w:w="0" w:type="auto"/>
            <w:hideMark/>
          </w:tcPr>
          <w:p w14:paraId="4FB5A5C2" w14:textId="77777777" w:rsidR="0055313B" w:rsidRPr="0055313B" w:rsidRDefault="0055313B" w:rsidP="0055313B">
            <w:pPr>
              <w:spacing w:after="160" w:line="278" w:lineRule="auto"/>
              <w:cnfStyle w:val="000000000000" w:firstRow="0" w:lastRow="0" w:firstColumn="0" w:lastColumn="0" w:oddVBand="0" w:evenVBand="0" w:oddHBand="0" w:evenHBand="0" w:firstRowFirstColumn="0" w:firstRowLastColumn="0" w:lastRowFirstColumn="0" w:lastRowLastColumn="0"/>
            </w:pPr>
            <w:r w:rsidRPr="0055313B">
              <w:t>Allows validation of model effectiveness and feedback loop for future improvement.</w:t>
            </w:r>
          </w:p>
        </w:tc>
      </w:tr>
    </w:tbl>
    <w:p w14:paraId="5C880A7E" w14:textId="77777777" w:rsidR="00B52BA4" w:rsidRPr="00A23EC4" w:rsidRDefault="00B52BA4" w:rsidP="00A23EC4">
      <w:pPr>
        <w:rPr>
          <w:b/>
          <w:bCs/>
        </w:rPr>
      </w:pPr>
    </w:p>
    <w:p w14:paraId="2AFDE9A1" w14:textId="77777777" w:rsidR="00A23EC4" w:rsidRDefault="00000000" w:rsidP="00A23EC4">
      <w:r>
        <w:pict w14:anchorId="12DFED28">
          <v:rect id="_x0000_i1029" style="width:0;height:1.5pt" o:hralign="center" o:bullet="t" o:hrstd="t" o:hr="t" fillcolor="#a0a0a0" stroked="f"/>
        </w:pict>
      </w:r>
    </w:p>
    <w:p w14:paraId="3F63836A" w14:textId="098E7CAC" w:rsidR="00C9470B" w:rsidRPr="00A23EC4" w:rsidRDefault="00C9470B" w:rsidP="00A23EC4">
      <w:r w:rsidRPr="00C9470B">
        <w:rPr>
          <w:b/>
          <w:bCs/>
          <w:sz w:val="26"/>
          <w:szCs w:val="26"/>
        </w:rPr>
        <w:t xml:space="preserve">Key Metrics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4"/>
        <w:gridCol w:w="3129"/>
        <w:gridCol w:w="3653"/>
      </w:tblGrid>
      <w:tr w:rsidR="00715C6C" w:rsidRPr="00715C6C" w14:paraId="18282B72" w14:textId="77777777" w:rsidTr="00715C6C">
        <w:trPr>
          <w:tblHeader/>
          <w:tblCellSpacing w:w="15" w:type="dxa"/>
        </w:trPr>
        <w:tc>
          <w:tcPr>
            <w:tcW w:w="0" w:type="auto"/>
            <w:vAlign w:val="center"/>
            <w:hideMark/>
          </w:tcPr>
          <w:p w14:paraId="76B0961D" w14:textId="015B61F8" w:rsidR="00715C6C" w:rsidRPr="00715C6C" w:rsidRDefault="00715C6C" w:rsidP="00715C6C">
            <w:r w:rsidRPr="00715C6C">
              <w:t>Metric Name</w:t>
            </w:r>
          </w:p>
        </w:tc>
        <w:tc>
          <w:tcPr>
            <w:tcW w:w="0" w:type="auto"/>
            <w:vAlign w:val="center"/>
            <w:hideMark/>
          </w:tcPr>
          <w:p w14:paraId="6F7BD310" w14:textId="77777777" w:rsidR="00715C6C" w:rsidRPr="00715C6C" w:rsidRDefault="00715C6C" w:rsidP="00715C6C">
            <w:r w:rsidRPr="00715C6C">
              <w:t>Formula / Definition</w:t>
            </w:r>
          </w:p>
        </w:tc>
        <w:tc>
          <w:tcPr>
            <w:tcW w:w="0" w:type="auto"/>
            <w:vAlign w:val="center"/>
            <w:hideMark/>
          </w:tcPr>
          <w:p w14:paraId="7C5D08D1" w14:textId="77777777" w:rsidR="00715C6C" w:rsidRPr="00715C6C" w:rsidRDefault="00715C6C" w:rsidP="00715C6C">
            <w:r w:rsidRPr="00715C6C">
              <w:t>Business Significance</w:t>
            </w:r>
          </w:p>
        </w:tc>
      </w:tr>
      <w:tr w:rsidR="00715C6C" w:rsidRPr="00715C6C" w14:paraId="65567684" w14:textId="77777777" w:rsidTr="00715C6C">
        <w:trPr>
          <w:tblCellSpacing w:w="15" w:type="dxa"/>
        </w:trPr>
        <w:tc>
          <w:tcPr>
            <w:tcW w:w="0" w:type="auto"/>
            <w:vAlign w:val="center"/>
            <w:hideMark/>
          </w:tcPr>
          <w:p w14:paraId="58176F15" w14:textId="77777777" w:rsidR="00715C6C" w:rsidRPr="00715C6C" w:rsidRDefault="00715C6C" w:rsidP="00715C6C">
            <w:r w:rsidRPr="00715C6C">
              <w:t>Total Applications</w:t>
            </w:r>
          </w:p>
        </w:tc>
        <w:tc>
          <w:tcPr>
            <w:tcW w:w="0" w:type="auto"/>
            <w:vAlign w:val="center"/>
            <w:hideMark/>
          </w:tcPr>
          <w:p w14:paraId="160D5B16" w14:textId="77777777" w:rsidR="00715C6C" w:rsidRPr="00715C6C" w:rsidRDefault="00715C6C" w:rsidP="00715C6C">
            <w:r w:rsidRPr="00715C6C">
              <w:t>Count of all onboarding attempts processed through LNFI.</w:t>
            </w:r>
          </w:p>
        </w:tc>
        <w:tc>
          <w:tcPr>
            <w:tcW w:w="0" w:type="auto"/>
            <w:vAlign w:val="center"/>
            <w:hideMark/>
          </w:tcPr>
          <w:p w14:paraId="196C2865" w14:textId="77777777" w:rsidR="00715C6C" w:rsidRPr="00715C6C" w:rsidRDefault="00715C6C" w:rsidP="00715C6C">
            <w:r w:rsidRPr="00715C6C">
              <w:t>Establishes the volume base for analysis and ensures proper scaling of other metrics.</w:t>
            </w:r>
          </w:p>
        </w:tc>
      </w:tr>
      <w:tr w:rsidR="00715C6C" w:rsidRPr="00715C6C" w14:paraId="68CBE7BA" w14:textId="77777777" w:rsidTr="00715C6C">
        <w:trPr>
          <w:tblCellSpacing w:w="15" w:type="dxa"/>
        </w:trPr>
        <w:tc>
          <w:tcPr>
            <w:tcW w:w="0" w:type="auto"/>
            <w:vAlign w:val="center"/>
            <w:hideMark/>
          </w:tcPr>
          <w:p w14:paraId="410D9F43" w14:textId="77777777" w:rsidR="00715C6C" w:rsidRPr="00715C6C" w:rsidRDefault="00715C6C" w:rsidP="00715C6C">
            <w:r w:rsidRPr="00715C6C">
              <w:t>Average LNFI Score</w:t>
            </w:r>
          </w:p>
        </w:tc>
        <w:tc>
          <w:tcPr>
            <w:tcW w:w="0" w:type="auto"/>
            <w:vAlign w:val="center"/>
            <w:hideMark/>
          </w:tcPr>
          <w:p w14:paraId="42A3AA1A" w14:textId="77777777" w:rsidR="00715C6C" w:rsidRPr="00715C6C" w:rsidRDefault="00715C6C" w:rsidP="00715C6C">
            <w:r w:rsidRPr="00715C6C">
              <w:t>Mean of all LNFI fraud scores for a given month.</w:t>
            </w:r>
          </w:p>
        </w:tc>
        <w:tc>
          <w:tcPr>
            <w:tcW w:w="0" w:type="auto"/>
            <w:vAlign w:val="center"/>
            <w:hideMark/>
          </w:tcPr>
          <w:p w14:paraId="1BC17C57" w14:textId="77777777" w:rsidR="00715C6C" w:rsidRPr="00715C6C" w:rsidRDefault="00715C6C" w:rsidP="00715C6C">
            <w:r w:rsidRPr="00715C6C">
              <w:t>Tracks population-level risk movement and input quality over time.</w:t>
            </w:r>
          </w:p>
        </w:tc>
      </w:tr>
      <w:tr w:rsidR="00715C6C" w:rsidRPr="00715C6C" w14:paraId="68B8C180" w14:textId="77777777" w:rsidTr="00715C6C">
        <w:trPr>
          <w:tblCellSpacing w:w="15" w:type="dxa"/>
        </w:trPr>
        <w:tc>
          <w:tcPr>
            <w:tcW w:w="0" w:type="auto"/>
            <w:vAlign w:val="center"/>
            <w:hideMark/>
          </w:tcPr>
          <w:p w14:paraId="7185A767" w14:textId="77777777" w:rsidR="00715C6C" w:rsidRPr="00715C6C" w:rsidRDefault="00715C6C" w:rsidP="00715C6C">
            <w:r w:rsidRPr="00715C6C">
              <w:t>Score Band Distribution</w:t>
            </w:r>
          </w:p>
        </w:tc>
        <w:tc>
          <w:tcPr>
            <w:tcW w:w="0" w:type="auto"/>
            <w:vAlign w:val="center"/>
            <w:hideMark/>
          </w:tcPr>
          <w:p w14:paraId="2F741CA5" w14:textId="77777777" w:rsidR="00715C6C" w:rsidRPr="00715C6C" w:rsidRDefault="00715C6C" w:rsidP="00715C6C">
            <w:r w:rsidRPr="00715C6C">
              <w:t>% of applications falling within defined score bands (e.g., 0–399, 400–599, etc.).</w:t>
            </w:r>
          </w:p>
        </w:tc>
        <w:tc>
          <w:tcPr>
            <w:tcW w:w="0" w:type="auto"/>
            <w:vAlign w:val="center"/>
            <w:hideMark/>
          </w:tcPr>
          <w:p w14:paraId="147BB418" w14:textId="77777777" w:rsidR="00715C6C" w:rsidRPr="00715C6C" w:rsidRDefault="00715C6C" w:rsidP="00715C6C">
            <w:r w:rsidRPr="00715C6C">
              <w:t>Detects shifts in risk distribution that could signal model drift or profile change.</w:t>
            </w:r>
          </w:p>
        </w:tc>
      </w:tr>
      <w:tr w:rsidR="00715C6C" w:rsidRPr="00715C6C" w14:paraId="38629BC2" w14:textId="77777777" w:rsidTr="00715C6C">
        <w:trPr>
          <w:tblCellSpacing w:w="15" w:type="dxa"/>
        </w:trPr>
        <w:tc>
          <w:tcPr>
            <w:tcW w:w="0" w:type="auto"/>
            <w:vAlign w:val="center"/>
            <w:hideMark/>
          </w:tcPr>
          <w:p w14:paraId="12E441F7" w14:textId="77777777" w:rsidR="00715C6C" w:rsidRPr="00715C6C" w:rsidRDefault="00715C6C" w:rsidP="00715C6C">
            <w:r w:rsidRPr="00715C6C">
              <w:t>Tier Distribution</w:t>
            </w:r>
          </w:p>
        </w:tc>
        <w:tc>
          <w:tcPr>
            <w:tcW w:w="0" w:type="auto"/>
            <w:vAlign w:val="center"/>
            <w:hideMark/>
          </w:tcPr>
          <w:p w14:paraId="59C35AE0" w14:textId="77777777" w:rsidR="00715C6C" w:rsidRPr="00715C6C" w:rsidRDefault="00715C6C" w:rsidP="00715C6C">
            <w:r w:rsidRPr="00715C6C">
              <w:t>% of applicants mapped to High, Medium, or Low risk based on score thresholds.</w:t>
            </w:r>
          </w:p>
        </w:tc>
        <w:tc>
          <w:tcPr>
            <w:tcW w:w="0" w:type="auto"/>
            <w:vAlign w:val="center"/>
            <w:hideMark/>
          </w:tcPr>
          <w:p w14:paraId="36821B6B" w14:textId="77777777" w:rsidR="00715C6C" w:rsidRPr="00715C6C" w:rsidRDefault="00715C6C" w:rsidP="00715C6C">
            <w:r w:rsidRPr="00715C6C">
              <w:t>Simplifies monitoring and links score to operational risk stratification.</w:t>
            </w:r>
          </w:p>
        </w:tc>
      </w:tr>
      <w:tr w:rsidR="00715C6C" w:rsidRPr="00715C6C" w14:paraId="6A111F2A" w14:textId="77777777" w:rsidTr="00715C6C">
        <w:trPr>
          <w:tblCellSpacing w:w="15" w:type="dxa"/>
        </w:trPr>
        <w:tc>
          <w:tcPr>
            <w:tcW w:w="0" w:type="auto"/>
            <w:vAlign w:val="center"/>
            <w:hideMark/>
          </w:tcPr>
          <w:p w14:paraId="39FE2AAF" w14:textId="77777777" w:rsidR="00715C6C" w:rsidRPr="00715C6C" w:rsidRDefault="00715C6C" w:rsidP="00715C6C">
            <w:r w:rsidRPr="00715C6C">
              <w:t>Model Recommendation Rate</w:t>
            </w:r>
          </w:p>
        </w:tc>
        <w:tc>
          <w:tcPr>
            <w:tcW w:w="0" w:type="auto"/>
            <w:vAlign w:val="center"/>
            <w:hideMark/>
          </w:tcPr>
          <w:p w14:paraId="66B840CE" w14:textId="77777777" w:rsidR="00715C6C" w:rsidRPr="00715C6C" w:rsidRDefault="00715C6C" w:rsidP="00715C6C">
            <w:r w:rsidRPr="00715C6C">
              <w:t>% Approve / Refer / Decline from model output.</w:t>
            </w:r>
          </w:p>
        </w:tc>
        <w:tc>
          <w:tcPr>
            <w:tcW w:w="0" w:type="auto"/>
            <w:vAlign w:val="center"/>
            <w:hideMark/>
          </w:tcPr>
          <w:p w14:paraId="459B18BF" w14:textId="77777777" w:rsidR="00715C6C" w:rsidRPr="00715C6C" w:rsidRDefault="00715C6C" w:rsidP="00715C6C">
            <w:r w:rsidRPr="00715C6C">
              <w:t xml:space="preserve">Helps monitor if model </w:t>
            </w:r>
            <w:proofErr w:type="spellStart"/>
            <w:r w:rsidRPr="00715C6C">
              <w:t>behavior</w:t>
            </w:r>
            <w:proofErr w:type="spellEnd"/>
            <w:r w:rsidRPr="00715C6C">
              <w:t xml:space="preserve"> is shifting over time, leading to operational load/fallout.</w:t>
            </w:r>
          </w:p>
        </w:tc>
      </w:tr>
      <w:tr w:rsidR="00715C6C" w:rsidRPr="00715C6C" w14:paraId="1A011520" w14:textId="77777777" w:rsidTr="00715C6C">
        <w:trPr>
          <w:tblCellSpacing w:w="15" w:type="dxa"/>
        </w:trPr>
        <w:tc>
          <w:tcPr>
            <w:tcW w:w="0" w:type="auto"/>
            <w:vAlign w:val="center"/>
            <w:hideMark/>
          </w:tcPr>
          <w:p w14:paraId="2DE58EE9" w14:textId="77777777" w:rsidR="00715C6C" w:rsidRPr="00715C6C" w:rsidRDefault="00715C6C" w:rsidP="00715C6C">
            <w:r w:rsidRPr="00715C6C">
              <w:lastRenderedPageBreak/>
              <w:t>Override Count</w:t>
            </w:r>
          </w:p>
        </w:tc>
        <w:tc>
          <w:tcPr>
            <w:tcW w:w="0" w:type="auto"/>
            <w:vAlign w:val="center"/>
            <w:hideMark/>
          </w:tcPr>
          <w:p w14:paraId="5AA855C3" w14:textId="77777777" w:rsidR="00715C6C" w:rsidRPr="00715C6C" w:rsidRDefault="00715C6C" w:rsidP="00715C6C">
            <w:r w:rsidRPr="00715C6C">
              <w:t>Count of applications where the bank overrode the model’s Refer/Decline outcome.</w:t>
            </w:r>
          </w:p>
        </w:tc>
        <w:tc>
          <w:tcPr>
            <w:tcW w:w="0" w:type="auto"/>
            <w:vAlign w:val="center"/>
            <w:hideMark/>
          </w:tcPr>
          <w:p w14:paraId="06EF00DF" w14:textId="77777777" w:rsidR="00715C6C" w:rsidRPr="00715C6C" w:rsidRDefault="00715C6C" w:rsidP="00715C6C">
            <w:r w:rsidRPr="00715C6C">
              <w:t>Helps assess trust in model and balance between automation and manual decisioning.</w:t>
            </w:r>
          </w:p>
        </w:tc>
      </w:tr>
      <w:tr w:rsidR="00715C6C" w:rsidRPr="00715C6C" w14:paraId="581954B3" w14:textId="77777777" w:rsidTr="00715C6C">
        <w:trPr>
          <w:tblCellSpacing w:w="15" w:type="dxa"/>
        </w:trPr>
        <w:tc>
          <w:tcPr>
            <w:tcW w:w="0" w:type="auto"/>
            <w:vAlign w:val="center"/>
            <w:hideMark/>
          </w:tcPr>
          <w:p w14:paraId="36942340" w14:textId="77777777" w:rsidR="00715C6C" w:rsidRPr="00715C6C" w:rsidRDefault="00715C6C" w:rsidP="00715C6C">
            <w:r w:rsidRPr="00715C6C">
              <w:t>Override Rate</w:t>
            </w:r>
          </w:p>
        </w:tc>
        <w:tc>
          <w:tcPr>
            <w:tcW w:w="0" w:type="auto"/>
            <w:vAlign w:val="center"/>
            <w:hideMark/>
          </w:tcPr>
          <w:p w14:paraId="6C1911AF" w14:textId="77777777" w:rsidR="00715C6C" w:rsidRPr="00715C6C" w:rsidRDefault="00715C6C" w:rsidP="00715C6C">
            <w:r w:rsidRPr="00715C6C">
              <w:t>Override Count / Total Refer + Decline</w:t>
            </w:r>
          </w:p>
        </w:tc>
        <w:tc>
          <w:tcPr>
            <w:tcW w:w="0" w:type="auto"/>
            <w:vAlign w:val="center"/>
            <w:hideMark/>
          </w:tcPr>
          <w:p w14:paraId="18C852B3" w14:textId="77777777" w:rsidR="00715C6C" w:rsidRPr="00715C6C" w:rsidRDefault="00715C6C" w:rsidP="00715C6C">
            <w:r w:rsidRPr="00715C6C">
              <w:t>High rates may signal misalignment between model output and business expectations.</w:t>
            </w:r>
          </w:p>
        </w:tc>
      </w:tr>
      <w:tr w:rsidR="00715C6C" w:rsidRPr="00715C6C" w14:paraId="18320BAE" w14:textId="77777777" w:rsidTr="00715C6C">
        <w:trPr>
          <w:tblCellSpacing w:w="15" w:type="dxa"/>
        </w:trPr>
        <w:tc>
          <w:tcPr>
            <w:tcW w:w="0" w:type="auto"/>
            <w:vAlign w:val="center"/>
            <w:hideMark/>
          </w:tcPr>
          <w:p w14:paraId="5ED32F4B" w14:textId="77777777" w:rsidR="00715C6C" w:rsidRPr="00715C6C" w:rsidRDefault="00715C6C" w:rsidP="00715C6C">
            <w:r w:rsidRPr="00715C6C">
              <w:t>Approved After Override</w:t>
            </w:r>
          </w:p>
        </w:tc>
        <w:tc>
          <w:tcPr>
            <w:tcW w:w="0" w:type="auto"/>
            <w:vAlign w:val="center"/>
            <w:hideMark/>
          </w:tcPr>
          <w:p w14:paraId="66CA2909" w14:textId="77777777" w:rsidR="00715C6C" w:rsidRPr="00715C6C" w:rsidRDefault="00715C6C" w:rsidP="00715C6C">
            <w:r w:rsidRPr="00715C6C">
              <w:t>Count of overridden applications that were ultimately approved.</w:t>
            </w:r>
          </w:p>
        </w:tc>
        <w:tc>
          <w:tcPr>
            <w:tcW w:w="0" w:type="auto"/>
            <w:vAlign w:val="center"/>
            <w:hideMark/>
          </w:tcPr>
          <w:p w14:paraId="74952179" w14:textId="77777777" w:rsidR="00715C6C" w:rsidRPr="00715C6C" w:rsidRDefault="00715C6C" w:rsidP="00715C6C">
            <w:r w:rsidRPr="00715C6C">
              <w:t>Evaluates override quality and operational benefit.</w:t>
            </w:r>
          </w:p>
        </w:tc>
      </w:tr>
      <w:tr w:rsidR="00715C6C" w:rsidRPr="00715C6C" w14:paraId="255AD270" w14:textId="77777777" w:rsidTr="00715C6C">
        <w:trPr>
          <w:tblCellSpacing w:w="15" w:type="dxa"/>
        </w:trPr>
        <w:tc>
          <w:tcPr>
            <w:tcW w:w="0" w:type="auto"/>
            <w:vAlign w:val="center"/>
            <w:hideMark/>
          </w:tcPr>
          <w:p w14:paraId="52F6DB44" w14:textId="77777777" w:rsidR="00715C6C" w:rsidRPr="00715C6C" w:rsidRDefault="00715C6C" w:rsidP="00715C6C">
            <w:r w:rsidRPr="00715C6C">
              <w:t>Approval After Override %</w:t>
            </w:r>
          </w:p>
        </w:tc>
        <w:tc>
          <w:tcPr>
            <w:tcW w:w="0" w:type="auto"/>
            <w:vAlign w:val="center"/>
            <w:hideMark/>
          </w:tcPr>
          <w:p w14:paraId="63469D5D" w14:textId="77777777" w:rsidR="00715C6C" w:rsidRPr="00715C6C" w:rsidRDefault="00715C6C" w:rsidP="00715C6C">
            <w:r w:rsidRPr="00715C6C">
              <w:t>Approved Overrides / Total Overrides</w:t>
            </w:r>
          </w:p>
        </w:tc>
        <w:tc>
          <w:tcPr>
            <w:tcW w:w="0" w:type="auto"/>
            <w:vAlign w:val="center"/>
            <w:hideMark/>
          </w:tcPr>
          <w:p w14:paraId="270FD493" w14:textId="77777777" w:rsidR="00715C6C" w:rsidRPr="00715C6C" w:rsidRDefault="00715C6C" w:rsidP="00715C6C">
            <w:r w:rsidRPr="00715C6C">
              <w:t>A high number may suggest the model is overly conservative and needs calibration.</w:t>
            </w:r>
          </w:p>
        </w:tc>
      </w:tr>
      <w:tr w:rsidR="00715C6C" w:rsidRPr="00715C6C" w14:paraId="48D23EB2" w14:textId="77777777" w:rsidTr="00715C6C">
        <w:trPr>
          <w:tblCellSpacing w:w="15" w:type="dxa"/>
        </w:trPr>
        <w:tc>
          <w:tcPr>
            <w:tcW w:w="0" w:type="auto"/>
            <w:vAlign w:val="center"/>
            <w:hideMark/>
          </w:tcPr>
          <w:p w14:paraId="2847CDA8" w14:textId="77777777" w:rsidR="00715C6C" w:rsidRPr="00715C6C" w:rsidRDefault="00715C6C" w:rsidP="00715C6C">
            <w:r w:rsidRPr="00715C6C">
              <w:t>Fraud Cases Identified</w:t>
            </w:r>
          </w:p>
        </w:tc>
        <w:tc>
          <w:tcPr>
            <w:tcW w:w="0" w:type="auto"/>
            <w:vAlign w:val="center"/>
            <w:hideMark/>
          </w:tcPr>
          <w:p w14:paraId="65A97DFF" w14:textId="77777777" w:rsidR="00715C6C" w:rsidRPr="00715C6C" w:rsidRDefault="00715C6C" w:rsidP="00715C6C">
            <w:r w:rsidRPr="00715C6C">
              <w:t>Number of applications flagged as fraud post-onboarding.</w:t>
            </w:r>
          </w:p>
        </w:tc>
        <w:tc>
          <w:tcPr>
            <w:tcW w:w="0" w:type="auto"/>
            <w:vAlign w:val="center"/>
            <w:hideMark/>
          </w:tcPr>
          <w:p w14:paraId="325382EB" w14:textId="77777777" w:rsidR="00715C6C" w:rsidRPr="00715C6C" w:rsidRDefault="00715C6C" w:rsidP="00715C6C">
            <w:r w:rsidRPr="00715C6C">
              <w:t>Provides ground truth for measuring detection effectiveness.</w:t>
            </w:r>
          </w:p>
        </w:tc>
      </w:tr>
      <w:tr w:rsidR="00715C6C" w:rsidRPr="00715C6C" w14:paraId="6F19F13C" w14:textId="77777777" w:rsidTr="00715C6C">
        <w:trPr>
          <w:tblCellSpacing w:w="15" w:type="dxa"/>
        </w:trPr>
        <w:tc>
          <w:tcPr>
            <w:tcW w:w="0" w:type="auto"/>
            <w:vAlign w:val="center"/>
            <w:hideMark/>
          </w:tcPr>
          <w:p w14:paraId="44BC1DE3" w14:textId="77777777" w:rsidR="00715C6C" w:rsidRPr="00715C6C" w:rsidRDefault="00715C6C" w:rsidP="00715C6C">
            <w:r w:rsidRPr="00715C6C">
              <w:t>Fraud Caught via Refer/Decline</w:t>
            </w:r>
          </w:p>
        </w:tc>
        <w:tc>
          <w:tcPr>
            <w:tcW w:w="0" w:type="auto"/>
            <w:vAlign w:val="center"/>
            <w:hideMark/>
          </w:tcPr>
          <w:p w14:paraId="7FD36487" w14:textId="77777777" w:rsidR="00715C6C" w:rsidRPr="00715C6C" w:rsidRDefault="00715C6C" w:rsidP="00715C6C">
            <w:r w:rsidRPr="00715C6C">
              <w:t>Fraud cases that were flagged at onboarding by the model.</w:t>
            </w:r>
          </w:p>
        </w:tc>
        <w:tc>
          <w:tcPr>
            <w:tcW w:w="0" w:type="auto"/>
            <w:vAlign w:val="center"/>
            <w:hideMark/>
          </w:tcPr>
          <w:p w14:paraId="6BC491CA" w14:textId="77777777" w:rsidR="00715C6C" w:rsidRPr="00715C6C" w:rsidRDefault="00715C6C" w:rsidP="00715C6C">
            <w:r w:rsidRPr="00715C6C">
              <w:t>Indicates model success in detecting risky applicants early.</w:t>
            </w:r>
          </w:p>
        </w:tc>
      </w:tr>
      <w:tr w:rsidR="00715C6C" w:rsidRPr="00715C6C" w14:paraId="6D214A9C" w14:textId="77777777" w:rsidTr="00715C6C">
        <w:trPr>
          <w:tblCellSpacing w:w="15" w:type="dxa"/>
        </w:trPr>
        <w:tc>
          <w:tcPr>
            <w:tcW w:w="0" w:type="auto"/>
            <w:vAlign w:val="center"/>
            <w:hideMark/>
          </w:tcPr>
          <w:p w14:paraId="51487891" w14:textId="77777777" w:rsidR="00715C6C" w:rsidRPr="00715C6C" w:rsidRDefault="00715C6C" w:rsidP="00715C6C">
            <w:r w:rsidRPr="00715C6C">
              <w:t>Fraud Capture Rate</w:t>
            </w:r>
          </w:p>
        </w:tc>
        <w:tc>
          <w:tcPr>
            <w:tcW w:w="0" w:type="auto"/>
            <w:vAlign w:val="center"/>
            <w:hideMark/>
          </w:tcPr>
          <w:p w14:paraId="6446308F" w14:textId="77777777" w:rsidR="00715C6C" w:rsidRPr="00715C6C" w:rsidRDefault="00715C6C" w:rsidP="00715C6C">
            <w:r w:rsidRPr="00715C6C">
              <w:t>Fraud Caught / Total Fraud Cases</w:t>
            </w:r>
          </w:p>
        </w:tc>
        <w:tc>
          <w:tcPr>
            <w:tcW w:w="0" w:type="auto"/>
            <w:vAlign w:val="center"/>
            <w:hideMark/>
          </w:tcPr>
          <w:p w14:paraId="73C1CEA3" w14:textId="77777777" w:rsidR="00715C6C" w:rsidRPr="00715C6C" w:rsidRDefault="00715C6C" w:rsidP="00715C6C">
            <w:r w:rsidRPr="00715C6C">
              <w:t>Primary performance metric; assesses detection effectiveness of the model.</w:t>
            </w:r>
          </w:p>
        </w:tc>
      </w:tr>
      <w:tr w:rsidR="00715C6C" w:rsidRPr="00715C6C" w14:paraId="335FE392" w14:textId="77777777" w:rsidTr="00715C6C">
        <w:trPr>
          <w:tblCellSpacing w:w="15" w:type="dxa"/>
        </w:trPr>
        <w:tc>
          <w:tcPr>
            <w:tcW w:w="0" w:type="auto"/>
            <w:vAlign w:val="center"/>
            <w:hideMark/>
          </w:tcPr>
          <w:p w14:paraId="31382534" w14:textId="77777777" w:rsidR="00715C6C" w:rsidRPr="00715C6C" w:rsidRDefault="00715C6C" w:rsidP="00715C6C">
            <w:r w:rsidRPr="00715C6C">
              <w:t>Fraud Miss Rate</w:t>
            </w:r>
          </w:p>
        </w:tc>
        <w:tc>
          <w:tcPr>
            <w:tcW w:w="0" w:type="auto"/>
            <w:vAlign w:val="center"/>
            <w:hideMark/>
          </w:tcPr>
          <w:p w14:paraId="51F81056" w14:textId="77777777" w:rsidR="00715C6C" w:rsidRPr="00715C6C" w:rsidRDefault="00715C6C" w:rsidP="00715C6C">
            <w:r w:rsidRPr="00715C6C">
              <w:t>Fraud cases that received “Approve” or scored in low-risk range.</w:t>
            </w:r>
          </w:p>
        </w:tc>
        <w:tc>
          <w:tcPr>
            <w:tcW w:w="0" w:type="auto"/>
            <w:vAlign w:val="center"/>
            <w:hideMark/>
          </w:tcPr>
          <w:p w14:paraId="349781EB" w14:textId="77777777" w:rsidR="00715C6C" w:rsidRPr="00715C6C" w:rsidRDefault="00715C6C" w:rsidP="00715C6C">
            <w:r w:rsidRPr="00715C6C">
              <w:t>Helps identify model blind spots and underperformance in certain score bands.</w:t>
            </w:r>
          </w:p>
        </w:tc>
      </w:tr>
      <w:tr w:rsidR="00715C6C" w:rsidRPr="00715C6C" w14:paraId="6F0617E3" w14:textId="77777777" w:rsidTr="00715C6C">
        <w:trPr>
          <w:tblCellSpacing w:w="15" w:type="dxa"/>
        </w:trPr>
        <w:tc>
          <w:tcPr>
            <w:tcW w:w="0" w:type="auto"/>
            <w:vAlign w:val="center"/>
            <w:hideMark/>
          </w:tcPr>
          <w:p w14:paraId="00AA31A8" w14:textId="77777777" w:rsidR="00715C6C" w:rsidRPr="00715C6C" w:rsidRDefault="00715C6C" w:rsidP="00715C6C">
            <w:r w:rsidRPr="00715C6C">
              <w:t>False Decline Count</w:t>
            </w:r>
          </w:p>
        </w:tc>
        <w:tc>
          <w:tcPr>
            <w:tcW w:w="0" w:type="auto"/>
            <w:vAlign w:val="center"/>
            <w:hideMark/>
          </w:tcPr>
          <w:p w14:paraId="1C3FB6CD" w14:textId="77777777" w:rsidR="00715C6C" w:rsidRPr="00715C6C" w:rsidRDefault="00715C6C" w:rsidP="00715C6C">
            <w:r w:rsidRPr="00715C6C">
              <w:t>Legitimate customers flagged as risky but later approved.</w:t>
            </w:r>
          </w:p>
        </w:tc>
        <w:tc>
          <w:tcPr>
            <w:tcW w:w="0" w:type="auto"/>
            <w:vAlign w:val="center"/>
            <w:hideMark/>
          </w:tcPr>
          <w:p w14:paraId="535495DD" w14:textId="77777777" w:rsidR="00715C6C" w:rsidRPr="00715C6C" w:rsidRDefault="00715C6C" w:rsidP="00715C6C">
            <w:r w:rsidRPr="00715C6C">
              <w:t>Measures customer impact and operational friction due to over-flagging.</w:t>
            </w:r>
          </w:p>
        </w:tc>
      </w:tr>
      <w:tr w:rsidR="00715C6C" w:rsidRPr="00715C6C" w14:paraId="40B2F856" w14:textId="77777777" w:rsidTr="00715C6C">
        <w:trPr>
          <w:tblCellSpacing w:w="15" w:type="dxa"/>
        </w:trPr>
        <w:tc>
          <w:tcPr>
            <w:tcW w:w="0" w:type="auto"/>
            <w:vAlign w:val="center"/>
            <w:hideMark/>
          </w:tcPr>
          <w:p w14:paraId="57CF4478" w14:textId="77777777" w:rsidR="00715C6C" w:rsidRPr="00715C6C" w:rsidRDefault="00715C6C" w:rsidP="00715C6C">
            <w:r w:rsidRPr="00715C6C">
              <w:t>False Decline Rate</w:t>
            </w:r>
          </w:p>
        </w:tc>
        <w:tc>
          <w:tcPr>
            <w:tcW w:w="0" w:type="auto"/>
            <w:vAlign w:val="center"/>
            <w:hideMark/>
          </w:tcPr>
          <w:p w14:paraId="458283BD" w14:textId="77777777" w:rsidR="00715C6C" w:rsidRPr="00715C6C" w:rsidRDefault="00715C6C" w:rsidP="00715C6C">
            <w:r w:rsidRPr="00715C6C">
              <w:t>False Decline Count / Total Applications</w:t>
            </w:r>
          </w:p>
        </w:tc>
        <w:tc>
          <w:tcPr>
            <w:tcW w:w="0" w:type="auto"/>
            <w:vAlign w:val="center"/>
            <w:hideMark/>
          </w:tcPr>
          <w:p w14:paraId="3B04C2D3" w14:textId="77777777" w:rsidR="00715C6C" w:rsidRPr="00715C6C" w:rsidRDefault="00715C6C" w:rsidP="00715C6C">
            <w:r w:rsidRPr="00715C6C">
              <w:t>Should ideally be under 3%; critical for customer experience and channel drop-off rates.</w:t>
            </w:r>
          </w:p>
        </w:tc>
      </w:tr>
      <w:tr w:rsidR="00715C6C" w:rsidRPr="00715C6C" w14:paraId="55BE9858" w14:textId="77777777" w:rsidTr="00715C6C">
        <w:trPr>
          <w:tblCellSpacing w:w="15" w:type="dxa"/>
        </w:trPr>
        <w:tc>
          <w:tcPr>
            <w:tcW w:w="0" w:type="auto"/>
            <w:vAlign w:val="center"/>
            <w:hideMark/>
          </w:tcPr>
          <w:p w14:paraId="2CEDD35C" w14:textId="77777777" w:rsidR="00715C6C" w:rsidRPr="00715C6C" w:rsidRDefault="00715C6C" w:rsidP="00715C6C">
            <w:r w:rsidRPr="00715C6C">
              <w:lastRenderedPageBreak/>
              <w:t>PSI – Score Band</w:t>
            </w:r>
          </w:p>
        </w:tc>
        <w:tc>
          <w:tcPr>
            <w:tcW w:w="0" w:type="auto"/>
            <w:vAlign w:val="center"/>
            <w:hideMark/>
          </w:tcPr>
          <w:p w14:paraId="3AD23B47" w14:textId="77777777" w:rsidR="00715C6C" w:rsidRPr="00715C6C" w:rsidRDefault="00715C6C" w:rsidP="00715C6C">
            <w:proofErr w:type="gramStart"/>
            <w:r w:rsidRPr="00715C6C">
              <w:t>Σ[</w:t>
            </w:r>
            <w:proofErr w:type="gramEnd"/>
            <w:r w:rsidRPr="00715C6C">
              <w:t xml:space="preserve">(Mon% - Base%) × </w:t>
            </w:r>
            <w:proofErr w:type="gramStart"/>
            <w:r w:rsidRPr="00715C6C">
              <w:t>ln(</w:t>
            </w:r>
            <w:proofErr w:type="gramEnd"/>
            <w:r w:rsidRPr="00715C6C">
              <w:t>Mon% / Base%)] across score bands.</w:t>
            </w:r>
          </w:p>
        </w:tc>
        <w:tc>
          <w:tcPr>
            <w:tcW w:w="0" w:type="auto"/>
            <w:vAlign w:val="center"/>
            <w:hideMark/>
          </w:tcPr>
          <w:p w14:paraId="2E38D7E1" w14:textId="77777777" w:rsidR="00715C6C" w:rsidRPr="00715C6C" w:rsidRDefault="00715C6C" w:rsidP="00715C6C">
            <w:r w:rsidRPr="00715C6C">
              <w:t>Detects scoring population shift; early warning for drift or upstream input changes.</w:t>
            </w:r>
          </w:p>
        </w:tc>
      </w:tr>
      <w:tr w:rsidR="00715C6C" w:rsidRPr="00715C6C" w14:paraId="174B99E6" w14:textId="77777777" w:rsidTr="00617F1A">
        <w:trPr>
          <w:tblCellSpacing w:w="15" w:type="dxa"/>
        </w:trPr>
        <w:tc>
          <w:tcPr>
            <w:tcW w:w="0" w:type="auto"/>
            <w:vAlign w:val="center"/>
          </w:tcPr>
          <w:p w14:paraId="0BE75E5C" w14:textId="701E5F51" w:rsidR="00715C6C" w:rsidRPr="00715C6C" w:rsidRDefault="00715C6C" w:rsidP="00715C6C"/>
        </w:tc>
        <w:tc>
          <w:tcPr>
            <w:tcW w:w="0" w:type="auto"/>
            <w:vAlign w:val="center"/>
          </w:tcPr>
          <w:p w14:paraId="461BA299" w14:textId="1FCF55E1" w:rsidR="00715C6C" w:rsidRPr="00715C6C" w:rsidRDefault="00715C6C" w:rsidP="00715C6C"/>
        </w:tc>
        <w:tc>
          <w:tcPr>
            <w:tcW w:w="0" w:type="auto"/>
            <w:vAlign w:val="center"/>
          </w:tcPr>
          <w:p w14:paraId="2D39A3BF" w14:textId="61C00D69" w:rsidR="00715C6C" w:rsidRPr="00715C6C" w:rsidRDefault="00715C6C" w:rsidP="00715C6C"/>
        </w:tc>
      </w:tr>
    </w:tbl>
    <w:p w14:paraId="12A7A82B" w14:textId="77777777" w:rsidR="00A23EC4" w:rsidRPr="00A23EC4" w:rsidRDefault="00000000" w:rsidP="00A23EC4">
      <w:r>
        <w:pict w14:anchorId="3399D799">
          <v:rect id="_x0000_i1030" style="width:0;height:1.5pt" o:hralign="center" o:hrstd="t" o:hr="t" fillcolor="#a0a0a0" stroked="f"/>
        </w:pict>
      </w:r>
    </w:p>
    <w:p w14:paraId="44EB3351" w14:textId="14EFB921" w:rsidR="00A23EC4" w:rsidRDefault="00A23EC4" w:rsidP="00A23EC4">
      <w:pPr>
        <w:rPr>
          <w:b/>
          <w:bCs/>
        </w:rPr>
      </w:pPr>
      <w:r w:rsidRPr="00A23EC4">
        <w:rPr>
          <w:b/>
          <w:bCs/>
        </w:rPr>
        <w:t xml:space="preserve">6. Sample Monitoring Table </w:t>
      </w:r>
    </w:p>
    <w:p w14:paraId="420E3188" w14:textId="1DBC0A28" w:rsidR="00A23EC4" w:rsidRDefault="00D97558" w:rsidP="00A23EC4">
      <w:pPr>
        <w:rPr>
          <w:b/>
          <w:bCs/>
        </w:rPr>
      </w:pPr>
      <w:r w:rsidRPr="00D97558">
        <w:drawing>
          <wp:inline distT="0" distB="0" distL="0" distR="0" wp14:anchorId="4E9F8C65" wp14:editId="71743F0C">
            <wp:extent cx="5731510" cy="3934460"/>
            <wp:effectExtent l="0" t="0" r="2540" b="8890"/>
            <wp:docPr id="1252012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934460"/>
                    </a:xfrm>
                    <a:prstGeom prst="rect">
                      <a:avLst/>
                    </a:prstGeom>
                    <a:noFill/>
                    <a:ln>
                      <a:noFill/>
                    </a:ln>
                  </pic:spPr>
                </pic:pic>
              </a:graphicData>
            </a:graphic>
          </wp:inline>
        </w:drawing>
      </w:r>
    </w:p>
    <w:p w14:paraId="5BC2CA5C" w14:textId="7C719C41" w:rsidR="00FB1E52" w:rsidRDefault="00D97558" w:rsidP="00A23EC4">
      <w:pPr>
        <w:rPr>
          <w:b/>
          <w:bCs/>
        </w:rPr>
      </w:pPr>
      <w:r w:rsidRPr="00D97558">
        <w:drawing>
          <wp:inline distT="0" distB="0" distL="0" distR="0" wp14:anchorId="287A984C" wp14:editId="68222EE5">
            <wp:extent cx="5731510" cy="1093470"/>
            <wp:effectExtent l="0" t="0" r="2540" b="0"/>
            <wp:docPr id="1976347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093470"/>
                    </a:xfrm>
                    <a:prstGeom prst="rect">
                      <a:avLst/>
                    </a:prstGeom>
                    <a:noFill/>
                    <a:ln>
                      <a:noFill/>
                    </a:ln>
                  </pic:spPr>
                </pic:pic>
              </a:graphicData>
            </a:graphic>
          </wp:inline>
        </w:drawing>
      </w:r>
    </w:p>
    <w:p w14:paraId="271029E6" w14:textId="77777777" w:rsidR="00A23EC4" w:rsidRPr="00A23EC4" w:rsidRDefault="00000000" w:rsidP="00A23EC4">
      <w:r>
        <w:pict w14:anchorId="2FF0C7AC">
          <v:rect id="_x0000_i1031" style="width:0;height:1.5pt" o:hralign="center" o:hrstd="t" o:hr="t" fillcolor="#a0a0a0" stroked="f"/>
        </w:pict>
      </w:r>
    </w:p>
    <w:p w14:paraId="4F138269" w14:textId="77777777" w:rsidR="00D97558" w:rsidRDefault="00D97558" w:rsidP="00A23EC4">
      <w:pPr>
        <w:rPr>
          <w:b/>
          <w:bCs/>
        </w:rPr>
      </w:pPr>
    </w:p>
    <w:p w14:paraId="2E9078A1" w14:textId="77777777" w:rsidR="00D97558" w:rsidRDefault="00D97558" w:rsidP="00A23EC4">
      <w:pPr>
        <w:rPr>
          <w:b/>
          <w:bCs/>
        </w:rPr>
      </w:pPr>
    </w:p>
    <w:p w14:paraId="307D224C" w14:textId="77777777" w:rsidR="00D97558" w:rsidRDefault="00D97558" w:rsidP="00A23EC4">
      <w:pPr>
        <w:rPr>
          <w:b/>
          <w:bCs/>
        </w:rPr>
      </w:pPr>
    </w:p>
    <w:p w14:paraId="32241BB8" w14:textId="77707673" w:rsidR="00A23EC4" w:rsidRPr="00A23EC4" w:rsidRDefault="00A23EC4" w:rsidP="00A23EC4">
      <w:pPr>
        <w:rPr>
          <w:b/>
          <w:bCs/>
        </w:rPr>
      </w:pPr>
      <w:r w:rsidRPr="00A23EC4">
        <w:rPr>
          <w:b/>
          <w:bCs/>
        </w:rPr>
        <w:lastRenderedPageBreak/>
        <w:t>7. Governance and Reporting</w:t>
      </w:r>
    </w:p>
    <w:p w14:paraId="2E484068" w14:textId="77777777" w:rsidR="00A23EC4" w:rsidRPr="00A23EC4" w:rsidRDefault="00A23EC4" w:rsidP="00A23EC4">
      <w:pPr>
        <w:numPr>
          <w:ilvl w:val="0"/>
          <w:numId w:val="2"/>
        </w:numPr>
      </w:pPr>
      <w:r w:rsidRPr="00A23EC4">
        <w:rPr>
          <w:b/>
          <w:bCs/>
        </w:rPr>
        <w:t>Frequency</w:t>
      </w:r>
      <w:r w:rsidRPr="00A23EC4">
        <w:t>: Monthly operational review, quarterly model performance reporting.</w:t>
      </w:r>
    </w:p>
    <w:p w14:paraId="24DB921A" w14:textId="77777777" w:rsidR="00A23EC4" w:rsidRPr="00A23EC4" w:rsidRDefault="00A23EC4" w:rsidP="00A23EC4">
      <w:pPr>
        <w:numPr>
          <w:ilvl w:val="0"/>
          <w:numId w:val="2"/>
        </w:numPr>
      </w:pPr>
      <w:r w:rsidRPr="00A23EC4">
        <w:rPr>
          <w:b/>
          <w:bCs/>
        </w:rPr>
        <w:t>Owners</w:t>
      </w:r>
      <w:r w:rsidRPr="00A23EC4">
        <w:t>: Fraud Strategy, Model Risk Validation, Operations Analytics</w:t>
      </w:r>
    </w:p>
    <w:p w14:paraId="1680AB64" w14:textId="77777777" w:rsidR="00A23EC4" w:rsidRPr="00A23EC4" w:rsidRDefault="00A23EC4" w:rsidP="00A23EC4">
      <w:pPr>
        <w:numPr>
          <w:ilvl w:val="0"/>
          <w:numId w:val="2"/>
        </w:numPr>
      </w:pPr>
      <w:r w:rsidRPr="00A23EC4">
        <w:rPr>
          <w:b/>
          <w:bCs/>
        </w:rPr>
        <w:t>Trigger Points</w:t>
      </w:r>
      <w:r w:rsidRPr="00A23EC4">
        <w:t>:</w:t>
      </w:r>
    </w:p>
    <w:p w14:paraId="613BDACA" w14:textId="77777777" w:rsidR="00A23EC4" w:rsidRPr="00A23EC4" w:rsidRDefault="00A23EC4" w:rsidP="00A23EC4">
      <w:pPr>
        <w:numPr>
          <w:ilvl w:val="1"/>
          <w:numId w:val="2"/>
        </w:numPr>
      </w:pPr>
      <w:r w:rsidRPr="00A23EC4">
        <w:t>PSI &gt; 0.10 for two consecutive periods</w:t>
      </w:r>
    </w:p>
    <w:p w14:paraId="504571D1" w14:textId="77777777" w:rsidR="00A23EC4" w:rsidRPr="00A23EC4" w:rsidRDefault="00A23EC4" w:rsidP="00A23EC4">
      <w:pPr>
        <w:numPr>
          <w:ilvl w:val="1"/>
          <w:numId w:val="2"/>
        </w:numPr>
      </w:pPr>
      <w:r w:rsidRPr="00A23EC4">
        <w:t>Override Rate consistently &gt;30%</w:t>
      </w:r>
    </w:p>
    <w:p w14:paraId="132C3120" w14:textId="77777777" w:rsidR="00A23EC4" w:rsidRPr="00A23EC4" w:rsidRDefault="00A23EC4" w:rsidP="00A23EC4">
      <w:pPr>
        <w:numPr>
          <w:ilvl w:val="1"/>
          <w:numId w:val="2"/>
        </w:numPr>
      </w:pPr>
      <w:r w:rsidRPr="00A23EC4">
        <w:t>Fraud Capture Rate &lt; 70%</w:t>
      </w:r>
    </w:p>
    <w:p w14:paraId="21655612" w14:textId="77777777" w:rsidR="00A23EC4" w:rsidRPr="00A23EC4" w:rsidRDefault="00A23EC4" w:rsidP="00A23EC4">
      <w:pPr>
        <w:numPr>
          <w:ilvl w:val="0"/>
          <w:numId w:val="2"/>
        </w:numPr>
      </w:pPr>
      <w:r w:rsidRPr="00A23EC4">
        <w:rPr>
          <w:b/>
          <w:bCs/>
        </w:rPr>
        <w:t>Review Forum</w:t>
      </w:r>
      <w:r w:rsidRPr="00A23EC4">
        <w:t>: Monthly Model Monitoring Committee or Fraud Governance Council</w:t>
      </w:r>
    </w:p>
    <w:p w14:paraId="47A3A1EB" w14:textId="77777777" w:rsidR="00A23EC4" w:rsidRPr="00A23EC4" w:rsidRDefault="00000000" w:rsidP="00A23EC4">
      <w:r>
        <w:pict w14:anchorId="4328E913">
          <v:rect id="_x0000_i1032" style="width:0;height:1.5pt" o:hralign="center" o:hrstd="t" o:hr="t" fillcolor="#a0a0a0" stroked="f"/>
        </w:pict>
      </w:r>
    </w:p>
    <w:sectPr w:rsidR="00A23EC4" w:rsidRPr="00A23E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14FA6"/>
    <w:multiLevelType w:val="multilevel"/>
    <w:tmpl w:val="BC4C2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6E1764"/>
    <w:multiLevelType w:val="multilevel"/>
    <w:tmpl w:val="20CE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3F2F5D"/>
    <w:multiLevelType w:val="multilevel"/>
    <w:tmpl w:val="6066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B72110"/>
    <w:multiLevelType w:val="multilevel"/>
    <w:tmpl w:val="184E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674C73"/>
    <w:multiLevelType w:val="multilevel"/>
    <w:tmpl w:val="29B69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5144628">
    <w:abstractNumId w:val="3"/>
  </w:num>
  <w:num w:numId="2" w16cid:durableId="921060879">
    <w:abstractNumId w:val="4"/>
  </w:num>
  <w:num w:numId="3" w16cid:durableId="9381084">
    <w:abstractNumId w:val="0"/>
  </w:num>
  <w:num w:numId="4" w16cid:durableId="1723475867">
    <w:abstractNumId w:val="2"/>
  </w:num>
  <w:num w:numId="5" w16cid:durableId="1139108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EC4"/>
    <w:rsid w:val="002D3CE9"/>
    <w:rsid w:val="00357F22"/>
    <w:rsid w:val="003E6349"/>
    <w:rsid w:val="00481695"/>
    <w:rsid w:val="004E5869"/>
    <w:rsid w:val="0055313B"/>
    <w:rsid w:val="00617F1A"/>
    <w:rsid w:val="006505A9"/>
    <w:rsid w:val="00715C6C"/>
    <w:rsid w:val="00954667"/>
    <w:rsid w:val="00A23EC4"/>
    <w:rsid w:val="00A4271B"/>
    <w:rsid w:val="00AC4D67"/>
    <w:rsid w:val="00B52BA4"/>
    <w:rsid w:val="00B94BB9"/>
    <w:rsid w:val="00C9470B"/>
    <w:rsid w:val="00D26346"/>
    <w:rsid w:val="00D97558"/>
    <w:rsid w:val="00E851DF"/>
    <w:rsid w:val="00FB1E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B392C"/>
  <w15:chartTrackingRefBased/>
  <w15:docId w15:val="{D084625C-9C55-4DDB-9C13-10D04F622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E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3E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3E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3E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3E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3E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E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E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E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E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3E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3E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3E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3E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3E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E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E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EC4"/>
    <w:rPr>
      <w:rFonts w:eastAsiaTheme="majorEastAsia" w:cstheme="majorBidi"/>
      <w:color w:val="272727" w:themeColor="text1" w:themeTint="D8"/>
    </w:rPr>
  </w:style>
  <w:style w:type="paragraph" w:styleId="Title">
    <w:name w:val="Title"/>
    <w:basedOn w:val="Normal"/>
    <w:next w:val="Normal"/>
    <w:link w:val="TitleChar"/>
    <w:uiPriority w:val="10"/>
    <w:qFormat/>
    <w:rsid w:val="00A23E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E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E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E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EC4"/>
    <w:pPr>
      <w:spacing w:before="160"/>
      <w:jc w:val="center"/>
    </w:pPr>
    <w:rPr>
      <w:i/>
      <w:iCs/>
      <w:color w:val="404040" w:themeColor="text1" w:themeTint="BF"/>
    </w:rPr>
  </w:style>
  <w:style w:type="character" w:customStyle="1" w:styleId="QuoteChar">
    <w:name w:val="Quote Char"/>
    <w:basedOn w:val="DefaultParagraphFont"/>
    <w:link w:val="Quote"/>
    <w:uiPriority w:val="29"/>
    <w:rsid w:val="00A23EC4"/>
    <w:rPr>
      <w:i/>
      <w:iCs/>
      <w:color w:val="404040" w:themeColor="text1" w:themeTint="BF"/>
    </w:rPr>
  </w:style>
  <w:style w:type="paragraph" w:styleId="ListParagraph">
    <w:name w:val="List Paragraph"/>
    <w:basedOn w:val="Normal"/>
    <w:uiPriority w:val="34"/>
    <w:qFormat/>
    <w:rsid w:val="00A23EC4"/>
    <w:pPr>
      <w:ind w:left="720"/>
      <w:contextualSpacing/>
    </w:pPr>
  </w:style>
  <w:style w:type="character" w:styleId="IntenseEmphasis">
    <w:name w:val="Intense Emphasis"/>
    <w:basedOn w:val="DefaultParagraphFont"/>
    <w:uiPriority w:val="21"/>
    <w:qFormat/>
    <w:rsid w:val="00A23EC4"/>
    <w:rPr>
      <w:i/>
      <w:iCs/>
      <w:color w:val="0F4761" w:themeColor="accent1" w:themeShade="BF"/>
    </w:rPr>
  </w:style>
  <w:style w:type="paragraph" w:styleId="IntenseQuote">
    <w:name w:val="Intense Quote"/>
    <w:basedOn w:val="Normal"/>
    <w:next w:val="Normal"/>
    <w:link w:val="IntenseQuoteChar"/>
    <w:uiPriority w:val="30"/>
    <w:qFormat/>
    <w:rsid w:val="00A23E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3EC4"/>
    <w:rPr>
      <w:i/>
      <w:iCs/>
      <w:color w:val="0F4761" w:themeColor="accent1" w:themeShade="BF"/>
    </w:rPr>
  </w:style>
  <w:style w:type="character" w:styleId="IntenseReference">
    <w:name w:val="Intense Reference"/>
    <w:basedOn w:val="DefaultParagraphFont"/>
    <w:uiPriority w:val="32"/>
    <w:qFormat/>
    <w:rsid w:val="00A23EC4"/>
    <w:rPr>
      <w:b/>
      <w:bCs/>
      <w:smallCaps/>
      <w:color w:val="0F4761" w:themeColor="accent1" w:themeShade="BF"/>
      <w:spacing w:val="5"/>
    </w:rPr>
  </w:style>
  <w:style w:type="table" w:styleId="TableGridLight">
    <w:name w:val="Grid Table Light"/>
    <w:basedOn w:val="TableNormal"/>
    <w:uiPriority w:val="40"/>
    <w:rsid w:val="005531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5313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D26346"/>
    <w:rPr>
      <w:b/>
      <w:bCs/>
    </w:rPr>
  </w:style>
  <w:style w:type="character" w:styleId="HTMLCode">
    <w:name w:val="HTML Code"/>
    <w:basedOn w:val="DefaultParagraphFont"/>
    <w:uiPriority w:val="99"/>
    <w:semiHidden/>
    <w:unhideWhenUsed/>
    <w:rsid w:val="00D263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443305">
      <w:bodyDiv w:val="1"/>
      <w:marLeft w:val="0"/>
      <w:marRight w:val="0"/>
      <w:marTop w:val="0"/>
      <w:marBottom w:val="0"/>
      <w:divBdr>
        <w:top w:val="none" w:sz="0" w:space="0" w:color="auto"/>
        <w:left w:val="none" w:sz="0" w:space="0" w:color="auto"/>
        <w:bottom w:val="none" w:sz="0" w:space="0" w:color="auto"/>
        <w:right w:val="none" w:sz="0" w:space="0" w:color="auto"/>
      </w:divBdr>
    </w:div>
    <w:div w:id="220480022">
      <w:bodyDiv w:val="1"/>
      <w:marLeft w:val="0"/>
      <w:marRight w:val="0"/>
      <w:marTop w:val="0"/>
      <w:marBottom w:val="0"/>
      <w:divBdr>
        <w:top w:val="none" w:sz="0" w:space="0" w:color="auto"/>
        <w:left w:val="none" w:sz="0" w:space="0" w:color="auto"/>
        <w:bottom w:val="none" w:sz="0" w:space="0" w:color="auto"/>
        <w:right w:val="none" w:sz="0" w:space="0" w:color="auto"/>
      </w:divBdr>
    </w:div>
    <w:div w:id="428892165">
      <w:bodyDiv w:val="1"/>
      <w:marLeft w:val="0"/>
      <w:marRight w:val="0"/>
      <w:marTop w:val="0"/>
      <w:marBottom w:val="0"/>
      <w:divBdr>
        <w:top w:val="none" w:sz="0" w:space="0" w:color="auto"/>
        <w:left w:val="none" w:sz="0" w:space="0" w:color="auto"/>
        <w:bottom w:val="none" w:sz="0" w:space="0" w:color="auto"/>
        <w:right w:val="none" w:sz="0" w:space="0" w:color="auto"/>
      </w:divBdr>
    </w:div>
    <w:div w:id="452485976">
      <w:bodyDiv w:val="1"/>
      <w:marLeft w:val="0"/>
      <w:marRight w:val="0"/>
      <w:marTop w:val="0"/>
      <w:marBottom w:val="0"/>
      <w:divBdr>
        <w:top w:val="none" w:sz="0" w:space="0" w:color="auto"/>
        <w:left w:val="none" w:sz="0" w:space="0" w:color="auto"/>
        <w:bottom w:val="none" w:sz="0" w:space="0" w:color="auto"/>
        <w:right w:val="none" w:sz="0" w:space="0" w:color="auto"/>
      </w:divBdr>
    </w:div>
    <w:div w:id="484276214">
      <w:bodyDiv w:val="1"/>
      <w:marLeft w:val="0"/>
      <w:marRight w:val="0"/>
      <w:marTop w:val="0"/>
      <w:marBottom w:val="0"/>
      <w:divBdr>
        <w:top w:val="none" w:sz="0" w:space="0" w:color="auto"/>
        <w:left w:val="none" w:sz="0" w:space="0" w:color="auto"/>
        <w:bottom w:val="none" w:sz="0" w:space="0" w:color="auto"/>
        <w:right w:val="none" w:sz="0" w:space="0" w:color="auto"/>
      </w:divBdr>
    </w:div>
    <w:div w:id="902178897">
      <w:bodyDiv w:val="1"/>
      <w:marLeft w:val="0"/>
      <w:marRight w:val="0"/>
      <w:marTop w:val="0"/>
      <w:marBottom w:val="0"/>
      <w:divBdr>
        <w:top w:val="none" w:sz="0" w:space="0" w:color="auto"/>
        <w:left w:val="none" w:sz="0" w:space="0" w:color="auto"/>
        <w:bottom w:val="none" w:sz="0" w:space="0" w:color="auto"/>
        <w:right w:val="none" w:sz="0" w:space="0" w:color="auto"/>
      </w:divBdr>
    </w:div>
    <w:div w:id="1141267706">
      <w:bodyDiv w:val="1"/>
      <w:marLeft w:val="0"/>
      <w:marRight w:val="0"/>
      <w:marTop w:val="0"/>
      <w:marBottom w:val="0"/>
      <w:divBdr>
        <w:top w:val="none" w:sz="0" w:space="0" w:color="auto"/>
        <w:left w:val="none" w:sz="0" w:space="0" w:color="auto"/>
        <w:bottom w:val="none" w:sz="0" w:space="0" w:color="auto"/>
        <w:right w:val="none" w:sz="0" w:space="0" w:color="auto"/>
      </w:divBdr>
    </w:div>
    <w:div w:id="1225948935">
      <w:bodyDiv w:val="1"/>
      <w:marLeft w:val="0"/>
      <w:marRight w:val="0"/>
      <w:marTop w:val="0"/>
      <w:marBottom w:val="0"/>
      <w:divBdr>
        <w:top w:val="none" w:sz="0" w:space="0" w:color="auto"/>
        <w:left w:val="none" w:sz="0" w:space="0" w:color="auto"/>
        <w:bottom w:val="none" w:sz="0" w:space="0" w:color="auto"/>
        <w:right w:val="none" w:sz="0" w:space="0" w:color="auto"/>
      </w:divBdr>
    </w:div>
    <w:div w:id="1342123526">
      <w:bodyDiv w:val="1"/>
      <w:marLeft w:val="0"/>
      <w:marRight w:val="0"/>
      <w:marTop w:val="0"/>
      <w:marBottom w:val="0"/>
      <w:divBdr>
        <w:top w:val="none" w:sz="0" w:space="0" w:color="auto"/>
        <w:left w:val="none" w:sz="0" w:space="0" w:color="auto"/>
        <w:bottom w:val="none" w:sz="0" w:space="0" w:color="auto"/>
        <w:right w:val="none" w:sz="0" w:space="0" w:color="auto"/>
      </w:divBdr>
    </w:div>
    <w:div w:id="1987011348">
      <w:bodyDiv w:val="1"/>
      <w:marLeft w:val="0"/>
      <w:marRight w:val="0"/>
      <w:marTop w:val="0"/>
      <w:marBottom w:val="0"/>
      <w:divBdr>
        <w:top w:val="none" w:sz="0" w:space="0" w:color="auto"/>
        <w:left w:val="none" w:sz="0" w:space="0" w:color="auto"/>
        <w:bottom w:val="none" w:sz="0" w:space="0" w:color="auto"/>
        <w:right w:val="none" w:sz="0" w:space="0" w:color="auto"/>
      </w:divBdr>
    </w:div>
    <w:div w:id="1996255671">
      <w:bodyDiv w:val="1"/>
      <w:marLeft w:val="0"/>
      <w:marRight w:val="0"/>
      <w:marTop w:val="0"/>
      <w:marBottom w:val="0"/>
      <w:divBdr>
        <w:top w:val="none" w:sz="0" w:space="0" w:color="auto"/>
        <w:left w:val="none" w:sz="0" w:space="0" w:color="auto"/>
        <w:bottom w:val="none" w:sz="0" w:space="0" w:color="auto"/>
        <w:right w:val="none" w:sz="0" w:space="0" w:color="auto"/>
      </w:divBdr>
    </w:div>
    <w:div w:id="211315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940</Words>
  <Characters>5359</Characters>
  <Application>Microsoft Office Word</Application>
  <DocSecurity>0</DocSecurity>
  <Lines>44</Lines>
  <Paragraphs>12</Paragraphs>
  <ScaleCrop>false</ScaleCrop>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 Sharjil</dc:creator>
  <cp:keywords/>
  <dc:description/>
  <cp:lastModifiedBy>Tariq Sharjil</cp:lastModifiedBy>
  <cp:revision>16</cp:revision>
  <dcterms:created xsi:type="dcterms:W3CDTF">2025-04-24T06:43:00Z</dcterms:created>
  <dcterms:modified xsi:type="dcterms:W3CDTF">2025-04-24T07:34:00Z</dcterms:modified>
</cp:coreProperties>
</file>