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Governance and Reporting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Data Elements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Data Element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Traceability for audit and reconciliation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Alphanumeric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For latency and trend monitoring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ISO format (YYYY-MM-DD HH:MM:SS)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Base Model Score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Output of logistic regression model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Numeric (e.g., 0–1000 or 0–1)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Final (Overall) Score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Score after rule adjustment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Fraud Classification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Model decision (based on score ≥ threshold)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Binary (Fraud / Non-Fraud)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Alert Flag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Whether alert was triggered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Confirmed Outcome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Ground truth outcome (Fraud / Legitimate)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Rule Applied Indicator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Whether a rule was applied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Boolean / Text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Response time for fraud decision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Integer (milliseconds)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ACH or Bill Pay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Exception Flag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Whether transaction failed to score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Monitoring Areas and Frequency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Monitoring Area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Fraud detection metrics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Score distribution / drift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Monthly / Quarterly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Rule impact and override rate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Threshold zone and alert volume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Operational metrics (latency, exceptions)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Weekly to Monthly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Escalation Triggers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Trigger Condition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Precision &lt; defined tolerance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Investigate root causes with model owner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Recall drop (missed frauds increase)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Re-evaluate threshold or model input variables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Score drift exceeds acceptable range (e.g., PSI &gt; 0.25)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Review for recalibration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Rule impact &gt; threshold (e.g., 50% of alerts)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Assess need for rule revision or model retraining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Latency &gt; SLA for &gt;5% of transactions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Escalate to technology/vendor support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Exception rate &gt; baseline threshold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Log issue and investigate system dependencies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Reporting Structure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Report Name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Recipients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FraudNet Performance Summary Report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Model Owner, Fraud Risk Team, MRM, Operations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Score Stability &amp; Threshold Review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Quarterly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MRM, Fraud Risk, Model 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Latency and Operational Report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Technology, Fraud Ops, Vendor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Exception &amp; Error Logs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As Needed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Risk Technology, Operations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