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ICIET2025Title"/>
        <w:jc w:val="center"/>
        <w:rPr/>
      </w:pPr>
      <w:r>
        <w:rPr/>
      </w:r>
    </w:p>
    <w:p>
      <w:pPr>
        <w:pStyle w:val="1ICIET2025Title"/>
        <w:jc w:val="center"/>
        <w:rPr/>
      </w:pPr>
      <w:r>
        <w:rPr/>
        <w:t xml:space="preserve">Clustering Countries by Population Pyramids Using Machine Learning Techniques </w:t>
      </w:r>
    </w:p>
    <w:p>
      <w:pPr>
        <w:pStyle w:val="Normal"/>
        <w:rPr>
          <w:color w:val="0000FF"/>
        </w:rPr>
      </w:pPr>
      <w:r>
        <w:rPr>
          <w:color w:val="0000FF"/>
        </w:rPr>
      </w:r>
    </w:p>
    <w:p>
      <w:pPr>
        <w:pStyle w:val="2ICIET2025Authors"/>
        <w:rPr/>
      </w:pPr>
      <w:r>
        <w:rPr>
          <w:color w:val="000000" w:themeColor="text1"/>
        </w:rPr>
        <w:t>W.A.T.Wijesinghe</w:t>
      </w:r>
      <w:r>
        <w:rPr>
          <w:color w:val="000000" w:themeColor="text1"/>
          <w:vertAlign w:val="superscript"/>
        </w:rPr>
        <w:t>a</w:t>
      </w:r>
      <w:r>
        <w:rPr>
          <w:color w:val="000000" w:themeColor="text1"/>
        </w:rPr>
        <w:t>, R.Godaliyadda</w:t>
      </w:r>
      <w:r>
        <w:rPr>
          <w:color w:val="000000" w:themeColor="text1"/>
          <w:vertAlign w:val="superscript"/>
        </w:rPr>
        <w:t>b</w:t>
      </w:r>
      <w:r>
        <w:rPr>
          <w:color w:val="000000" w:themeColor="text1"/>
        </w:rPr>
        <w:t>, V.Herath</w:t>
      </w:r>
      <w:bookmarkStart w:id="0" w:name="__DdeLink__258_944004220"/>
      <w:r>
        <w:rPr>
          <w:color w:val="000000" w:themeColor="text1"/>
          <w:vertAlign w:val="superscript"/>
        </w:rPr>
        <w:t>b</w:t>
      </w:r>
      <w:bookmarkEnd w:id="0"/>
      <w:r>
        <w:rPr>
          <w:color w:val="000000" w:themeColor="text1"/>
        </w:rPr>
        <w:t xml:space="preserve"> and P.Ekanayake</w:t>
      </w:r>
      <w:r>
        <w:rPr>
          <w:color w:val="000000" w:themeColor="text1"/>
          <w:vertAlign w:val="superscript"/>
        </w:rPr>
        <w:t>b</w:t>
      </w:r>
      <w:r>
        <w:rPr>
          <w:color w:val="000000" w:themeColor="text1"/>
        </w:rPr>
        <w:t>*</w:t>
      </w:r>
    </w:p>
    <w:p>
      <w:pPr>
        <w:pStyle w:val="2ICIET2025Authors"/>
        <w:rPr/>
      </w:pPr>
      <w:r>
        <w:rPr>
          <w:color w:val="000000" w:themeColor="text1"/>
        </w:rPr>
        <w:t xml:space="preserve"> </w:t>
      </w:r>
    </w:p>
    <w:p>
      <w:pPr>
        <w:pStyle w:val="BCAuthorAddress"/>
        <w:rPr/>
      </w:pPr>
      <w:r>
        <w:rPr>
          <w:i/>
          <w:iCs/>
          <w:color w:val="000000"/>
          <w:vertAlign w:val="superscript"/>
        </w:rPr>
        <w:t>a</w:t>
      </w:r>
      <w:r>
        <w:rPr>
          <w:i/>
          <w:iCs/>
          <w:color w:val="000000"/>
          <w:lang w:val="en-GB"/>
        </w:rPr>
        <w:t>Kandy Innovation Centre, National Institute of Business Management, Peradeniya, SriLanka</w:t>
      </w:r>
    </w:p>
    <w:p>
      <w:pPr>
        <w:pStyle w:val="BCAuthorAddress"/>
        <w:rPr/>
      </w:pPr>
      <w:r>
        <w:rPr>
          <w:i/>
          <w:iCs/>
          <w:color w:val="000000"/>
          <w:vertAlign w:val="superscript"/>
        </w:rPr>
        <w:t>b</w:t>
      </w:r>
      <w:r>
        <w:rPr>
          <w:i/>
          <w:iCs/>
          <w:color w:val="000000"/>
          <w:lang w:val="en-GB"/>
        </w:rPr>
        <w:t>Department of Electrical and Electronic Engineering, Faculty of Engineering,University of Peradeniya, Peradeniya 20400, SriLanka</w:t>
      </w:r>
      <w:r>
        <w:rPr>
          <w:lang w:val="en-GB"/>
        </w:rPr>
        <w:br/>
      </w:r>
    </w:p>
    <w:p>
      <w:pPr>
        <w:pStyle w:val="4ICIET2025Correspondence"/>
        <w:rPr/>
      </w:pPr>
      <w:r>
        <w:rPr/>
        <w:t xml:space="preserve">*Email correspondence: </w:t>
      </w:r>
      <w:r>
        <w:rPr>
          <w:rStyle w:val="InternetLink"/>
          <w:color w:val="auto"/>
          <w:u w:val="none"/>
        </w:rPr>
        <w:t>thisumi.nimsani@gmail.com</w:t>
      </w:r>
      <w:r>
        <w:rPr/>
        <w:t xml:space="preserve"> </w:t>
      </w:r>
    </w:p>
    <w:p>
      <w:pPr>
        <w:pStyle w:val="5ICIET2025AbstractHeading"/>
        <w:rPr/>
      </w:pPr>
      <w:r>
        <w:rPr/>
        <w:t xml:space="preserve">Abstract </w:t>
      </w:r>
    </w:p>
    <w:p>
      <w:pPr>
        <w:pStyle w:val="6ICIET2025AbstractText"/>
        <w:jc w:val="both"/>
        <w:rPr/>
      </w:pPr>
      <w:r>
        <w:rPr>
          <w:strike w:val="false"/>
          <w:dstrike w:val="false"/>
          <w:color w:val="000000"/>
        </w:rPr>
        <w:t>The objective of our project was to cluster countries by their demographic profiles using 2021 age-disaggregated population data. Starting from a multi-year dataset containing population counts for 21 age groups, the data was filtered to retain only 2021 and 146 valid individual countries, excluding regions and aggregates. Each country’s population pyramid was normalized to represent proportions rather than absolute counts, and Principal Component Analysis(PCA) was applied to reduce dimensionality for visualization. Three unsupervised clustering algorithms were implemented. K-means (K=4), DBSCAN(ε =0.8,min_samples=7),and Spectral Clustering with the number of clusters determined via the eigengap heuristic. Kmeans revealed four distinct demographic structures: Cluster 0 showed youthful and expansive pyramids with examples such as Nigeria and Afghanistan. Cluster 1 reflected transitioning populations including India and Brazil. Cluster 2 showed aging and constrictive pyramids such as Japan and  Germany. Cluster 3 represented mixed transitions with examples such as USA and UK. DBSCAN identified meaningful clusters despite noise, grouping countries with similar transition stages. For example, India and Nigeria clustered together under youthful growth patterns, while Japan and Germany clustered under aging trends. Spectral Clustering, guided by the eigengap heuristic, produced clear groupings as well. For instance, Nigeria and Uganda formed part of a youthful cluster, while Germany and Italy represented aging profiles. These results demonstrate how different clustering algorithms capture varying perspectives of demographic structures, providing deeper insight into global population dynamics and transitions. Similar clusters of countries can guide policymakers in designing targeted strategies for healthcare, education, labor markets, and social welfare. As future work, this framework can be extended to include multi-year trend analysis and additional socioeconomic indicators to improve forecasting and policy planning.</w:t>
      </w:r>
    </w:p>
    <w:p>
      <w:pPr>
        <w:pStyle w:val="7ICIET2025KeywordsHeading"/>
        <w:rPr/>
      </w:pPr>
      <w:r>
        <w:rPr/>
        <w:t xml:space="preserve">Keywords: </w:t>
      </w:r>
      <w:r>
        <w:rPr>
          <w:color w:val="000000"/>
        </w:rPr>
        <w:t>population pyramid; clustering; unsupervised learning; PCA; spectral clustering</w:t>
      </w:r>
    </w:p>
    <w:p>
      <w:pPr>
        <w:pStyle w:val="Normal"/>
        <w:spacing w:lineRule="auto" w:line="240"/>
        <w:rPr>
          <w:b/>
          <w:b/>
          <w:color w:val="000000"/>
        </w:rPr>
      </w:pPr>
      <w:r>
        <w:rPr>
          <w:b/>
          <w:color w:val="000000"/>
        </w:rPr>
      </w:r>
    </w:p>
    <w:p>
      <w:pPr>
        <w:pStyle w:val="Normal"/>
        <w:spacing w:lineRule="auto" w:line="240"/>
        <w:rPr>
          <w:b/>
          <w:b/>
          <w:color w:val="0000FF"/>
        </w:rPr>
      </w:pPr>
      <w:r>
        <w:rPr>
          <w:b/>
          <w:color w:val="0000FF"/>
        </w:rPr>
      </w:r>
    </w:p>
    <w:p>
      <w:pPr>
        <w:pStyle w:val="Normal"/>
        <w:spacing w:lineRule="auto" w:line="240" w:before="0" w:after="200"/>
        <w:rPr/>
      </w:pPr>
      <w:r>
        <w:rPr/>
      </w:r>
    </w:p>
    <w:sectPr>
      <w:headerReference w:type="default" r:id="rId2"/>
      <w:footerReference w:type="default" r:id="rId3"/>
      <w:type w:val="nextPage"/>
      <w:pgSz w:w="12240" w:h="15840"/>
      <w:pgMar w:left="1800" w:right="1800" w:header="576"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840999861"/>
    </w:sdtPr>
    <w:sdtContent>
      <w:p>
        <w:pPr>
          <w:pStyle w:val="Normal"/>
          <w:tabs>
            <w:tab w:val="clear" w:pos="720"/>
            <w:tab w:val="center" w:pos="4680" w:leader="none"/>
            <w:tab w:val="right" w:pos="9360" w:leader="none"/>
          </w:tabs>
          <w:spacing w:lineRule="auto" w:line="240" w:before="0" w:after="200"/>
          <w:rPr>
            <w:rFonts w:eastAsia="Palatino"/>
            <w:color w:val="000000"/>
            <w:sz w:val="18"/>
            <w:szCs w:val="19"/>
          </w:rPr>
        </w:pPr>
        <w:r>
          <w:rPr>
            <w:sz w:val="18"/>
          </w:rPr>
          <w:t xml:space="preserve"> </w:t>
        </w:r>
        <w:r>
          <w:rPr>
            <w:sz w:val="18"/>
          </w:rPr>
          <w:t>International Conference on Innovation and Emerging Technologies 2025</w:t>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drawing>
        <wp:anchor behindDoc="1" distT="0" distB="0" distL="0" distR="0" simplePos="0" locked="0" layoutInCell="1" allowOverlap="1" relativeHeight="3">
          <wp:simplePos x="0" y="0"/>
          <wp:positionH relativeFrom="margin">
            <wp:align>left</wp:align>
          </wp:positionH>
          <wp:positionV relativeFrom="paragraph">
            <wp:posOffset>5080</wp:posOffset>
          </wp:positionV>
          <wp:extent cx="1058545" cy="45593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1058545" cy="455930"/>
                  </a:xfrm>
                  <a:prstGeom prst="rect">
                    <a:avLst/>
                  </a:prstGeom>
                </pic:spPr>
              </pic:pic>
            </a:graphicData>
          </a:graphic>
        </wp:anchor>
      </w:drawing>
    </w:r>
  </w:p>
  <w:p>
    <w:pPr>
      <w:pStyle w:val="Header"/>
      <w:jc w:val="right"/>
      <w:rPr>
        <w:color w:val="000000" w:themeColor="text1"/>
      </w:rPr>
    </w:pPr>
    <w:r>
      <w:rPr>
        <w:color w:val="000000" w:themeColor="text1"/>
      </w:rPr>
      <w:t>ICIET/Track Name/2025/999</w:t>
    </w:r>
  </w:p>
  <w:p>
    <w:pPr>
      <w:pStyle w:val="Header"/>
      <w:rPr/>
    </w:pPr>
    <w:r>
      <w:rPr/>
    </w:r>
  </w:p>
  <w:p>
    <w:pPr>
      <w:pStyle w:val="Header"/>
      <w:rPr/>
    </w:pPr>
    <w:r>
      <w:rPr/>
    </w:r>
  </w:p>
</w:hdr>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7c74"/>
    <w:pPr>
      <w:widowControl/>
      <w:bidi w:val="0"/>
      <w:spacing w:lineRule="auto" w:line="276" w:before="0" w:after="200"/>
      <w:jc w:val="left"/>
    </w:pPr>
    <w:rPr>
      <w:rFonts w:ascii="Times New Roman" w:hAnsi="Times New Roman" w:eastAsia="ＭＳ 明朝" w:cs=""/>
      <w:color w:val="0070C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Internet Link"/>
    <w:basedOn w:val="DefaultParagraphFont"/>
    <w:uiPriority w:val="99"/>
    <w:unhideWhenUsed/>
    <w:rsid w:val="00ab7c74"/>
    <w:rPr>
      <w:color w:val="0000FF" w:themeColor="hyperlink"/>
      <w:u w:val="single"/>
    </w:rPr>
  </w:style>
  <w:style w:type="character" w:styleId="UnresolvedMention">
    <w:name w:val="Unresolved Mention"/>
    <w:basedOn w:val="DefaultParagraphFont"/>
    <w:uiPriority w:val="99"/>
    <w:semiHidden/>
    <w:unhideWhenUsed/>
    <w:qFormat/>
    <w:rsid w:val="00ab7c74"/>
    <w:rPr>
      <w:color w:val="605E5C"/>
      <w:shd w:fill="E1DFDD" w:val="clea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color w:val="auto"/>
      <w:u w:val="none"/>
    </w:rPr>
  </w:style>
  <w:style w:type="character" w:styleId="ListLabel5">
    <w:name w:val="ListLabel 5"/>
    <w:qFormat/>
    <w:rPr>
      <w:color w:val="auto"/>
      <w:u w:val="none"/>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1ICIET2025Title" w:customStyle="1">
    <w:name w:val="1_ICIET2025_Title"/>
    <w:qFormat/>
    <w:rsid w:val="00440368"/>
    <w:pPr>
      <w:widowControl/>
      <w:bidi w:val="0"/>
      <w:spacing w:lineRule="auto" w:line="240" w:before="0" w:after="0"/>
      <w:jc w:val="left"/>
    </w:pPr>
    <w:rPr>
      <w:rFonts w:ascii="Times New Roman" w:hAnsi="Times New Roman" w:eastAsia="ＭＳ 明朝" w:cs="" w:cstheme="minorBidi" w:eastAsiaTheme="minorEastAsia"/>
      <w:b/>
      <w:color w:val="auto"/>
      <w:kern w:val="0"/>
      <w:sz w:val="28"/>
      <w:szCs w:val="22"/>
      <w:lang w:val="en-US" w:eastAsia="en-US" w:bidi="ar-SA"/>
    </w:rPr>
  </w:style>
  <w:style w:type="paragraph" w:styleId="2ICIET2025Authors" w:customStyle="1">
    <w:name w:val="2_ICIET2025_Authors"/>
    <w:qFormat/>
    <w:rsid w:val="00ab7c74"/>
    <w:pPr>
      <w:widowControl/>
      <w:bidi w:val="0"/>
      <w:spacing w:lineRule="auto" w:line="240" w:before="240" w:after="0"/>
      <w:jc w:val="center"/>
    </w:pPr>
    <w:rPr>
      <w:rFonts w:ascii="Times New Roman" w:hAnsi="Times New Roman" w:eastAsia="ＭＳ 明朝" w:cs="" w:cstheme="minorBidi" w:eastAsiaTheme="minorEastAsia"/>
      <w:color w:val="auto"/>
      <w:kern w:val="0"/>
      <w:sz w:val="22"/>
      <w:szCs w:val="22"/>
      <w:lang w:val="en-US" w:eastAsia="en-US" w:bidi="ar-SA"/>
    </w:rPr>
  </w:style>
  <w:style w:type="paragraph" w:styleId="3ICIET2025Affiliations" w:customStyle="1">
    <w:name w:val="3_ICIET2025_Affiliations"/>
    <w:qFormat/>
    <w:rsid w:val="000c5e32"/>
    <w:pPr>
      <w:widowControl/>
      <w:bidi w:val="0"/>
      <w:spacing w:lineRule="auto" w:line="240" w:before="0" w:after="0"/>
      <w:jc w:val="center"/>
    </w:pPr>
    <w:rPr>
      <w:rFonts w:ascii="Times New Roman" w:hAnsi="Times New Roman" w:eastAsia="ＭＳ 明朝" w:cs="" w:cstheme="minorBidi" w:eastAsiaTheme="minorEastAsia"/>
      <w:i/>
      <w:color w:val="auto"/>
      <w:kern w:val="0"/>
      <w:sz w:val="22"/>
      <w:szCs w:val="22"/>
      <w:lang w:val="en-US" w:eastAsia="en-US" w:bidi="ar-SA"/>
    </w:rPr>
  </w:style>
  <w:style w:type="paragraph" w:styleId="4ICIET2025Correspondence" w:customStyle="1">
    <w:name w:val="4_ICIET2025_Correspondence"/>
    <w:qFormat/>
    <w:rsid w:val="00ab7c74"/>
    <w:pPr>
      <w:widowControl/>
      <w:bidi w:val="0"/>
      <w:spacing w:lineRule="auto" w:line="240" w:before="220" w:after="0"/>
      <w:jc w:val="center"/>
    </w:pPr>
    <w:rPr>
      <w:rFonts w:ascii="Times New Roman" w:hAnsi="Times New Roman" w:eastAsia="ＭＳ 明朝" w:cs="" w:cstheme="minorBidi" w:eastAsiaTheme="minorEastAsia"/>
      <w:i/>
      <w:color w:val="auto"/>
      <w:kern w:val="0"/>
      <w:sz w:val="22"/>
      <w:szCs w:val="22"/>
      <w:lang w:val="en-US" w:eastAsia="en-US" w:bidi="ar-SA"/>
    </w:rPr>
  </w:style>
  <w:style w:type="paragraph" w:styleId="5ICIET2025AbstractHeading" w:customStyle="1">
    <w:name w:val="5_ICIET2025_Abstract_Heading"/>
    <w:qFormat/>
    <w:rsid w:val="00440368"/>
    <w:pPr>
      <w:widowControl/>
      <w:bidi w:val="0"/>
      <w:spacing w:lineRule="auto" w:line="240" w:before="240" w:after="0"/>
      <w:jc w:val="left"/>
    </w:pPr>
    <w:rPr>
      <w:rFonts w:ascii="Times New Roman" w:hAnsi="Times New Roman" w:eastAsia="ＭＳ 明朝" w:cs="" w:cstheme="minorBidi" w:eastAsiaTheme="minorEastAsia"/>
      <w:b/>
      <w:color w:val="auto"/>
      <w:kern w:val="0"/>
      <w:sz w:val="22"/>
      <w:szCs w:val="22"/>
      <w:lang w:val="en-US" w:eastAsia="en-US" w:bidi="ar-SA"/>
    </w:rPr>
  </w:style>
  <w:style w:type="paragraph" w:styleId="6ICIET2025AbstractText" w:customStyle="1">
    <w:name w:val="6_ICIET2025_Abstract_Text"/>
    <w:qFormat/>
    <w:rsid w:val="00440368"/>
    <w:pPr>
      <w:widowControl/>
      <w:bidi w:val="0"/>
      <w:spacing w:lineRule="auto" w:line="360" w:before="240" w:after="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7ICIET2025KeywordsHeading" w:customStyle="1">
    <w:name w:val="7_ICIET2025_Keywords_Heading"/>
    <w:qFormat/>
    <w:rsid w:val="00440368"/>
    <w:pPr>
      <w:widowControl/>
      <w:bidi w:val="0"/>
      <w:spacing w:lineRule="auto" w:line="360" w:before="240" w:after="0"/>
      <w:jc w:val="left"/>
    </w:pPr>
    <w:rPr>
      <w:rFonts w:ascii="Times New Roman" w:hAnsi="Times New Roman" w:eastAsia="ＭＳ 明朝" w:cs="" w:cstheme="minorBidi" w:eastAsiaTheme="minorEastAsia"/>
      <w:b/>
      <w:color w:val="auto"/>
      <w:kern w:val="0"/>
      <w:sz w:val="22"/>
      <w:szCs w:val="22"/>
      <w:lang w:val="en-US" w:eastAsia="en-US" w:bidi="ar-SA"/>
    </w:rPr>
  </w:style>
  <w:style w:type="paragraph" w:styleId="8ICIET2025KeywordsText" w:customStyle="1">
    <w:name w:val="8_ICIET2025_Keywords_Text"/>
    <w:qFormat/>
    <w:pPr>
      <w:widowControl/>
      <w:bidi w:val="0"/>
      <w:spacing w:lineRule="auto" w:line="360" w:before="0" w:after="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BCAuthorAddress" w:customStyle="1">
    <w:name w:val="BC_Author_Address"/>
    <w:basedOn w:val="Normal"/>
    <w:next w:val="Normal"/>
    <w:autoRedefine/>
    <w:qFormat/>
    <w:rsid w:val="00ab7c74"/>
    <w:pPr>
      <w:spacing w:lineRule="auto" w:line="240" w:before="0" w:after="60"/>
      <w:jc w:val="center"/>
    </w:pPr>
    <w:rPr>
      <w:rFonts w:eastAsia="Times New Roman" w:cs="Times New Roman"/>
      <w:kern w:val="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Application>Neat_Office/6.2.8.2$Windows_x86 LibreOffice_project/</Application>
  <Pages>2</Pages>
  <Words>332</Words>
  <Characters>2320</Characters>
  <CharactersWithSpaces>2649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2025-05-03T03:53:00Z</dcterms:created>
  <dc:creator>Dr. Asanka Sanjeewa</dc:creator>
  <dc:description>generated by python-docx</dc:description>
  <dc:language>en-US</dc:language>
  <cp:lastModifiedBy/>
  <dcterms:modified xsi:type="dcterms:W3CDTF">2025-08-17T18:34:47Z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9c3312f7-6595-4eb4-982f-25b2ae0ce8e9</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