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5A6F77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5A6F77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5B894A31" w:rsidR="005A6F77" w:rsidRPr="005A6F77" w:rsidRDefault="005A6F77" w:rsidP="005A6F77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6.1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6C19D1BB" w14:textId="42E14B9C" w:rsidR="00F60CDD" w:rsidRPr="009D3F8F" w:rsidRDefault="00F60CDD" w:rsidP="005A6F7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 ใช้ชุดข้อมูลฝึกสอนที่สร้างขึ้นเองโดยอิงตามสมมติฐานที่ตั้งไว้พบว่า จำนวนของชุดข้อมูลฝึกสอนที่มากขึ้นส่งผลให้โมเดลสามารถทำนายได้แม่นยำมากขึ้น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และจะเริ่ม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คงที่เมื่อถึงจำนวนหนึ่ง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ในขณะเดียวกัน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โมเดลมีการใช้เวลาเรียนรู้เพิ่มขึ้นคงที่ตามจำนวนของข้อมูลที่ใช้ฝึกสอน และ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อีกประเด็นหนึ่งคือ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การแบ่งอัตราส่วนชุดข้อมูลฝึกสอนอิงตามจำนวนความเป็นไปได้จากกฎไฟร์วอลล์ ส่งผลให้โมเดลมีอัตราการเรียนรู้ที่เร็วขึ้นเมื่อเทียบกับการแบ่งจำนวนชุดข้อมูลฝึกสอนให้กับทุกกฎไฟร์วอลล์เท่าๆกัน</w:t>
      </w:r>
    </w:p>
    <w:p w14:paraId="0E87E1E1" w14:textId="2934B749" w:rsidR="00F60CDD" w:rsidRDefault="00F60CDD" w:rsidP="005A6F77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9D3F8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จากผลการทดลองวิจัยข้างต้นสรุปได้ว่า โมเดลที่ให้ค่าความถูกต้องในการคาดเดาข้อมูลทดสอบสูง และใช้เวลาในการเรียนรู้น้อยที่สุด โดยมีวิธีการแบ่งจำนวนชุดข้อมูลฝึกสอนเป็นอัตราส่วนที่เท่ากัน เป็นชุดข้อมูลฝึกสอนที่สามารถฝึกสอนโมเดลปัญญาประดิษฐได้อย่างมีประสิทธิภาพมากที่สุด</w:t>
      </w:r>
    </w:p>
    <w:p w14:paraId="2E5516F3" w14:textId="04A7484B" w:rsidR="001E638A" w:rsidRPr="002E3B9F" w:rsidRDefault="002E3B9F" w:rsidP="002E3B9F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6.2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ปัญหาและอุปสรรคที่พบในงานวิจัย</w:t>
      </w:r>
    </w:p>
    <w:p w14:paraId="745F5258" w14:textId="05238F6C" w:rsidR="001E638A" w:rsidRPr="001E638A" w:rsidRDefault="001E638A" w:rsidP="001E638A">
      <w:pPr>
        <w:pStyle w:val="ListParagraph"/>
        <w:numPr>
          <w:ilvl w:val="0"/>
          <w:numId w:val="20"/>
        </w:num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07332F92" w14:textId="57FC7A9C" w:rsidR="001E638A" w:rsidRPr="00B6734C" w:rsidRDefault="001E638A" w:rsidP="001E638A">
      <w:pPr>
        <w:pStyle w:val="ListParagraph"/>
        <w:numPr>
          <w:ilvl w:val="0"/>
          <w:numId w:val="20"/>
        </w:num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6C3DC10F" w14:textId="5F9EC98F" w:rsidR="00F60CDD" w:rsidRDefault="005A6F77" w:rsidP="001E638A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6.3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449B11CB" w14:textId="5F3E6E6E" w:rsidR="0052258C" w:rsidRPr="0052258C" w:rsidRDefault="0052258C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16B45A32" w:rsidR="0052258C" w:rsidRPr="005729DA" w:rsidRDefault="0052258C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>เรียนรู้ 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Node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FF4DEEC" w14:textId="25AAA69D" w:rsidR="005729DA" w:rsidRPr="0052258C" w:rsidRDefault="005729DA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265EE8DC" w14:textId="08D36F84" w:rsidR="0052258C" w:rsidRPr="0052258C" w:rsidRDefault="0052258C" w:rsidP="0052258C">
      <w:pPr>
        <w:spacing w:line="240" w:lineRule="auto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</w:p>
    <w:p w14:paraId="45510C6F" w14:textId="4C26B03F" w:rsidR="00F60CDD" w:rsidRDefault="00F60CDD" w:rsidP="005A6F77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บรรณานุกรม</w:t>
      </w:r>
    </w:p>
    <w:p w14:paraId="6B1508AC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  </w:t>
      </w:r>
    </w:p>
    <w:p w14:paraId="20FA9B82" w14:textId="42BDDB52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</w:t>
      </w:r>
      <w:r w:rsidR="00A80443" w:rsidRPr="00A80443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492C9FB8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 สมาคมโปรแกรมเมอร์แห่งประเทศไทย.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</w:t>
      </w:r>
    </w:p>
    <w:p w14:paraId="4FF83959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00BCED91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6AF28C2B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75F84C2C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hyperlink r:id="rId5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518F37C8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learn.org/stable/search.html?q=classification</w:t>
      </w:r>
    </w:p>
    <w:p w14:paraId="7E5BE0F9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25D2B130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hyperlink r:id="rId6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Sinlapachai Lorpaiboon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“การใช้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Pandas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EE43450" w14:textId="2CEE0019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hyperlink r:id="rId7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เรียนรู้วิธีการใช้งาน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-Pandas-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ใน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-Python</w:t>
        </w:r>
      </w:hyperlink>
    </w:p>
    <w:p w14:paraId="6212F983" w14:textId="316A30AB" w:rsidR="00A80443" w:rsidRPr="00A80443" w:rsidRDefault="00A80443" w:rsidP="005A6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[7] T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Hastie, R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Tibshirani, and J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Friedman, The Elements of Statistical Learning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A80443">
        <w:rPr>
          <w:rFonts w:asciiTheme="majorBidi" w:hAnsiTheme="majorBidi" w:cstheme="majorBidi"/>
          <w:sz w:val="32"/>
          <w:szCs w:val="32"/>
        </w:rPr>
        <w:t>Data Mining, Inference,</w:t>
      </w:r>
      <w:r w:rsidRPr="00A80443">
        <w:rPr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sz w:val="32"/>
          <w:szCs w:val="32"/>
        </w:rPr>
        <w:t>and Prediction, Second edition, Springer, 2009</w:t>
      </w:r>
    </w:p>
    <w:p w14:paraId="0CFAF17B" w14:textId="13C2CFD8" w:rsidR="00A80443" w:rsidRP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[8] Saishruthi Swaminathan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, Logistic Regression Detailed Overview.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8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</w:p>
    <w:p w14:paraId="120EBBD3" w14:textId="3AF5A266" w:rsidR="00A80443" w:rsidRP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[9] Anas Al-Masri, What Are Overfitting and Underfitting in Machine Learning. 2019,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9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</w:p>
    <w:p w14:paraId="5A4853B6" w14:textId="74F5521B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[10]</w:t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Will Koehrsen, Overfitting vs. Underfitting: A Complete Example.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10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</w:p>
    <w:p w14:paraId="025BC229" w14:textId="15344530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p w14:paraId="114EEEF3" w14:textId="1C31A6B6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p w14:paraId="37D56411" w14:textId="65BA8676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p w14:paraId="3FC55CB2" w14:textId="77777777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p w14:paraId="351229AC" w14:textId="14D56EA0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sectPr w:rsidR="00A80443" w:rsidSect="00A804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1E638A"/>
    <w:rsid w:val="0026651F"/>
    <w:rsid w:val="002E3B9F"/>
    <w:rsid w:val="003E6405"/>
    <w:rsid w:val="0052258C"/>
    <w:rsid w:val="005729DA"/>
    <w:rsid w:val="005A6F77"/>
    <w:rsid w:val="00615751"/>
    <w:rsid w:val="006164ED"/>
    <w:rsid w:val="007C6A99"/>
    <w:rsid w:val="00A80443"/>
    <w:rsid w:val="00B6734C"/>
    <w:rsid w:val="00BA38A3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ogistic-regression-detailed-overview-46c4da4303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inlapachai.hon/&#3648;&#3619;&#3637;&#3618;&#3609;&#3619;&#3641;&#3657;&#3623;&#3636;&#3608;&#3637;&#3585;&#3634;&#3619;&#3651;&#3594;&#3657;&#3591;&#3634;&#3609;-Pandas-&#3651;&#3609;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inlapachai.hon?source=post_page-----2f5049640e70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" TargetMode="External"/><Relationship Id="rId10" Type="http://schemas.openxmlformats.org/officeDocument/2006/relationships/hyperlink" Target="https://towardsdatascience.com/overfitting-vs-underfitting-a-complete-example-d05dd7e19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at-are-overfitting-and-underfitting-in-machine-learning-a96b30864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WARAPORN PROMPOLMAUENG</cp:lastModifiedBy>
  <cp:revision>6</cp:revision>
  <dcterms:created xsi:type="dcterms:W3CDTF">2020-11-22T16:21:00Z</dcterms:created>
  <dcterms:modified xsi:type="dcterms:W3CDTF">2020-11-23T09:04:00Z</dcterms:modified>
</cp:coreProperties>
</file>