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536F" w14:textId="77777777" w:rsidR="008F5895" w:rsidRDefault="00000000">
      <w:pPr>
        <w:spacing w:after="60"/>
      </w:pPr>
      <w:r>
        <w:rPr>
          <w:rFonts w:ascii="Arial" w:eastAsia="Arial" w:hAnsi="Arial" w:cs="Arial"/>
          <w:b/>
          <w:bCs/>
          <w:color w:val="1F3A5F"/>
          <w:sz w:val="36"/>
          <w:szCs w:val="36"/>
        </w:rPr>
        <w:t>Multi-Company Financial Integration &amp; Interactive Management Dashboard</w:t>
      </w:r>
    </w:p>
    <w:p w14:paraId="13225370" w14:textId="531D1232" w:rsidR="008F5895" w:rsidRDefault="00000000">
      <w:pPr>
        <w:pBdr>
          <w:bottom w:val="single" w:sz="8" w:space="4" w:color="1F3A5F"/>
        </w:pBdr>
        <w:spacing w:after="200"/>
      </w:pPr>
      <w:r>
        <w:rPr>
          <w:rFonts w:ascii="Arial" w:eastAsia="Arial" w:hAnsi="Arial" w:cs="Arial"/>
          <w:color w:val="595959"/>
          <w:sz w:val="22"/>
          <w:szCs w:val="22"/>
        </w:rPr>
        <w:t xml:space="preserve">BI Developer Project Brief </w:t>
      </w:r>
      <w:proofErr w:type="gramStart"/>
      <w:r>
        <w:rPr>
          <w:rFonts w:ascii="Arial" w:eastAsia="Arial" w:hAnsi="Arial" w:cs="Arial"/>
          <w:color w:val="595959"/>
          <w:sz w:val="22"/>
          <w:szCs w:val="22"/>
        </w:rPr>
        <w:t>|  Python</w:t>
      </w:r>
      <w:proofErr w:type="gramEnd"/>
      <w:r>
        <w:rPr>
          <w:rFonts w:ascii="Arial" w:eastAsia="Arial" w:hAnsi="Arial" w:cs="Arial"/>
          <w:color w:val="595959"/>
          <w:sz w:val="22"/>
          <w:szCs w:val="22"/>
        </w:rPr>
        <w:t xml:space="preserve">  </w:t>
      </w:r>
      <w:proofErr w:type="gramStart"/>
      <w:r>
        <w:rPr>
          <w:rFonts w:ascii="Arial" w:eastAsia="Arial" w:hAnsi="Arial" w:cs="Arial"/>
          <w:color w:val="595959"/>
          <w:sz w:val="22"/>
          <w:szCs w:val="22"/>
        </w:rPr>
        <w:t>•  Power</w:t>
      </w:r>
      <w:proofErr w:type="gramEnd"/>
      <w:r>
        <w:rPr>
          <w:rFonts w:ascii="Arial" w:eastAsia="Arial" w:hAnsi="Arial" w:cs="Arial"/>
          <w:color w:val="595959"/>
          <w:sz w:val="22"/>
          <w:szCs w:val="22"/>
        </w:rPr>
        <w:t xml:space="preserve"> </w:t>
      </w:r>
      <w:proofErr w:type="gramStart"/>
      <w:r>
        <w:rPr>
          <w:rFonts w:ascii="Arial" w:eastAsia="Arial" w:hAnsi="Arial" w:cs="Arial"/>
          <w:color w:val="595959"/>
          <w:sz w:val="22"/>
          <w:szCs w:val="22"/>
        </w:rPr>
        <w:t>BI  •</w:t>
      </w:r>
      <w:proofErr w:type="gramEnd"/>
      <w:r>
        <w:rPr>
          <w:rFonts w:ascii="Arial" w:eastAsia="Arial" w:hAnsi="Arial" w:cs="Arial"/>
          <w:color w:val="595959"/>
          <w:sz w:val="22"/>
          <w:szCs w:val="22"/>
        </w:rPr>
        <w:t xml:space="preserve">  What-If Scenario Modelling</w:t>
      </w:r>
    </w:p>
    <w:p w14:paraId="13225371" w14:textId="77777777" w:rsidR="008F5895" w:rsidRDefault="00000000">
      <w:pPr>
        <w:pStyle w:val="Heading1"/>
        <w:spacing w:before="240" w:after="100"/>
      </w:pPr>
      <w:r>
        <w:rPr>
          <w:rFonts w:ascii="Arial" w:eastAsia="Arial" w:hAnsi="Arial" w:cs="Arial"/>
          <w:b/>
          <w:bCs/>
          <w:color w:val="1F3A5F"/>
          <w:sz w:val="28"/>
          <w:szCs w:val="28"/>
        </w:rPr>
        <w:t xml:space="preserve">1. </w:t>
      </w:r>
      <w:proofErr w:type="spellStart"/>
      <w:r>
        <w:rPr>
          <w:rFonts w:ascii="Arial" w:eastAsia="Arial" w:hAnsi="Arial" w:cs="Arial"/>
          <w:b/>
          <w:bCs/>
          <w:color w:val="1F3A5F"/>
          <w:sz w:val="28"/>
          <w:szCs w:val="28"/>
        </w:rPr>
        <w:t>Overview</w:t>
      </w:r>
      <w:proofErr w:type="spellEnd"/>
    </w:p>
    <w:p w14:paraId="13225372" w14:textId="104BEDAD" w:rsidR="008F5895" w:rsidRPr="00714077" w:rsidRDefault="00256E92">
      <w:pPr>
        <w:spacing w:after="120"/>
        <w:rPr>
          <w:rFonts w:ascii="Arial" w:eastAsia="Arial" w:hAnsi="Arial" w:cs="Arial"/>
          <w:sz w:val="22"/>
          <w:szCs w:val="22"/>
        </w:rPr>
      </w:pPr>
      <w:r w:rsidRPr="00256E92">
        <w:rPr>
          <w:rFonts w:ascii="Arial" w:eastAsia="Arial" w:hAnsi="Arial" w:cs="Arial"/>
          <w:sz w:val="22"/>
          <w:szCs w:val="22"/>
        </w:rPr>
        <w:t xml:space="preserve">We've all seen static financial dashboards that just show what happened in the past. This project takes messy, completely mismatched accounting data from four different companies, cleans it all up using Python, and feeds it into an interactive Power BI dashboard. The cool part? It's built around a "Scenario Lab," so </w:t>
      </w:r>
      <w:r w:rsidRPr="00256E92">
        <w:rPr>
          <w:rFonts w:ascii="Arial" w:eastAsia="Arial" w:hAnsi="Arial" w:cs="Arial"/>
          <w:sz w:val="22"/>
          <w:szCs w:val="22"/>
        </w:rPr>
        <w:t>decisionmakers</w:t>
      </w:r>
      <w:r w:rsidRPr="00256E92">
        <w:rPr>
          <w:rFonts w:ascii="Arial" w:eastAsia="Arial" w:hAnsi="Arial" w:cs="Arial"/>
          <w:sz w:val="22"/>
          <w:szCs w:val="22"/>
        </w:rPr>
        <w:t xml:space="preserve"> can </w:t>
      </w:r>
      <w:proofErr w:type="gramStart"/>
      <w:r w:rsidRPr="00256E92">
        <w:rPr>
          <w:rFonts w:ascii="Arial" w:eastAsia="Arial" w:hAnsi="Arial" w:cs="Arial"/>
          <w:sz w:val="22"/>
          <w:szCs w:val="22"/>
        </w:rPr>
        <w:t>actually play</w:t>
      </w:r>
      <w:proofErr w:type="gramEnd"/>
      <w:r w:rsidRPr="00256E92">
        <w:rPr>
          <w:rFonts w:ascii="Arial" w:eastAsia="Arial" w:hAnsi="Arial" w:cs="Arial"/>
          <w:sz w:val="22"/>
          <w:szCs w:val="22"/>
        </w:rPr>
        <w:t xml:space="preserve"> around with pricing and cost sliders to test "what-if" scenarios and see the impact on cash flow and profit in real-time</w:t>
      </w:r>
      <w:r w:rsidR="00000000">
        <w:rPr>
          <w:rFonts w:ascii="Arial" w:eastAsia="Arial" w:hAnsi="Arial" w:cs="Arial"/>
          <w:sz w:val="22"/>
          <w:szCs w:val="22"/>
        </w:rPr>
        <w:t>.</w:t>
      </w:r>
    </w:p>
    <w:p w14:paraId="13225373" w14:textId="77777777" w:rsidR="008F5895" w:rsidRDefault="00000000">
      <w:pPr>
        <w:pStyle w:val="Heading1"/>
        <w:spacing w:before="240" w:after="100"/>
      </w:pPr>
      <w:r>
        <w:rPr>
          <w:rFonts w:ascii="Arial" w:eastAsia="Arial" w:hAnsi="Arial" w:cs="Arial"/>
          <w:b/>
          <w:bCs/>
          <w:color w:val="1F3A5F"/>
          <w:sz w:val="28"/>
          <w:szCs w:val="28"/>
        </w:rPr>
        <w:t>2. The Business Problem</w:t>
      </w:r>
    </w:p>
    <w:p w14:paraId="13225374" w14:textId="369F786F" w:rsidR="008F5895" w:rsidRPr="00714077" w:rsidRDefault="00737965">
      <w:pPr>
        <w:spacing w:after="120"/>
        <w:rPr>
          <w:rFonts w:ascii="Arial" w:eastAsia="Arial" w:hAnsi="Arial" w:cs="Arial"/>
          <w:sz w:val="22"/>
          <w:szCs w:val="22"/>
        </w:rPr>
      </w:pPr>
      <w:r w:rsidRPr="00737965">
        <w:rPr>
          <w:rFonts w:ascii="Arial" w:eastAsia="Arial" w:hAnsi="Arial" w:cs="Arial"/>
          <w:sz w:val="22"/>
          <w:szCs w:val="22"/>
        </w:rPr>
        <w:t xml:space="preserve">Right now, management gets accounts from four entities, and none of them talk to each other. They use different file formats, different charts of accounts, opposite sign conventions, and multiple currencies. Putting that together manually takes forever, is prone to human error, and doesn't let anyone test out pricing decisions before </w:t>
      </w:r>
      <w:proofErr w:type="gramStart"/>
      <w:r w:rsidRPr="00737965">
        <w:rPr>
          <w:rFonts w:ascii="Arial" w:eastAsia="Arial" w:hAnsi="Arial" w:cs="Arial"/>
          <w:sz w:val="22"/>
          <w:szCs w:val="22"/>
        </w:rPr>
        <w:t>actually rolling</w:t>
      </w:r>
      <w:proofErr w:type="gramEnd"/>
      <w:r w:rsidRPr="00737965">
        <w:rPr>
          <w:rFonts w:ascii="Arial" w:eastAsia="Arial" w:hAnsi="Arial" w:cs="Arial"/>
          <w:sz w:val="22"/>
          <w:szCs w:val="22"/>
        </w:rPr>
        <w:t xml:space="preserve"> them out</w:t>
      </w:r>
      <w:r w:rsidR="00000000">
        <w:rPr>
          <w:rFonts w:ascii="Arial" w:eastAsia="Arial" w:hAnsi="Arial" w:cs="Arial"/>
          <w:sz w:val="22"/>
          <w:szCs w:val="22"/>
        </w:rPr>
        <w:t>.</w:t>
      </w:r>
    </w:p>
    <w:p w14:paraId="13225375" w14:textId="77777777" w:rsidR="008F5895" w:rsidRDefault="00000000">
      <w:pPr>
        <w:pStyle w:val="Heading1"/>
        <w:spacing w:before="240" w:after="100"/>
      </w:pPr>
      <w:r>
        <w:rPr>
          <w:rFonts w:ascii="Arial" w:eastAsia="Arial" w:hAnsi="Arial" w:cs="Arial"/>
          <w:b/>
          <w:bCs/>
          <w:color w:val="1F3A5F"/>
          <w:sz w:val="28"/>
          <w:szCs w:val="28"/>
        </w:rPr>
        <w:t>3. The Solution</w:t>
      </w:r>
    </w:p>
    <w:p w14:paraId="13225376" w14:textId="77777777" w:rsidR="008F5895" w:rsidRDefault="00000000">
      <w:pPr>
        <w:pStyle w:val="ListParagraph"/>
        <w:numPr>
          <w:ilvl w:val="0"/>
          <w:numId w:val="2"/>
        </w:numPr>
        <w:spacing w:after="80"/>
      </w:pPr>
      <w:r>
        <w:rPr>
          <w:rFonts w:ascii="Arial" w:eastAsia="Arial" w:hAnsi="Arial" w:cs="Arial"/>
          <w:b/>
          <w:bCs/>
          <w:sz w:val="22"/>
          <w:szCs w:val="22"/>
        </w:rPr>
        <w:t xml:space="preserve">Ingest: </w:t>
      </w:r>
      <w:r>
        <w:rPr>
          <w:rFonts w:ascii="Arial" w:eastAsia="Arial" w:hAnsi="Arial" w:cs="Arial"/>
          <w:sz w:val="22"/>
          <w:szCs w:val="22"/>
        </w:rPr>
        <w:t>Four sets of management accounts in different formats (Excel, CSV ledger export, German trial balance with decimal commas, and JSON).</w:t>
      </w:r>
    </w:p>
    <w:p w14:paraId="13225377" w14:textId="77777777" w:rsidR="008F5895" w:rsidRDefault="00000000">
      <w:pPr>
        <w:pStyle w:val="ListParagraph"/>
        <w:numPr>
          <w:ilvl w:val="0"/>
          <w:numId w:val="2"/>
        </w:numPr>
        <w:spacing w:after="80"/>
      </w:pPr>
      <w:r>
        <w:rPr>
          <w:rFonts w:ascii="Arial" w:eastAsia="Arial" w:hAnsi="Arial" w:cs="Arial"/>
          <w:b/>
          <w:bCs/>
          <w:sz w:val="22"/>
          <w:szCs w:val="22"/>
        </w:rPr>
        <w:t xml:space="preserve">Standardise (Python / pandas): </w:t>
      </w:r>
      <w:r>
        <w:rPr>
          <w:rFonts w:ascii="Arial" w:eastAsia="Arial" w:hAnsi="Arial" w:cs="Arial"/>
          <w:sz w:val="22"/>
          <w:szCs w:val="22"/>
        </w:rPr>
        <w:t>One adapter per company maps its accounts to a unified chart of accounts, fixes sign conventions, converts GBP and EUR to USD, and removes duplicates.</w:t>
      </w:r>
    </w:p>
    <w:p w14:paraId="13225378" w14:textId="77777777" w:rsidR="008F5895" w:rsidRDefault="00000000">
      <w:pPr>
        <w:pStyle w:val="ListParagraph"/>
        <w:numPr>
          <w:ilvl w:val="0"/>
          <w:numId w:val="2"/>
        </w:numPr>
        <w:spacing w:after="80"/>
      </w:pPr>
      <w:r>
        <w:rPr>
          <w:rFonts w:ascii="Arial" w:eastAsia="Arial" w:hAnsi="Arial" w:cs="Arial"/>
          <w:b/>
          <w:bCs/>
          <w:sz w:val="22"/>
          <w:szCs w:val="22"/>
        </w:rPr>
        <w:t xml:space="preserve">Validate: </w:t>
      </w:r>
      <w:r>
        <w:rPr>
          <w:rFonts w:ascii="Arial" w:eastAsia="Arial" w:hAnsi="Arial" w:cs="Arial"/>
          <w:sz w:val="22"/>
          <w:szCs w:val="22"/>
        </w:rPr>
        <w:t>Automated reconciliation checks rebuild reported subtotals, confirm trial balances balance, and tie product-level revenue to the P&amp;L, with results logged to a data-quality report.</w:t>
      </w:r>
    </w:p>
    <w:p w14:paraId="13225379" w14:textId="77777777" w:rsidR="008F5895" w:rsidRDefault="00000000">
      <w:pPr>
        <w:pStyle w:val="ListParagraph"/>
        <w:numPr>
          <w:ilvl w:val="0"/>
          <w:numId w:val="2"/>
        </w:numPr>
        <w:spacing w:after="80"/>
      </w:pPr>
      <w:r>
        <w:rPr>
          <w:rFonts w:ascii="Arial" w:eastAsia="Arial" w:hAnsi="Arial" w:cs="Arial"/>
          <w:b/>
          <w:bCs/>
          <w:sz w:val="22"/>
          <w:szCs w:val="22"/>
        </w:rPr>
        <w:t xml:space="preserve">Visualise (Power BI): </w:t>
      </w:r>
      <w:r>
        <w:rPr>
          <w:rFonts w:ascii="Arial" w:eastAsia="Arial" w:hAnsi="Arial" w:cs="Arial"/>
          <w:sz w:val="22"/>
          <w:szCs w:val="22"/>
        </w:rPr>
        <w:t>A star-schema model feeds a four-page dashboard with company filters and a Scenario Lab.</w:t>
      </w:r>
    </w:p>
    <w:p w14:paraId="1322537A" w14:textId="77777777" w:rsidR="008F5895" w:rsidRDefault="00000000">
      <w:pPr>
        <w:pStyle w:val="Heading1"/>
        <w:spacing w:before="240" w:after="100"/>
      </w:pPr>
      <w:r>
        <w:rPr>
          <w:rFonts w:ascii="Arial" w:eastAsia="Arial" w:hAnsi="Arial" w:cs="Arial"/>
          <w:b/>
          <w:bCs/>
          <w:color w:val="1F3A5F"/>
          <w:sz w:val="28"/>
          <w:szCs w:val="28"/>
        </w:rPr>
        <w:t>4. The Companies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F5895" w14:paraId="1322537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322537B" w14:textId="77777777" w:rsidR="008F5895" w:rsidRDefault="00000000">
            <w:r>
              <w:rPr>
                <w:rFonts w:ascii="Arial" w:eastAsia="Arial" w:hAnsi="Arial" w:cs="Arial"/>
                <w:b/>
                <w:bCs/>
                <w:color w:val="FFFFFF"/>
              </w:rPr>
              <w:t>Company</w:t>
            </w:r>
          </w:p>
        </w:tc>
        <w:tc>
          <w:tcPr>
            <w:tcW w:w="6826" w:type="dxa"/>
            <w:tcBorders>
              <w:top w:val="single" w:sz="4" w:space="0" w:color="BFBFBF"/>
              <w:left w:val="single" w:sz="4" w:space="0" w:color="BFBFBF"/>
              <w:bottom w:val="single" w:sz="4" w:space="0" w:color="BFBFBF"/>
              <w:right w:val="single" w:sz="4" w:space="0" w:color="BFBFBF"/>
            </w:tcBorders>
            <w:shd w:val="clear" w:color="auto" w:fill="1F3A5F"/>
            <w:tcMar>
              <w:top w:w="80" w:type="dxa"/>
              <w:left w:w="120" w:type="dxa"/>
              <w:bottom w:w="80" w:type="dxa"/>
              <w:right w:w="120" w:type="dxa"/>
            </w:tcMar>
          </w:tcPr>
          <w:p w14:paraId="1322537C" w14:textId="77777777" w:rsidR="008F5895" w:rsidRDefault="00000000">
            <w:r>
              <w:rPr>
                <w:rFonts w:ascii="Arial" w:eastAsia="Arial" w:hAnsi="Arial" w:cs="Arial"/>
                <w:b/>
                <w:bCs/>
                <w:color w:val="FFFFFF"/>
              </w:rPr>
              <w:t>Profile and source format</w:t>
            </w:r>
          </w:p>
        </w:tc>
      </w:tr>
      <w:tr w:rsidR="008F5895" w14:paraId="1322538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7E" w14:textId="77777777" w:rsidR="008F5895" w:rsidRDefault="00000000">
            <w:r>
              <w:rPr>
                <w:rFonts w:ascii="Arial" w:eastAsia="Arial" w:hAnsi="Arial" w:cs="Arial"/>
                <w:color w:val="000000"/>
              </w:rPr>
              <w:t>Northbridge Retail (USD)</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7F" w14:textId="77777777" w:rsidR="008F5895" w:rsidRDefault="00000000">
            <w:r>
              <w:rPr>
                <w:rFonts w:ascii="Arial" w:eastAsia="Arial" w:hAnsi="Arial" w:cs="Arial"/>
                <w:color w:val="000000"/>
              </w:rPr>
              <w:t>Retail. Wide Excel workbook with subtotal rows and positive costs.</w:t>
            </w:r>
          </w:p>
        </w:tc>
      </w:tr>
      <w:tr w:rsidR="008F5895" w14:paraId="13225383"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1" w14:textId="77777777" w:rsidR="008F5895" w:rsidRDefault="00000000">
            <w:r>
              <w:rPr>
                <w:rFonts w:ascii="Arial" w:eastAsia="Arial" w:hAnsi="Arial" w:cs="Arial"/>
                <w:color w:val="000000"/>
              </w:rPr>
              <w:t>Helix Manufacturing (GBP)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2" w14:textId="77777777" w:rsidR="008F5895" w:rsidRDefault="00000000">
            <w:r>
              <w:rPr>
                <w:rFonts w:ascii="Arial" w:eastAsia="Arial" w:hAnsi="Arial" w:cs="Arial"/>
                <w:color w:val="000000"/>
              </w:rPr>
              <w:t>Manufacturing. CSV general-ledger export, credits negative, duplicate rows.</w:t>
            </w:r>
          </w:p>
        </w:tc>
      </w:tr>
      <w:tr w:rsidR="008F5895" w14:paraId="1322538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4" w14:textId="77777777" w:rsidR="008F5895" w:rsidRDefault="00000000">
            <w:r>
              <w:rPr>
                <w:rFonts w:ascii="Arial" w:eastAsia="Arial" w:hAnsi="Arial" w:cs="Arial"/>
                <w:color w:val="000000"/>
              </w:rPr>
              <w:t>Solstice Software (USD)</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5" w14:textId="77777777" w:rsidR="008F5895" w:rsidRDefault="00000000">
            <w:r>
              <w:rPr>
                <w:rFonts w:ascii="Arial" w:eastAsia="Arial" w:hAnsi="Arial" w:cs="Arial"/>
                <w:color w:val="000000"/>
              </w:rPr>
              <w:t>SaaS. Excel with Actual and Budget side by side, costs shown as negatives.</w:t>
            </w:r>
          </w:p>
        </w:tc>
      </w:tr>
      <w:tr w:rsidR="008F5895" w14:paraId="13225389"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7" w14:textId="77777777" w:rsidR="008F5895" w:rsidRDefault="00000000">
            <w:r>
              <w:rPr>
                <w:rFonts w:ascii="Arial" w:eastAsia="Arial" w:hAnsi="Arial" w:cs="Arial"/>
                <w:color w:val="000000"/>
              </w:rPr>
              <w:t>Kessler Foods (EUR)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25388" w14:textId="77777777" w:rsidR="008F5895" w:rsidRDefault="00000000">
            <w:r>
              <w:rPr>
                <w:rFonts w:ascii="Arial" w:eastAsia="Arial" w:hAnsi="Arial" w:cs="Arial"/>
                <w:color w:val="000000"/>
              </w:rPr>
              <w:t>Food distribution. German trial balance (Soll/Haben), semicolon CSV, JSON product sales.</w:t>
            </w:r>
          </w:p>
        </w:tc>
      </w:tr>
    </w:tbl>
    <w:p w14:paraId="1322538A" w14:textId="77777777" w:rsidR="008F5895" w:rsidRDefault="00000000">
      <w:pPr>
        <w:spacing w:before="100" w:after="120"/>
        <w:rPr>
          <w:i/>
          <w:iCs/>
          <w:color w:val="595959"/>
        </w:rPr>
      </w:pPr>
      <w:r>
        <w:rPr>
          <w:rFonts w:ascii="Arial" w:eastAsia="Arial" w:hAnsi="Arial" w:cs="Arial"/>
          <w:i/>
          <w:iCs/>
          <w:color w:val="595959"/>
          <w:sz w:val="22"/>
          <w:szCs w:val="22"/>
        </w:rPr>
        <w:t>All data is synthetic and covers January 2025 to September 2026, so it can be shared publicly.</w:t>
      </w:r>
    </w:p>
    <w:p w14:paraId="6067C57C" w14:textId="77777777" w:rsidR="00AF2CF1" w:rsidRDefault="00AF2CF1">
      <w:pPr>
        <w:pStyle w:val="Heading1"/>
        <w:spacing w:before="240" w:after="100"/>
        <w:rPr>
          <w:rFonts w:ascii="Arial" w:eastAsia="Arial" w:hAnsi="Arial" w:cs="Arial"/>
          <w:b/>
          <w:bCs/>
          <w:color w:val="1F3A5F"/>
          <w:sz w:val="28"/>
          <w:szCs w:val="28"/>
        </w:rPr>
      </w:pPr>
    </w:p>
    <w:p w14:paraId="6C39B235" w14:textId="77777777" w:rsidR="00AF2CF1" w:rsidRDefault="00AF2CF1">
      <w:pPr>
        <w:pStyle w:val="Heading1"/>
        <w:spacing w:before="240" w:after="100"/>
        <w:rPr>
          <w:rFonts w:ascii="Arial" w:eastAsia="Arial" w:hAnsi="Arial" w:cs="Arial"/>
          <w:b/>
          <w:bCs/>
          <w:color w:val="1F3A5F"/>
          <w:sz w:val="28"/>
          <w:szCs w:val="28"/>
        </w:rPr>
      </w:pPr>
    </w:p>
    <w:p w14:paraId="1322538B" w14:textId="08101671" w:rsidR="008F5895" w:rsidRDefault="00000000">
      <w:pPr>
        <w:pStyle w:val="Heading1"/>
        <w:spacing w:before="240" w:after="100"/>
      </w:pPr>
      <w:r>
        <w:rPr>
          <w:rFonts w:ascii="Arial" w:eastAsia="Arial" w:hAnsi="Arial" w:cs="Arial"/>
          <w:b/>
          <w:bCs/>
          <w:color w:val="1F3A5F"/>
          <w:sz w:val="28"/>
          <w:szCs w:val="28"/>
        </w:rPr>
        <w:lastRenderedPageBreak/>
        <w:t>5. Dashboard Features</w:t>
      </w:r>
    </w:p>
    <w:p w14:paraId="1322538C" w14:textId="77777777" w:rsidR="008F5895" w:rsidRDefault="00000000">
      <w:pPr>
        <w:pStyle w:val="ListParagraph"/>
        <w:numPr>
          <w:ilvl w:val="0"/>
          <w:numId w:val="2"/>
        </w:numPr>
        <w:spacing w:after="80"/>
      </w:pPr>
      <w:r>
        <w:rPr>
          <w:rFonts w:ascii="Arial" w:eastAsia="Arial" w:hAnsi="Arial" w:cs="Arial"/>
          <w:b/>
          <w:bCs/>
          <w:sz w:val="22"/>
          <w:szCs w:val="22"/>
        </w:rPr>
        <w:t xml:space="preserve">Core KPIs: </w:t>
      </w:r>
      <w:r>
        <w:rPr>
          <w:rFonts w:ascii="Arial" w:eastAsia="Arial" w:hAnsi="Arial" w:cs="Arial"/>
          <w:sz w:val="22"/>
          <w:szCs w:val="22"/>
        </w:rPr>
        <w:t>Gross profit and margin, EBITDA, revenue growth and revenue flow.</w:t>
      </w:r>
    </w:p>
    <w:p w14:paraId="1322538D" w14:textId="77777777" w:rsidR="008F5895" w:rsidRDefault="00000000">
      <w:pPr>
        <w:pStyle w:val="ListParagraph"/>
        <w:numPr>
          <w:ilvl w:val="0"/>
          <w:numId w:val="2"/>
        </w:numPr>
        <w:spacing w:after="80"/>
      </w:pPr>
      <w:r>
        <w:rPr>
          <w:rFonts w:ascii="Arial" w:eastAsia="Arial" w:hAnsi="Arial" w:cs="Arial"/>
          <w:b/>
          <w:bCs/>
          <w:sz w:val="22"/>
          <w:szCs w:val="22"/>
        </w:rPr>
        <w:t xml:space="preserve">Pricing Deep Dive: </w:t>
      </w:r>
      <w:r>
        <w:rPr>
          <w:rFonts w:ascii="Arial" w:eastAsia="Arial" w:hAnsi="Arial" w:cs="Arial"/>
          <w:sz w:val="22"/>
          <w:szCs w:val="22"/>
        </w:rPr>
        <w:t>Price and unit-cost analysis by product, with a price-volume bridge and editable price elasticity.</w:t>
      </w:r>
    </w:p>
    <w:p w14:paraId="1322538E" w14:textId="77777777" w:rsidR="008F5895" w:rsidRDefault="00000000">
      <w:pPr>
        <w:pStyle w:val="ListParagraph"/>
        <w:numPr>
          <w:ilvl w:val="0"/>
          <w:numId w:val="2"/>
        </w:numPr>
        <w:spacing w:after="80"/>
      </w:pPr>
      <w:r>
        <w:rPr>
          <w:rFonts w:ascii="Arial" w:eastAsia="Arial" w:hAnsi="Arial" w:cs="Arial"/>
          <w:b/>
          <w:bCs/>
          <w:sz w:val="22"/>
          <w:szCs w:val="22"/>
        </w:rPr>
        <w:t xml:space="preserve">Scenario Lab (the centrepiece): </w:t>
      </w:r>
      <w:r>
        <w:rPr>
          <w:rFonts w:ascii="Arial" w:eastAsia="Arial" w:hAnsi="Arial" w:cs="Arial"/>
          <w:sz w:val="22"/>
          <w:szCs w:val="22"/>
        </w:rPr>
        <w:t>Sliders for price, COGS and volume changes drive live what-if results for gross profit, EBITDA and operating cash flow. A price-by-COGS sensitivity heat-map and an EBITDA waterfall show where profitability is most exposed.</w:t>
      </w:r>
    </w:p>
    <w:p w14:paraId="1322538F" w14:textId="77777777" w:rsidR="008F5895" w:rsidRDefault="00000000">
      <w:pPr>
        <w:pStyle w:val="ListParagraph"/>
        <w:numPr>
          <w:ilvl w:val="0"/>
          <w:numId w:val="2"/>
        </w:numPr>
        <w:spacing w:after="80"/>
      </w:pPr>
      <w:r>
        <w:rPr>
          <w:rFonts w:ascii="Arial" w:eastAsia="Arial" w:hAnsi="Arial" w:cs="Arial"/>
          <w:b/>
          <w:bCs/>
          <w:sz w:val="22"/>
          <w:szCs w:val="22"/>
        </w:rPr>
        <w:t xml:space="preserve">Operational insights: </w:t>
      </w:r>
      <w:r>
        <w:rPr>
          <w:rFonts w:ascii="Arial" w:eastAsia="Arial" w:hAnsi="Arial" w:cs="Arial"/>
          <w:sz w:val="22"/>
          <w:szCs w:val="22"/>
        </w:rPr>
        <w:t>Cash flow trends, budget versus actual variance, and vendor performance (spend, on-time delivery, defect rate).</w:t>
      </w:r>
    </w:p>
    <w:p w14:paraId="13225390" w14:textId="77777777" w:rsidR="008F5895" w:rsidRDefault="00000000">
      <w:pPr>
        <w:pStyle w:val="ListParagraph"/>
        <w:numPr>
          <w:ilvl w:val="0"/>
          <w:numId w:val="2"/>
        </w:numPr>
        <w:spacing w:after="80"/>
      </w:pPr>
      <w:r>
        <w:rPr>
          <w:rFonts w:ascii="Arial" w:eastAsia="Arial" w:hAnsi="Arial" w:cs="Arial"/>
          <w:b/>
          <w:bCs/>
          <w:sz w:val="22"/>
          <w:szCs w:val="22"/>
        </w:rPr>
        <w:t xml:space="preserve">Interactivity: </w:t>
      </w:r>
      <w:r>
        <w:rPr>
          <w:rFonts w:ascii="Arial" w:eastAsia="Arial" w:hAnsi="Arial" w:cs="Arial"/>
          <w:sz w:val="22"/>
          <w:szCs w:val="22"/>
        </w:rPr>
        <w:t>Company filter to compare entities against the group, plus saved Base, Downside and Upside scenarios.</w:t>
      </w:r>
    </w:p>
    <w:p w14:paraId="13225391" w14:textId="77777777" w:rsidR="008F5895" w:rsidRDefault="00000000">
      <w:pPr>
        <w:pStyle w:val="Heading1"/>
        <w:spacing w:before="240" w:after="100"/>
      </w:pPr>
      <w:r>
        <w:rPr>
          <w:rFonts w:ascii="Arial" w:eastAsia="Arial" w:hAnsi="Arial" w:cs="Arial"/>
          <w:b/>
          <w:bCs/>
          <w:color w:val="1F3A5F"/>
          <w:sz w:val="28"/>
          <w:szCs w:val="28"/>
        </w:rPr>
        <w:t>6. Technology Stack</w:t>
      </w:r>
    </w:p>
    <w:p w14:paraId="13225392" w14:textId="77777777" w:rsidR="008F5895" w:rsidRDefault="00000000">
      <w:pPr>
        <w:spacing w:after="120"/>
      </w:pPr>
      <w:r>
        <w:rPr>
          <w:rFonts w:ascii="Arial" w:eastAsia="Arial" w:hAnsi="Arial" w:cs="Arial"/>
          <w:sz w:val="22"/>
          <w:szCs w:val="22"/>
        </w:rPr>
        <w:t xml:space="preserve">Python (pandas, </w:t>
      </w:r>
      <w:proofErr w:type="spellStart"/>
      <w:r>
        <w:rPr>
          <w:rFonts w:ascii="Arial" w:eastAsia="Arial" w:hAnsi="Arial" w:cs="Arial"/>
          <w:sz w:val="22"/>
          <w:szCs w:val="22"/>
        </w:rPr>
        <w:t>openpyxl</w:t>
      </w:r>
      <w:proofErr w:type="spellEnd"/>
      <w:r>
        <w:rPr>
          <w:rFonts w:ascii="Arial" w:eastAsia="Arial" w:hAnsi="Arial" w:cs="Arial"/>
          <w:sz w:val="22"/>
          <w:szCs w:val="22"/>
        </w:rPr>
        <w:t xml:space="preserve">) for extraction and transformation; CSV star schema as the data layer; Power BI and DAX for modelling and visuals; Jupyter for development; GitHub for version control. Optional extension: a </w:t>
      </w:r>
      <w:proofErr w:type="spellStart"/>
      <w:r>
        <w:rPr>
          <w:rFonts w:ascii="Arial" w:eastAsia="Arial" w:hAnsi="Arial" w:cs="Arial"/>
          <w:sz w:val="22"/>
          <w:szCs w:val="22"/>
        </w:rPr>
        <w:t>Streamlit</w:t>
      </w:r>
      <w:proofErr w:type="spellEnd"/>
      <w:r>
        <w:rPr>
          <w:rFonts w:ascii="Arial" w:eastAsia="Arial" w:hAnsi="Arial" w:cs="Arial"/>
          <w:sz w:val="22"/>
          <w:szCs w:val="22"/>
        </w:rPr>
        <w:t xml:space="preserve"> companion app where a typed question such as “What if COGS rises 5%?” is translated into scenario inputs.</w:t>
      </w:r>
    </w:p>
    <w:p w14:paraId="13225393" w14:textId="77777777" w:rsidR="008F5895" w:rsidRDefault="00000000">
      <w:pPr>
        <w:pStyle w:val="Heading1"/>
        <w:spacing w:before="240" w:after="100"/>
      </w:pPr>
      <w:r>
        <w:rPr>
          <w:rFonts w:ascii="Arial" w:eastAsia="Arial" w:hAnsi="Arial" w:cs="Arial"/>
          <w:b/>
          <w:bCs/>
          <w:color w:val="1F3A5F"/>
          <w:sz w:val="28"/>
          <w:szCs w:val="28"/>
        </w:rPr>
        <w:t>7. Skills Demonstrated</w:t>
      </w:r>
    </w:p>
    <w:p w14:paraId="13225394" w14:textId="77777777" w:rsidR="008F5895" w:rsidRDefault="00000000">
      <w:pPr>
        <w:spacing w:after="120"/>
      </w:pPr>
      <w:r>
        <w:rPr>
          <w:rFonts w:ascii="Arial" w:eastAsia="Arial" w:hAnsi="Arial" w:cs="Arial"/>
          <w:sz w:val="22"/>
          <w:szCs w:val="22"/>
        </w:rPr>
        <w:t>Data engineering and ETL design, data standardisation and reconciliation, multi-currency handling, dimensional modelling, DAX and what-if analysis, financial KPI knowledge (margins, EBITDA, cash flow), and clear communication of insights to management.</w:t>
      </w:r>
    </w:p>
    <w:p w14:paraId="13225395" w14:textId="77777777" w:rsidR="008F5895" w:rsidRDefault="00000000">
      <w:pPr>
        <w:pStyle w:val="Heading1"/>
        <w:spacing w:before="240" w:after="100"/>
      </w:pPr>
      <w:r>
        <w:rPr>
          <w:rFonts w:ascii="Arial" w:eastAsia="Arial" w:hAnsi="Arial" w:cs="Arial"/>
          <w:b/>
          <w:bCs/>
          <w:color w:val="1F3A5F"/>
          <w:sz w:val="28"/>
          <w:szCs w:val="28"/>
        </w:rPr>
        <w:t>8. Status</w:t>
      </w:r>
    </w:p>
    <w:p w14:paraId="13225396" w14:textId="77777777" w:rsidR="008F5895" w:rsidRDefault="00000000">
      <w:pPr>
        <w:spacing w:after="120"/>
      </w:pPr>
      <w:r>
        <w:rPr>
          <w:rFonts w:ascii="Arial" w:eastAsia="Arial" w:hAnsi="Arial" w:cs="Arial"/>
          <w:sz w:val="22"/>
          <w:szCs w:val="22"/>
        </w:rPr>
        <w:t>Python pipeline: complete and tested (four companies, about 2,000 standardised financial rows, no data-quality errors). Power BI dashboard: build guide and DAX provided; to be built and published by the project owner.</w:t>
      </w:r>
    </w:p>
    <w:sectPr w:rsidR="008F58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2427"/>
    <w:multiLevelType w:val="hybridMultilevel"/>
    <w:tmpl w:val="3E8251BA"/>
    <w:lvl w:ilvl="0" w:tplc="B04CE5A2">
      <w:start w:val="1"/>
      <w:numFmt w:val="bullet"/>
      <w:lvlText w:val="•"/>
      <w:lvlJc w:val="left"/>
      <w:pPr>
        <w:ind w:left="540" w:hanging="270"/>
      </w:pPr>
    </w:lvl>
    <w:lvl w:ilvl="1" w:tplc="02E8BF30">
      <w:numFmt w:val="decimal"/>
      <w:lvlText w:val=""/>
      <w:lvlJc w:val="left"/>
    </w:lvl>
    <w:lvl w:ilvl="2" w:tplc="18F608A0">
      <w:numFmt w:val="decimal"/>
      <w:lvlText w:val=""/>
      <w:lvlJc w:val="left"/>
    </w:lvl>
    <w:lvl w:ilvl="3" w:tplc="344CA538">
      <w:numFmt w:val="decimal"/>
      <w:lvlText w:val=""/>
      <w:lvlJc w:val="left"/>
    </w:lvl>
    <w:lvl w:ilvl="4" w:tplc="D6143C4A">
      <w:numFmt w:val="decimal"/>
      <w:lvlText w:val=""/>
      <w:lvlJc w:val="left"/>
    </w:lvl>
    <w:lvl w:ilvl="5" w:tplc="68B41E38">
      <w:numFmt w:val="decimal"/>
      <w:lvlText w:val=""/>
      <w:lvlJc w:val="left"/>
    </w:lvl>
    <w:lvl w:ilvl="6" w:tplc="B50640B8">
      <w:numFmt w:val="decimal"/>
      <w:lvlText w:val=""/>
      <w:lvlJc w:val="left"/>
    </w:lvl>
    <w:lvl w:ilvl="7" w:tplc="6346CFEC">
      <w:numFmt w:val="decimal"/>
      <w:lvlText w:val=""/>
      <w:lvlJc w:val="left"/>
    </w:lvl>
    <w:lvl w:ilvl="8" w:tplc="2BA010F8">
      <w:numFmt w:val="decimal"/>
      <w:lvlText w:val=""/>
      <w:lvlJc w:val="left"/>
    </w:lvl>
  </w:abstractNum>
  <w:abstractNum w:abstractNumId="1" w15:restartNumberingAfterBreak="0">
    <w:nsid w:val="26E71A5A"/>
    <w:multiLevelType w:val="hybridMultilevel"/>
    <w:tmpl w:val="288E3158"/>
    <w:lvl w:ilvl="0" w:tplc="76A89340">
      <w:start w:val="1"/>
      <w:numFmt w:val="bullet"/>
      <w:lvlText w:val="●"/>
      <w:lvlJc w:val="left"/>
      <w:pPr>
        <w:ind w:left="720" w:hanging="360"/>
      </w:pPr>
    </w:lvl>
    <w:lvl w:ilvl="1" w:tplc="8EE0BE7E">
      <w:start w:val="1"/>
      <w:numFmt w:val="bullet"/>
      <w:lvlText w:val="○"/>
      <w:lvlJc w:val="left"/>
      <w:pPr>
        <w:ind w:left="1440" w:hanging="360"/>
      </w:pPr>
    </w:lvl>
    <w:lvl w:ilvl="2" w:tplc="702A691E">
      <w:start w:val="1"/>
      <w:numFmt w:val="bullet"/>
      <w:lvlText w:val="■"/>
      <w:lvlJc w:val="left"/>
      <w:pPr>
        <w:ind w:left="2160" w:hanging="360"/>
      </w:pPr>
    </w:lvl>
    <w:lvl w:ilvl="3" w:tplc="22DE0828">
      <w:start w:val="1"/>
      <w:numFmt w:val="bullet"/>
      <w:lvlText w:val="●"/>
      <w:lvlJc w:val="left"/>
      <w:pPr>
        <w:ind w:left="2880" w:hanging="360"/>
      </w:pPr>
    </w:lvl>
    <w:lvl w:ilvl="4" w:tplc="375654A0">
      <w:start w:val="1"/>
      <w:numFmt w:val="bullet"/>
      <w:lvlText w:val="○"/>
      <w:lvlJc w:val="left"/>
      <w:pPr>
        <w:ind w:left="3600" w:hanging="360"/>
      </w:pPr>
    </w:lvl>
    <w:lvl w:ilvl="5" w:tplc="EB0E2268">
      <w:start w:val="1"/>
      <w:numFmt w:val="bullet"/>
      <w:lvlText w:val="■"/>
      <w:lvlJc w:val="left"/>
      <w:pPr>
        <w:ind w:left="4320" w:hanging="360"/>
      </w:pPr>
    </w:lvl>
    <w:lvl w:ilvl="6" w:tplc="5C9AF74A">
      <w:start w:val="1"/>
      <w:numFmt w:val="bullet"/>
      <w:lvlText w:val="●"/>
      <w:lvlJc w:val="left"/>
      <w:pPr>
        <w:ind w:left="5040" w:hanging="360"/>
      </w:pPr>
    </w:lvl>
    <w:lvl w:ilvl="7" w:tplc="90127CE2">
      <w:start w:val="1"/>
      <w:numFmt w:val="bullet"/>
      <w:lvlText w:val="●"/>
      <w:lvlJc w:val="left"/>
      <w:pPr>
        <w:ind w:left="5760" w:hanging="360"/>
      </w:pPr>
    </w:lvl>
    <w:lvl w:ilvl="8" w:tplc="7D7436A4">
      <w:start w:val="1"/>
      <w:numFmt w:val="bullet"/>
      <w:lvlText w:val="●"/>
      <w:lvlJc w:val="left"/>
      <w:pPr>
        <w:ind w:left="6480" w:hanging="360"/>
      </w:pPr>
    </w:lvl>
  </w:abstractNum>
  <w:num w:numId="1" w16cid:durableId="2019886033">
    <w:abstractNumId w:val="1"/>
    <w:lvlOverride w:ilvl="0">
      <w:startOverride w:val="1"/>
    </w:lvlOverride>
  </w:num>
  <w:num w:numId="2" w16cid:durableId="11228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895"/>
    <w:rsid w:val="000F0DEC"/>
    <w:rsid w:val="00256E92"/>
    <w:rsid w:val="00324C11"/>
    <w:rsid w:val="00714077"/>
    <w:rsid w:val="00737965"/>
    <w:rsid w:val="008F5895"/>
    <w:rsid w:val="00AF2CF1"/>
    <w:rsid w:val="00B63AC2"/>
    <w:rsid w:val="00FE72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536F"/>
  <w15:docId w15:val="{DBD657C0-CB1D-4203-A4F3-836648A49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566</Words>
  <Characters>3232</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Refiloe Bacela</cp:lastModifiedBy>
  <cp:revision>7</cp:revision>
  <dcterms:created xsi:type="dcterms:W3CDTF">2026-10-24T13:29:00Z</dcterms:created>
  <dcterms:modified xsi:type="dcterms:W3CDTF">2026-10-26T00:04:00Z</dcterms:modified>
</cp:coreProperties>
</file>