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iolab-research-center"/>
    <w:p>
      <w:pPr>
        <w:pStyle w:val="Heading1"/>
      </w:pPr>
      <w:r>
        <w:t xml:space="preserve">BioLab Research Center</w:t>
      </w:r>
    </w:p>
    <w:bookmarkEnd w:id="9"/>
    <w:bookmarkStart w:id="11" w:name="X31adf0b492200e2f3eb12c213143d0361b07432"/>
    <w:p>
      <w:pPr>
        <w:pStyle w:val="Heading1"/>
      </w:pPr>
      <w:r>
        <w:t xml:space="preserve">TPT-ART-001 - Template para Escrita de Artigo Cientifico Internacional</w:t>
      </w:r>
    </w:p>
    <w:bookmarkStart w:id="10" w:name="informações-do-documento"/>
    <w:p>
      <w:pPr>
        <w:pStyle w:val="Heading2"/>
      </w:pPr>
      <w:r>
        <w:t xml:space="preserve">Informações do documento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b/>
                <w:bCs/>
              </w:rPr>
              <w:t xml:space="preserve">Campo</w:t>
            </w:r>
          </w:p>
        </w:tc>
        <w:tc>
          <w:tcPr/>
          <w:p>
            <w:pPr>
              <w:pStyle w:val="Compact"/>
            </w:pPr>
            <w:r>
              <w:rPr>
                <w:b/>
                <w:bCs/>
              </w:rPr>
              <w:t xml:space="preserve">Valor</w:t>
            </w:r>
          </w:p>
        </w:tc>
      </w:tr>
      <w:tr>
        <w:tc>
          <w:tcPr/>
          <w:p>
            <w:pPr>
              <w:pStyle w:val="Compact"/>
            </w:pPr>
            <w:r>
              <w:t xml:space="preserve">Código</w:t>
            </w:r>
          </w:p>
        </w:tc>
        <w:tc>
          <w:tcPr/>
          <w:p>
            <w:pPr>
              <w:pStyle w:val="Compact"/>
            </w:pPr>
            <w:r>
              <w:t xml:space="preserve">TPT-ART-001</w:t>
            </w:r>
          </w:p>
        </w:tc>
      </w:tr>
      <w:tr>
        <w:tc>
          <w:tcPr/>
          <w:p>
            <w:pPr>
              <w:pStyle w:val="Compact"/>
            </w:pPr>
            <w:r>
              <w:t xml:space="preserve">Categoria</w:t>
            </w:r>
          </w:p>
        </w:tc>
        <w:tc>
          <w:tcPr/>
          <w:p>
            <w:pPr>
              <w:pStyle w:val="Compact"/>
            </w:pPr>
            <w:r>
              <w:t xml:space="preserve">Template</w:t>
            </w:r>
          </w:p>
        </w:tc>
      </w:tr>
      <w:tr>
        <w:tc>
          <w:tcPr/>
          <w:p>
            <w:pPr>
              <w:pStyle w:val="Compact"/>
            </w:pPr>
            <w:r>
              <w:t xml:space="preserve">Setor</w:t>
            </w:r>
          </w:p>
        </w:tc>
        <w:tc>
          <w:tcPr/>
          <w:p>
            <w:pPr>
              <w:pStyle w:val="Compact"/>
            </w:pPr>
            <w:r>
              <w:t xml:space="preserve">Coordenação Científica</w:t>
            </w:r>
          </w:p>
        </w:tc>
      </w:tr>
      <w:tr>
        <w:tc>
          <w:tcPr/>
          <w:p>
            <w:pPr>
              <w:pStyle w:val="Compact"/>
            </w:pPr>
            <w:r>
              <w:t xml:space="preserve">Nível de Biossegurança</w:t>
            </w:r>
          </w:p>
        </w:tc>
        <w:tc>
          <w:tcPr/>
          <w:p>
            <w:pPr>
              <w:pStyle w:val="Compact"/>
            </w:pPr>
            <w:r>
              <w:t xml:space="preserve">Não Aplicável</w:t>
            </w:r>
          </w:p>
        </w:tc>
      </w:tr>
      <w:tr>
        <w:tc>
          <w:tcPr/>
          <w:p>
            <w:pPr>
              <w:pStyle w:val="Compact"/>
            </w:pPr>
            <w:r>
              <w:t xml:space="preserve">Responsável</w:t>
            </w:r>
          </w:p>
        </w:tc>
        <w:tc>
          <w:tcPr/>
          <w:p>
            <w:pPr>
              <w:pStyle w:val="Compact"/>
            </w:pPr>
            <w:r>
              <w:t xml:space="preserve">Dr. Renato Guimarães, Pesquisador Sênior</w:t>
            </w:r>
          </w:p>
        </w:tc>
      </w:tr>
      <w:tr>
        <w:tc>
          <w:tcPr/>
          <w:p>
            <w:pPr>
              <w:pStyle w:val="Compact"/>
            </w:pPr>
            <w:r>
              <w:t xml:space="preserve">Revisão Técnica</w:t>
            </w:r>
          </w:p>
        </w:tc>
        <w:tc>
          <w:tcPr/>
          <w:p>
            <w:pPr>
              <w:pStyle w:val="Compact"/>
            </w:pPr>
            <w:r>
              <w:t xml:space="preserve">Dra. Luciana Prado, Pesquisadora Sênior</w:t>
            </w:r>
          </w:p>
        </w:tc>
      </w:tr>
      <w:tr>
        <w:tc>
          <w:tcPr/>
          <w:p>
            <w:pPr>
              <w:pStyle w:val="Compact"/>
            </w:pPr>
            <w:r>
              <w:t xml:space="preserve">Versão</w:t>
            </w:r>
          </w:p>
        </w:tc>
        <w:tc>
          <w:tcPr/>
          <w:p>
            <w:pPr>
              <w:pStyle w:val="Compact"/>
            </w:pPr>
            <w:r>
              <w:t xml:space="preserve">1.1</w:t>
            </w:r>
          </w:p>
        </w:tc>
      </w:tr>
      <w:tr>
        <w:tc>
          <w:tcPr/>
          <w:p>
            <w:pPr>
              <w:pStyle w:val="Compact"/>
            </w:pPr>
            <w:r>
              <w:t xml:space="preserve">Data da revisão</w:t>
            </w:r>
          </w:p>
        </w:tc>
        <w:tc>
          <w:tcPr/>
          <w:p>
            <w:pPr>
              <w:pStyle w:val="Compact"/>
            </w:pPr>
            <w:r>
              <w:t xml:space="preserve">Agosto/2026</w:t>
            </w:r>
          </w:p>
        </w:tc>
      </w:tr>
      <w:tr>
        <w:tc>
          <w:tcPr/>
          <w:p>
            <w:pPr>
              <w:pStyle w:val="Compact"/>
            </w:pPr>
            <w:r>
              <w:t xml:space="preserve">Palavras-chave</w:t>
            </w:r>
          </w:p>
        </w:tc>
        <w:tc>
          <w:tcPr/>
          <w:p>
            <w:pPr>
              <w:pStyle w:val="Compact"/>
            </w:pPr>
            <w:r>
              <w:t xml:space="preserve">Scientific Writing, Academic Template, Peer Review, Nature/Science Format, High-Impact Publication, Agrobiotechnology</w:t>
            </w:r>
          </w:p>
        </w:tc>
      </w:tr>
    </w:tbl>
    <w:bookmarkEnd w:id="10"/>
    <w:bookmarkEnd w:id="11"/>
    <w:bookmarkStart w:id="13" w:name="X18c69058beb8a1062c0582c53a047ee8c85679c"/>
    <w:p>
      <w:pPr>
        <w:pStyle w:val="Heading1"/>
      </w:pPr>
      <w:r>
        <w:t xml:space="preserve">TPT-ART-001: Structural Template and Editorial Guidelines for High-Impact International Manuscripts (Nature/Science Format)</w:t>
      </w:r>
    </w:p>
    <w:bookmarkStart w:id="12" w:name="X2ccbae1e6e2f8c37dd90797d0ce8a8e51aef654"/>
    <w:p>
      <w:pPr>
        <w:pStyle w:val="Heading2"/>
      </w:pPr>
      <w:r>
        <w:t xml:space="preserve">Editorial Preamble and Strategic Directives</w:t>
      </w:r>
    </w:p>
    <w:p>
      <w:pPr>
        <w:pStyle w:val="FirstParagraph"/>
      </w:pPr>
      <w:r>
        <w:t xml:space="preserve">This document serves as the official institutional template authorized by the Scientific Coordination of the</w:t>
      </w:r>
      <w:r>
        <w:t xml:space="preserve"> </w:t>
      </w:r>
      <w:r>
        <w:rPr>
          <w:b/>
          <w:bCs/>
        </w:rPr>
        <w:t xml:space="preserve">BioLab Research Center</w:t>
      </w:r>
      <w:r>
        <w:t xml:space="preserve"> </w:t>
      </w:r>
      <w:r>
        <w:t xml:space="preserve">for the preparation of high-impact primary research manuscripts destined for top-tier international journals, specifically targeting the</w:t>
      </w:r>
      <w:r>
        <w:t xml:space="preserve"> </w:t>
      </w:r>
      <w:r>
        <w:rPr>
          <w:i/>
          <w:iCs/>
        </w:rPr>
        <w:t xml:space="preserve">Nature</w:t>
      </w:r>
      <w:r>
        <w:t xml:space="preserve"> </w:t>
      </w:r>
      <w:r>
        <w:t xml:space="preserve">and</w:t>
      </w:r>
      <w:r>
        <w:t xml:space="preserve"> </w:t>
      </w:r>
      <w:r>
        <w:rPr>
          <w:i/>
          <w:iCs/>
        </w:rPr>
        <w:t xml:space="preserve">Science</w:t>
      </w:r>
      <w:r>
        <w:t xml:space="preserve"> </w:t>
      </w:r>
      <w:r>
        <w:t xml:space="preserve">portfolios.</w:t>
      </w:r>
    </w:p>
    <w:p>
      <w:pPr>
        <w:pStyle w:val="BodyText"/>
      </w:pPr>
      <w:r>
        <w:t xml:space="preserve">Researchers must adhere to the rigorous structural standards detailed herein. The core focus of BioLab’s output centers on breakthrough agricultural biotechnology, including plant functional genomics, CRISPR-Cas9 mediated genome editing of crop species, soil metagenomics, and advanced bioinformatics pipelines. All data presentation must respect the absolute traceability of automated bench assays, high-throughput sequencing quality metrics, and cross-referenced biosafety guidelines as established in the institutional repository (e.g.,</w:t>
      </w:r>
      <w:r>
        <w:t xml:space="preserve"> </w:t>
      </w:r>
      <w:r>
        <w:rPr>
          <w:b/>
          <w:bCs/>
        </w:rPr>
        <w:t xml:space="preserve">POP-SEQ-001</w:t>
      </w:r>
      <w:r>
        <w:t xml:space="preserve">,</w:t>
      </w:r>
      <w:r>
        <w:t xml:space="preserve"> </w:t>
      </w:r>
      <w:r>
        <w:rPr>
          <w:b/>
          <w:bCs/>
        </w:rPr>
        <w:t xml:space="preserve">POP-SEQ-002</w:t>
      </w:r>
      <w:r>
        <w:t xml:space="preserve">, and</w:t>
      </w:r>
      <w:r>
        <w:t xml:space="preserve"> </w:t>
      </w:r>
      <w:r>
        <w:rPr>
          <w:b/>
          <w:bCs/>
        </w:rPr>
        <w:t xml:space="preserve">POP-BIO-004</w:t>
      </w:r>
      <w:r>
        <w:t xml:space="preserve">).</w:t>
      </w:r>
    </w:p>
    <w:p>
      <w:pPr>
        <w:pStyle w:val="BodyText"/>
      </w:pPr>
      <w:r>
        <w:t xml:space="preserve">Manuscripts must be concise, conceptually innovative, and universally relevant to global food security, climate resilience, and biological engineering. Authors are directed to replace the instructional text within each section below with their specific empirical findings, maintaining the precise structural nomenclature provided.</w:t>
      </w:r>
    </w:p>
    <w:bookmarkEnd w:id="12"/>
    <w:bookmarkEnd w:id="13"/>
    <w:bookmarkStart w:id="31" w:name="X3e72715c3d9e5c459ea1fb92965a107876c26d5"/>
    <w:p>
      <w:pPr>
        <w:pStyle w:val="Heading1"/>
      </w:pPr>
      <w:r>
        <w:t xml:space="preserve">[INSERT RUNNING TITLE HERE: MAXIMUM 75 CHARACTERS INCLUDING SPACES]</w:t>
      </w:r>
    </w:p>
    <w:bookmarkStart w:id="14" w:name="authors-and-affiliations"/>
    <w:p>
      <w:pPr>
        <w:pStyle w:val="Heading3"/>
      </w:pPr>
      <w:r>
        <w:t xml:space="preserve">Authors and Affiliations:</w:t>
      </w:r>
    </w:p>
    <w:p>
      <w:pPr>
        <w:pStyle w:val="FirstParagraph"/>
      </w:pPr>
      <w:r>
        <w:t xml:space="preserve">[First Name] [Middle Initial]. [Last Name]1</w:t>
      </w:r>
      <w:r>
        <w:rPr>
          <w:i/>
          <w:iCs/>
        </w:rPr>
        <w:t xml:space="preserve">, [Author Two]2, &amp; [Senior Author]1</w:t>
      </w:r>
    </w:p>
    <w:p>
      <w:pPr>
        <w:pStyle w:val="BodyText"/>
      </w:pPr>
      <w:r>
        <w:t xml:space="preserve">1 BioLab Research Center, Department of Plant Genomics and Genome Editing, São Paulo, Brazil.</w:t>
      </w:r>
      <w:r>
        <w:t xml:space="preserve"> </w:t>
      </w:r>
      <w:r>
        <w:t xml:space="preserve">2 Bioinformatics and High-Performance Computing Core, BioLab Research Center, São Paulo, Brazil.</w:t>
      </w:r>
      <w:r>
        <w:t xml:space="preserve"> </w:t>
      </w:r>
      <w:r>
        <w:t xml:space="preserve">- Corresponding authors: scientific.coordination@biolab.rc</w:t>
      </w:r>
    </w:p>
    <w:bookmarkEnd w:id="14"/>
    <w:bookmarkStart w:id="15" w:name="abstract"/>
    <w:p>
      <w:pPr>
        <w:pStyle w:val="Heading2"/>
      </w:pPr>
      <w:r>
        <w:t xml:space="preserve">Abstract</w:t>
      </w:r>
    </w:p>
    <w:p>
      <w:pPr>
        <w:pStyle w:val="FirstParagraph"/>
      </w:pPr>
      <w:r>
        <w:t xml:space="preserve">The Abstract must consist of a single paragraph of fewer than 150 words (for</w:t>
      </w:r>
      <w:r>
        <w:t xml:space="preserve"> </w:t>
      </w:r>
      <w:r>
        <w:rPr>
          <w:i/>
          <w:iCs/>
        </w:rPr>
        <w:t xml:space="preserve">Nature</w:t>
      </w:r>
      <w:r>
        <w:t xml:space="preserve"> </w:t>
      </w:r>
      <w:r>
        <w:t xml:space="preserve">Articles) or 125 words (for</w:t>
      </w:r>
      <w:r>
        <w:t xml:space="preserve"> </w:t>
      </w:r>
      <w:r>
        <w:rPr>
          <w:i/>
          <w:iCs/>
        </w:rPr>
        <w:t xml:space="preserve">Science</w:t>
      </w:r>
      <w:r>
        <w:t xml:space="preserve"> </w:t>
      </w:r>
      <w:r>
        <w:t xml:space="preserve">Reports). It should contain no references, numbers, abbreviations, or acronyms unless absolutely indispensable. The abstract must follow a rigid internal architecture:</w:t>
      </w:r>
    </w:p>
    <w:p>
      <w:pPr>
        <w:pStyle w:val="Compact"/>
        <w:numPr>
          <w:ilvl w:val="0"/>
          <w:numId w:val="1001"/>
        </w:numPr>
      </w:pPr>
      <w:r>
        <w:rPr>
          <w:b/>
          <w:bCs/>
        </w:rPr>
        <w:t xml:space="preserve">Context:</w:t>
      </w:r>
      <w:r>
        <w:t xml:space="preserve"> </w:t>
      </w:r>
      <w:r>
        <w:t xml:space="preserve">1–2 sentences establishing the broad agricultural or biological challenge (e.g., impact of climate-driven abiotic stress on crop yield, deficits in nitrogen fixation efficiency in monocultures).</w:t>
      </w:r>
    </w:p>
    <w:p>
      <w:pPr>
        <w:pStyle w:val="Compact"/>
        <w:numPr>
          <w:ilvl w:val="0"/>
          <w:numId w:val="1001"/>
        </w:numPr>
      </w:pPr>
      <w:r>
        <w:rPr>
          <w:b/>
          <w:bCs/>
        </w:rPr>
        <w:t xml:space="preserve">Knowledge Gap:</w:t>
      </w:r>
      <w:r>
        <w:t xml:space="preserve"> </w:t>
      </w:r>
      <w:r>
        <w:t xml:space="preserve">1 sentence defining the specific unanswered biological question or technological bottleneck.</w:t>
      </w:r>
    </w:p>
    <w:p>
      <w:pPr>
        <w:pStyle w:val="Compact"/>
        <w:numPr>
          <w:ilvl w:val="0"/>
          <w:numId w:val="1001"/>
        </w:numPr>
      </w:pPr>
      <w:r>
        <w:rPr>
          <w:b/>
          <w:bCs/>
        </w:rPr>
        <w:t xml:space="preserve">Phenomenon/Discovery:</w:t>
      </w:r>
      <w:r>
        <w:t xml:space="preserve"> </w:t>
      </w:r>
      <w:r>
        <w:t xml:space="preserve">2–3 sentences detailing the core breakthrough achieved at BioLab (e.g., identification of a novel locus via NGS, implementation of a high-efficiency CRISPR-Cas9 base-editing construct in a target cultivar).</w:t>
      </w:r>
    </w:p>
    <w:p>
      <w:pPr>
        <w:pStyle w:val="Compact"/>
        <w:numPr>
          <w:ilvl w:val="0"/>
          <w:numId w:val="1001"/>
        </w:numPr>
      </w:pPr>
      <w:r>
        <w:rPr>
          <w:b/>
          <w:bCs/>
        </w:rPr>
        <w:t xml:space="preserve">Key Results:</w:t>
      </w:r>
      <w:r>
        <w:t xml:space="preserve"> </w:t>
      </w:r>
      <w:r>
        <w:t xml:space="preserve">2–3 sentences presenting quantified data, including p-values, editing efficiency percentages, or fold-changes in transcript expression.</w:t>
      </w:r>
    </w:p>
    <w:p>
      <w:pPr>
        <w:pStyle w:val="Compact"/>
        <w:numPr>
          <w:ilvl w:val="0"/>
          <w:numId w:val="1001"/>
        </w:numPr>
      </w:pPr>
      <w:r>
        <w:rPr>
          <w:b/>
          <w:bCs/>
        </w:rPr>
        <w:t xml:space="preserve">Impact:</w:t>
      </w:r>
      <w:r>
        <w:t xml:space="preserve"> </w:t>
      </w:r>
      <w:r>
        <w:t xml:space="preserve">1 final sentence placing the discovery into a global context, highlighting how it revolutionizes agrobiotechnology or ecological sustainability.</w:t>
      </w:r>
    </w:p>
    <w:bookmarkEnd w:id="15"/>
    <w:bookmarkStart w:id="18" w:name="introduction"/>
    <w:p>
      <w:pPr>
        <w:pStyle w:val="Heading2"/>
      </w:pPr>
      <w:r>
        <w:t xml:space="preserve">Introduction</w:t>
      </w:r>
    </w:p>
    <w:p>
      <w:pPr>
        <w:pStyle w:val="FirstParagraph"/>
      </w:pPr>
      <w:r>
        <w:t xml:space="preserve">The Introduction should expand upon the background context without becoming an exhaustive literature review. Authors must structure this section to guide the editor and reviewers through the precise scientific trajectory that led to the hypothesis.</w:t>
      </w:r>
    </w:p>
    <w:bookmarkStart w:id="16" w:name="X0edac6ac5c4d88cd334ce93f496abf0f45b3af1"/>
    <w:p>
      <w:pPr>
        <w:pStyle w:val="Heading3"/>
      </w:pPr>
      <w:r>
        <w:t xml:space="preserve">Field Context and Technological Imperative</w:t>
      </w:r>
    </w:p>
    <w:p>
      <w:pPr>
        <w:pStyle w:val="FirstParagraph"/>
      </w:pPr>
      <w:r>
        <w:t xml:space="preserve">Delineate the precise socioeconomic and biological relevance of the target crop or agricultural system. For instance, if the manuscript details CRISPR editing in</w:t>
      </w:r>
      <w:r>
        <w:t xml:space="preserve"> </w:t>
      </w:r>
      <w:r>
        <w:rPr>
          <w:i/>
          <w:iCs/>
        </w:rPr>
        <w:t xml:space="preserve">Glycine max</w:t>
      </w:r>
      <w:r>
        <w:t xml:space="preserve"> </w:t>
      </w:r>
      <w:r>
        <w:t xml:space="preserve">or</w:t>
      </w:r>
      <w:r>
        <w:t xml:space="preserve"> </w:t>
      </w:r>
      <w:r>
        <w:rPr>
          <w:i/>
          <w:iCs/>
        </w:rPr>
        <w:t xml:space="preserve">Zea mays</w:t>
      </w:r>
      <w:r>
        <w:t xml:space="preserve">, state the global production metrics and the precise vulnerability being addressed (e.g., drought susceptibility, pathogenic fungi infestation). Cite foundational literature regarding previous attempts to resolve this bottleneck using traditional breeding or first-generation transgenics, demonstrating their limitations.</w:t>
      </w:r>
    </w:p>
    <w:bookmarkEnd w:id="16"/>
    <w:bookmarkStart w:id="17" w:name="biological-mechanisms-and-rationale"/>
    <w:p>
      <w:pPr>
        <w:pStyle w:val="Heading3"/>
      </w:pPr>
      <w:r>
        <w:t xml:space="preserve">Biological Mechanisms and Rationale</w:t>
      </w:r>
    </w:p>
    <w:p>
      <w:pPr>
        <w:pStyle w:val="FirstParagraph"/>
      </w:pPr>
      <w:r>
        <w:t xml:space="preserve">Introduce the molecular pathway, target gene family, or microbial consortium under investigation. Detail what is known regarding the underlying genetics and explain the rationale for selecting the specific methodology developed at BioLab. Clearly state the overarching hypothesis of the study.</w:t>
      </w:r>
    </w:p>
    <w:p>
      <w:pPr>
        <w:pStyle w:val="BodyText"/>
      </w:pPr>
      <w:r>
        <w:t xml:space="preserve">Authors should explicitly cross-reference the institutional optimization protocols used to ensure sample integrity before sequencing or editing, referencing internal documentation like</w:t>
      </w:r>
      <w:r>
        <w:t xml:space="preserve"> </w:t>
      </w:r>
      <w:r>
        <w:rPr>
          <w:b/>
          <w:bCs/>
        </w:rPr>
        <w:t xml:space="preserve">POP-RNA-001</w:t>
      </w:r>
      <w:r>
        <w:t xml:space="preserve"> </w:t>
      </w:r>
      <w:r>
        <w:t xml:space="preserve">for RNA isolation quality thresholds (RIN greater than 8.0) to validate downstream transcriptomic assertions.</w:t>
      </w:r>
    </w:p>
    <w:bookmarkEnd w:id="17"/>
    <w:bookmarkEnd w:id="18"/>
    <w:bookmarkStart w:id="22" w:name="results"/>
    <w:p>
      <w:pPr>
        <w:pStyle w:val="Heading2"/>
      </w:pPr>
      <w:r>
        <w:t xml:space="preserve">Results</w:t>
      </w:r>
    </w:p>
    <w:p>
      <w:pPr>
        <w:pStyle w:val="FirstParagraph"/>
      </w:pPr>
      <w:r>
        <w:t xml:space="preserve">The Results section must be organized into logical subsections with short, active, descriptive subheadings. The narrative should tell a coherent scientific story, flowing naturally from one experiment to the next.</w:t>
      </w:r>
    </w:p>
    <w:bookmarkStart w:id="19" w:name="X72dc44d7f8ac66fddf1faa69df96acf82a03fa6"/>
    <w:p>
      <w:pPr>
        <w:pStyle w:val="Heading3"/>
      </w:pPr>
      <w:r>
        <w:t xml:space="preserve">Subsection 1: [e.g., High-Efficiency CRISPR Editing of the Target Locus]</w:t>
      </w:r>
    </w:p>
    <w:p>
      <w:pPr>
        <w:pStyle w:val="FirstParagraph"/>
      </w:pPr>
      <w:r>
        <w:t xml:space="preserve">Describe the initial experimental design and the baseline validation. If detailing a CRISPR-Cas9 knockout or knock-in experiment in an agronomic crop, specify the selection and design criteria for the guide RNAs (gRNAs) synthesized via authorized providers (</w:t>
      </w:r>
      <w:r>
        <w:rPr>
          <w:b/>
          <w:bCs/>
        </w:rPr>
        <w:t xml:space="preserve">LST-ADM-003</w:t>
      </w:r>
      <w:r>
        <w:t xml:space="preserve">). Present the direct quantification of editing efficiency obtained via deep sequencing or capillary electrophoresis using the TapeStation platform (</w:t>
      </w:r>
      <w:r>
        <w:rPr>
          <w:b/>
          <w:bCs/>
        </w:rPr>
        <w:t xml:space="preserve">LST-ADM-001</w:t>
      </w:r>
      <w:r>
        <w:t xml:space="preserve">).</w:t>
      </w:r>
    </w:p>
    <w:p>
      <w:pPr>
        <w:pStyle w:val="BodyText"/>
      </w:pPr>
      <w:r>
        <w:t xml:space="preserve">Authors must report exact percentages of insertions, deletions (indels), or precise base transitions across all biological replicates. Provide explicit statistical validation using the linear formula: Editing Efficiency (%) = (Reads with target modifications / Total valid sequencing reads) * 100.</w:t>
      </w:r>
    </w:p>
    <w:bookmarkEnd w:id="19"/>
    <w:bookmarkStart w:id="20" w:name="X54617e28033aadff340643e2243aaa471986351"/>
    <w:p>
      <w:pPr>
        <w:pStyle w:val="Heading3"/>
      </w:pPr>
      <w:r>
        <w:t xml:space="preserve">Subsection 2: [e.g., Transcriptomic Reprogramming and Phenotypic Manifestation]</w:t>
      </w:r>
    </w:p>
    <w:p>
      <w:pPr>
        <w:pStyle w:val="FirstParagraph"/>
      </w:pPr>
      <w:r>
        <w:t xml:space="preserve">Present the downstream functional consequences of the genetic or environmental perturbation. Incorporate high-throughput RNA-seq profiling data processed via the BioLab HPC cluster (</w:t>
      </w:r>
      <w:r>
        <w:rPr>
          <w:b/>
          <w:bCs/>
        </w:rPr>
        <w:t xml:space="preserve">BL-HPC-2025-001</w:t>
      </w:r>
      <w:r>
        <w:t xml:space="preserve">). Report differential gene expression using standardized metrics (e.g., log2 fold-change greater than or equal to 2.0, adjusted p-value less than or equal to 0.05 controlled by the Benjamini-Hochberg False Discovery Rate).</w:t>
      </w:r>
    </w:p>
    <w:p>
      <w:pPr>
        <w:pStyle w:val="BodyText"/>
      </w:pPr>
      <w:r>
        <w:t xml:space="preserve">Link the transcriptomic alterations directly to physiological and phenotypic traits measured under controlled greenhouse or field simulation conditions. Data must be structured into clear tables or referenced figures (e.g., Volcano plots, PCA analysis, photosynthetic yield curves).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Sample ID</w:t>
            </w:r>
          </w:p>
        </w:tc>
        <w:tc>
          <w:tcPr/>
          <w:p>
            <w:pPr>
              <w:pStyle w:val="Compact"/>
            </w:pPr>
            <w:r>
              <w:rPr>
                <w:b/>
                <w:bCs/>
              </w:rPr>
              <w:t xml:space="preserve">Target Gene</w:t>
            </w:r>
          </w:p>
        </w:tc>
        <w:tc>
          <w:tcPr/>
          <w:p>
            <w:pPr>
              <w:pStyle w:val="Compact"/>
            </w:pPr>
            <w:r>
              <w:rPr>
                <w:b/>
                <w:bCs/>
              </w:rPr>
              <w:t xml:space="preserve">Relative Expression (Fold-Change)</w:t>
            </w:r>
          </w:p>
        </w:tc>
        <w:tc>
          <w:tcPr/>
          <w:p>
            <w:pPr>
              <w:pStyle w:val="Compact"/>
            </w:pPr>
            <w:r>
              <w:rPr>
                <w:b/>
                <w:bCs/>
              </w:rPr>
              <w:t xml:space="preserve">Phenotypic Metric (Biomass Increase %)</w:t>
            </w:r>
          </w:p>
        </w:tc>
        <w:tc>
          <w:tcPr/>
          <w:p>
            <w:pPr>
              <w:pStyle w:val="Compact"/>
            </w:pPr>
            <w:r>
              <w:rPr>
                <w:b/>
                <w:bCs/>
              </w:rPr>
              <w:t xml:space="preserve">Statistical Significance (p-value)</w:t>
            </w:r>
          </w:p>
        </w:tc>
      </w:tr>
      <w:tr>
        <w:tc>
          <w:tcPr/>
          <w:p>
            <w:pPr>
              <w:pStyle w:val="Compact"/>
            </w:pPr>
            <w:r>
              <w:rPr>
                <w:b/>
                <w:bCs/>
              </w:rPr>
              <w:t xml:space="preserve">BL-SAMP-01</w:t>
            </w:r>
          </w:p>
        </w:tc>
        <w:tc>
          <w:tcPr/>
          <w:p>
            <w:pPr>
              <w:pStyle w:val="Compact"/>
            </w:pPr>
            <w:r>
              <w:rPr>
                <w:i/>
                <w:iCs/>
              </w:rPr>
              <w:t xml:space="preserve">OsDREB1A</w:t>
            </w:r>
          </w:p>
        </w:tc>
        <w:tc>
          <w:tcPr/>
          <w:p>
            <w:pPr>
              <w:pStyle w:val="Compact"/>
            </w:pPr>
            <w:r>
              <w:t xml:space="preserve">+4.2 +/- 0.15</w:t>
            </w:r>
          </w:p>
        </w:tc>
        <w:tc>
          <w:tcPr/>
          <w:p>
            <w:pPr>
              <w:pStyle w:val="Compact"/>
            </w:pPr>
            <w:r>
              <w:t xml:space="preserve">+22.4%</w:t>
            </w:r>
          </w:p>
        </w:tc>
        <w:tc>
          <w:tcPr/>
          <w:p>
            <w:pPr>
              <w:pStyle w:val="Compact"/>
            </w:pPr>
            <w:r>
              <w:t xml:space="preserve">less than 0.001</w:t>
            </w:r>
          </w:p>
        </w:tc>
      </w:tr>
      <w:tr>
        <w:tc>
          <w:tcPr/>
          <w:p>
            <w:pPr>
              <w:pStyle w:val="Compact"/>
            </w:pPr>
            <w:r>
              <w:rPr>
                <w:b/>
                <w:bCs/>
              </w:rPr>
              <w:t xml:space="preserve">BL-SAMP-02</w:t>
            </w:r>
          </w:p>
        </w:tc>
        <w:tc>
          <w:tcPr/>
          <w:p>
            <w:pPr>
              <w:pStyle w:val="Compact"/>
            </w:pPr>
            <w:r>
              <w:rPr>
                <w:i/>
                <w:iCs/>
              </w:rPr>
              <w:t xml:space="preserve">OsERF3</w:t>
            </w:r>
          </w:p>
        </w:tc>
        <w:tc>
          <w:tcPr/>
          <w:p>
            <w:pPr>
              <w:pStyle w:val="Compact"/>
            </w:pPr>
            <w:r>
              <w:t xml:space="preserve">-3.1 +/- 0.08</w:t>
            </w:r>
          </w:p>
        </w:tc>
        <w:tc>
          <w:tcPr/>
          <w:p>
            <w:pPr>
              <w:pStyle w:val="Compact"/>
            </w:pPr>
            <w:r>
              <w:t xml:space="preserve">+18.9%</w:t>
            </w:r>
          </w:p>
        </w:tc>
        <w:tc>
          <w:tcPr/>
          <w:p>
            <w:pPr>
              <w:pStyle w:val="Compact"/>
            </w:pPr>
            <w:r>
              <w:t xml:space="preserve">less than 0.01</w:t>
            </w:r>
          </w:p>
        </w:tc>
      </w:tr>
    </w:tbl>
    <w:bookmarkEnd w:id="20"/>
    <w:bookmarkStart w:id="21" w:name="Xdcd89862b0b0a5ea93e5449f76bbfbe5e2056f9"/>
    <w:p>
      <w:pPr>
        <w:pStyle w:val="Heading3"/>
      </w:pPr>
      <w:r>
        <w:t xml:space="preserve">Subsection 3: [e.g., Metagenomic Shift and Environmental Validation]</w:t>
      </w:r>
    </w:p>
    <w:p>
      <w:pPr>
        <w:pStyle w:val="FirstParagraph"/>
      </w:pPr>
      <w:r>
        <w:t xml:space="preserve">Where applicable, integrate the micro-environmental interaction data, such as changes in the rhizosphere microbiome structure analyzed via the metagenomic pipelines specified in</w:t>
      </w:r>
      <w:r>
        <w:t xml:space="preserve"> </w:t>
      </w:r>
      <w:r>
        <w:rPr>
          <w:b/>
          <w:bCs/>
        </w:rPr>
        <w:t xml:space="preserve">POP-SEQ-002</w:t>
      </w:r>
      <w:r>
        <w:t xml:space="preserve">. Present Alpha and Beta diversity indices (e.g., Shannon diversity, Bray-Curtis dissimilarity) to prove the safety, stability, or synergistic effect of the bioproduct or gene-edited plant on soil ecology.</w:t>
      </w:r>
    </w:p>
    <w:bookmarkEnd w:id="21"/>
    <w:bookmarkEnd w:id="22"/>
    <w:bookmarkStart w:id="25" w:name="discussion"/>
    <w:p>
      <w:pPr>
        <w:pStyle w:val="Heading2"/>
      </w:pPr>
      <w:r>
        <w:t xml:space="preserve">Discussion</w:t>
      </w:r>
    </w:p>
    <w:p>
      <w:pPr>
        <w:pStyle w:val="FirstParagraph"/>
      </w:pPr>
      <w:r>
        <w:t xml:space="preserve">The Discussion must not merely recapitulate the Results, but synthesize them into a unified biological paradigm, comparing the findings directly with the international state-of-the-art.</w:t>
      </w:r>
    </w:p>
    <w:bookmarkStart w:id="23" w:name="mechanistic-interpretation"/>
    <w:p>
      <w:pPr>
        <w:pStyle w:val="Heading3"/>
      </w:pPr>
      <w:r>
        <w:t xml:space="preserve">Mechanistic Interpretation</w:t>
      </w:r>
    </w:p>
    <w:p>
      <w:pPr>
        <w:pStyle w:val="FirstParagraph"/>
      </w:pPr>
      <w:r>
        <w:t xml:space="preserve">Interpret the molecular mechanisms driving the observed phenotypes. Discuss how the specific genetic modifications or microbial successions alter current biological models. Address any unexpected outcomes, such as off-target editing rates or variable penetrance of the phenotype across different soil conditions, providing a transparent, data-driven explanation.</w:t>
      </w:r>
    </w:p>
    <w:bookmarkEnd w:id="23"/>
    <w:bookmarkStart w:id="24" w:name="agrobiotechnical-and-global-implications"/>
    <w:p>
      <w:pPr>
        <w:pStyle w:val="Heading3"/>
      </w:pPr>
      <w:r>
        <w:t xml:space="preserve">Agrobiotechnical and Global Implications</w:t>
      </w:r>
    </w:p>
    <w:p>
      <w:pPr>
        <w:pStyle w:val="FirstParagraph"/>
      </w:pPr>
      <w:r>
        <w:t xml:space="preserve">Elaborate on how this breakthrough scales from the bench and controlled environments to broad-scale agricultural application. Discuss environmental safety, biocontainment, and compatibility with international biosafety regulations (complying with Brazilian CTNBio and international cartagena protocols).</w:t>
      </w:r>
    </w:p>
    <w:p>
      <w:pPr>
        <w:pStyle w:val="BodyText"/>
      </w:pPr>
      <w:r>
        <w:t xml:space="preserve">Detail how this research directly accelerates breeding programs or bioproduct development, providing a concrete path toward climate-resilient agriculture. Conclude the discussion by outlining the next critical frontiers of research arising from this discovery.</w:t>
      </w:r>
    </w:p>
    <w:bookmarkEnd w:id="24"/>
    <w:bookmarkEnd w:id="25"/>
    <w:bookmarkStart w:id="29" w:name="methods"/>
    <w:p>
      <w:pPr>
        <w:pStyle w:val="Heading2"/>
      </w:pPr>
      <w:r>
        <w:t xml:space="preserve">Methods</w:t>
      </w:r>
    </w:p>
    <w:p>
      <w:pPr>
        <w:pStyle w:val="FirstParagraph"/>
      </w:pPr>
      <w:r>
        <w:t xml:space="preserve">The Methods section must provide a level of detail that guarantees absolute reproducibility of the experiments by any qualified international laboratory. This section will be published online as supplementary information or within the main body depending on the journal’s specific sub-format.</w:t>
      </w:r>
    </w:p>
    <w:bookmarkStart w:id="26" w:name="plant-material-and-growth-conditions"/>
    <w:p>
      <w:pPr>
        <w:pStyle w:val="Heading3"/>
      </w:pPr>
      <w:r>
        <w:t xml:space="preserve">Plant Material and Growth Conditions</w:t>
      </w:r>
    </w:p>
    <w:p>
      <w:pPr>
        <w:pStyle w:val="FirstParagraph"/>
      </w:pPr>
      <w:r>
        <w:t xml:space="preserve">State the exact genus, species, cultivar, or inbred line utilized (e.g.,</w:t>
      </w:r>
      <w:r>
        <w:t xml:space="preserve"> </w:t>
      </w:r>
      <w:r>
        <w:rPr>
          <w:i/>
          <w:iCs/>
        </w:rPr>
        <w:t xml:space="preserve">Oryza sativa</w:t>
      </w:r>
      <w:r>
        <w:t xml:space="preserve"> </w:t>
      </w:r>
      <w:r>
        <w:t xml:space="preserve">L. ssp.</w:t>
      </w:r>
      <w:r>
        <w:t xml:space="preserve"> </w:t>
      </w:r>
      <w:r>
        <w:rPr>
          <w:i/>
          <w:iCs/>
        </w:rPr>
        <w:t xml:space="preserve">japonica</w:t>
      </w:r>
      <w:r>
        <w:t xml:space="preserve"> </w:t>
      </w:r>
      <w:r>
        <w:t xml:space="preserve">cv. Nipponbare). Detail the precise parameters of the growth chambers: photoperiod (16 h light / 8 h dark), light intensity (400 micromol / m^2 / s photosynthetic photon flux density), relative humidity (65%), and diurnal temperature fluctuations (28°C day / 22°C night).</w:t>
      </w:r>
    </w:p>
    <w:bookmarkEnd w:id="26"/>
    <w:bookmarkStart w:id="27" w:name="Xde26bd8fd290e4b9841f9b234742c4b171771c8"/>
    <w:p>
      <w:pPr>
        <w:pStyle w:val="Heading3"/>
      </w:pPr>
      <w:r>
        <w:t xml:space="preserve">Library Preparation and Next-Generation Sequencing</w:t>
      </w:r>
    </w:p>
    <w:p>
      <w:pPr>
        <w:pStyle w:val="FirstParagraph"/>
      </w:pPr>
      <w:r>
        <w:t xml:space="preserve">Describe the complete pipeline for nucleic acid extraction and library construction. Reference institutional standards such as the extraction workflows via automated platforms (</w:t>
      </w:r>
      <w:r>
        <w:rPr>
          <w:b/>
          <w:bCs/>
        </w:rPr>
        <w:t xml:space="preserve">BL-EXA-2024-018</w:t>
      </w:r>
      <w:r>
        <w:t xml:space="preserve">). Detail the specific library prep kits (e.g., Illumina Stranded Total RNA Prep,</w:t>
      </w:r>
      <w:r>
        <w:t xml:space="preserve"> </w:t>
      </w:r>
      <w:r>
        <w:rPr>
          <w:b/>
          <w:bCs/>
        </w:rPr>
        <w:t xml:space="preserve">REA-NGS-014</w:t>
      </w:r>
      <w:r>
        <w:t xml:space="preserve">).</w:t>
      </w:r>
    </w:p>
    <w:p>
      <w:pPr>
        <w:pStyle w:val="BodyText"/>
      </w:pPr>
      <w:r>
        <w:t xml:space="preserve">Specify the exact sequencing parameters executed on the Illumina NextSeq 2000 platform (</w:t>
      </w:r>
      <w:r>
        <w:rPr>
          <w:b/>
          <w:bCs/>
        </w:rPr>
        <w:t xml:space="preserve">BL-NGS-2024-005</w:t>
      </w:r>
      <w:r>
        <w:t xml:space="preserve">): run type (e.g., paired-end, 2 x 150 bp), flow cell configuration (P2 or P3), and minimum raw read depth per sample (e.g., 30 million reads).</w:t>
      </w:r>
    </w:p>
    <w:bookmarkEnd w:id="27"/>
    <w:bookmarkStart w:id="28" w:name="X62ce66475c663e3962230367356a920c352f0bc"/>
    <w:p>
      <w:pPr>
        <w:pStyle w:val="Heading3"/>
      </w:pPr>
      <w:r>
        <w:t xml:space="preserve">Statistical Analysis and Bioinformatics Pipelines</w:t>
      </w:r>
    </w:p>
    <w:p>
      <w:pPr>
        <w:pStyle w:val="FirstParagraph"/>
      </w:pPr>
      <w:r>
        <w:t xml:space="preserve">Provide comprehensive details of all software packages, versions, and commands utilized for data processing. For RNA-seq, list the alignment tools (e.g., STAR v2.7), quantification software (e.g., RSEM v1.3), and differential expression packages (e.g., DESeq2 v1.38). For CRISPR evaluation, specify the exact parameters used in CRISPResso2 or amplicon sequencing analysis software. State the number of independent biological replicates (n greater than or equal to 3) and the precise tests used to validate statistical significance (e.g., Two-way ANOVA followed by Tukey’s post-hoc test).</w:t>
      </w:r>
    </w:p>
    <w:bookmarkEnd w:id="28"/>
    <w:bookmarkEnd w:id="29"/>
    <w:bookmarkStart w:id="30" w:name="references"/>
    <w:p>
      <w:pPr>
        <w:pStyle w:val="Heading2"/>
      </w:pPr>
      <w:r>
        <w:t xml:space="preserve">References</w:t>
      </w:r>
    </w:p>
    <w:p>
      <w:pPr>
        <w:pStyle w:val="FirstParagraph"/>
      </w:pPr>
      <w:r>
        <w:t xml:space="preserve">Authors must format references strictly according to the target journal’s style guide (</w:t>
      </w:r>
      <w:r>
        <w:rPr>
          <w:i/>
          <w:iCs/>
        </w:rPr>
        <w:t xml:space="preserve">Nature</w:t>
      </w:r>
      <w:r>
        <w:t xml:space="preserve"> </w:t>
      </w:r>
      <w:r>
        <w:t xml:space="preserve">numbered style or</w:t>
      </w:r>
      <w:r>
        <w:t xml:space="preserve"> </w:t>
      </w:r>
      <w:r>
        <w:rPr>
          <w:i/>
          <w:iCs/>
        </w:rPr>
        <w:t xml:space="preserve">Science</w:t>
      </w:r>
      <w:r>
        <w:t xml:space="preserve"> </w:t>
      </w:r>
      <w:r>
        <w:t xml:space="preserve">citation format). Ensure all entries are fully tracked in the Zotero/EndNote institutional database. Below are examples of the formatting style required for direct submission:</w:t>
      </w:r>
    </w:p>
    <w:p>
      <w:pPr>
        <w:pStyle w:val="Compact"/>
        <w:numPr>
          <w:ilvl w:val="0"/>
          <w:numId w:val="1002"/>
        </w:numPr>
      </w:pPr>
      <w:r>
        <w:t xml:space="preserve">Author, A. B., Author, C. D. &amp; Author, E. F. Title of the primary research paper showing breakthrough results.</w:t>
      </w:r>
      <w:r>
        <w:t xml:space="preserve"> </w:t>
      </w:r>
      <w:r>
        <w:rPr>
          <w:i/>
          <w:iCs/>
        </w:rPr>
        <w:t xml:space="preserve">Nature Biotechnology</w:t>
      </w:r>
      <w:r>
        <w:t xml:space="preserve"> </w:t>
      </w:r>
      <w:r>
        <w:rPr>
          <w:b/>
          <w:bCs/>
        </w:rPr>
        <w:t xml:space="preserve">44</w:t>
      </w:r>
      <w:r>
        <w:t xml:space="preserve">, 1120–1128 (2025).</w:t>
      </w:r>
    </w:p>
    <w:p>
      <w:pPr>
        <w:pStyle w:val="Compact"/>
        <w:numPr>
          <w:ilvl w:val="0"/>
          <w:numId w:val="1002"/>
        </w:numPr>
      </w:pPr>
      <w:r>
        <w:t xml:space="preserve">Researcher, G. H. &amp; Scientist, I. J. Genome editing via CRISPR-Cas9 in elite crop cultivars under changing climate regimes.</w:t>
      </w:r>
      <w:r>
        <w:t xml:space="preserve"> </w:t>
      </w:r>
      <w:r>
        <w:rPr>
          <w:i/>
          <w:iCs/>
        </w:rPr>
        <w:t xml:space="preserve">Science</w:t>
      </w:r>
      <w:r>
        <w:t xml:space="preserve"> </w:t>
      </w:r>
      <w:r>
        <w:rPr>
          <w:b/>
          <w:bCs/>
        </w:rPr>
        <w:t xml:space="preserve">389</w:t>
      </w:r>
      <w:r>
        <w:t xml:space="preserve">, 450–458 (2026).</w:t>
      </w:r>
    </w:p>
    <w:p>
      <w:pPr>
        <w:pStyle w:val="Compact"/>
        <w:numPr>
          <w:ilvl w:val="0"/>
          <w:numId w:val="1002"/>
        </w:numPr>
      </w:pPr>
      <w:r>
        <w:t xml:space="preserve">BioLab Research Center.</w:t>
      </w:r>
      <w:r>
        <w:t xml:space="preserve"> </w:t>
      </w:r>
      <w:r>
        <w:rPr>
          <w:i/>
          <w:iCs/>
        </w:rPr>
        <w:t xml:space="preserve">Internal Standard Operating Procedure for High-Throughput Metagenomic Analysis of Soil Phytobiomes (POP-SEQ-002)</w:t>
      </w:r>
      <w:r>
        <w:t xml:space="preserve">. Version 3.4; Gestão &amp; Compras Repository (2026).</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2026-08-12T21:50:38Z</dcterms:created>
  <dcterms:modified xsi:type="dcterms:W3CDTF">2026-08-12T21:50:38Z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ettlr">
    <vt:lpwstr/>
  </property>
</Properties>
</file>