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iolab-research-center"/>
    <w:p>
      <w:pPr>
        <w:pStyle w:val="Heading1"/>
      </w:pPr>
      <w:r>
        <w:t xml:space="preserve">BioLab Research Center</w:t>
      </w:r>
    </w:p>
    <w:bookmarkEnd w:id="9"/>
    <w:bookmarkStart w:id="11" w:name="X9884d336f625babddf30d078eea1b0b7e72d094"/>
    <w:p>
      <w:pPr>
        <w:pStyle w:val="Heading1"/>
      </w:pPr>
      <w:r>
        <w:t xml:space="preserve">TPT-ART-002 - Template para Escrita de Short Communications</w:t>
      </w:r>
    </w:p>
    <w:bookmarkStart w:id="10" w:name="informações-do-documento"/>
    <w:p>
      <w:pPr>
        <w:pStyle w:val="Heading2"/>
      </w:pPr>
      <w:r>
        <w:t xml:space="preserve">Informações do documento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Campo</w:t>
            </w:r>
          </w:p>
        </w:tc>
        <w:tc>
          <w:tcPr/>
          <w:p>
            <w:pPr>
              <w:pStyle w:val="Compact"/>
            </w:pPr>
            <w:r>
              <w:rPr>
                <w:b/>
                <w:bCs/>
              </w:rPr>
              <w:t xml:space="preserve">Valor</w:t>
            </w:r>
          </w:p>
        </w:tc>
      </w:tr>
      <w:tr>
        <w:tc>
          <w:tcPr/>
          <w:p>
            <w:pPr>
              <w:pStyle w:val="Compact"/>
            </w:pPr>
            <w:r>
              <w:t xml:space="preserve">Código</w:t>
            </w:r>
          </w:p>
        </w:tc>
        <w:tc>
          <w:tcPr/>
          <w:p>
            <w:pPr>
              <w:pStyle w:val="Compact"/>
            </w:pPr>
            <w:r>
              <w:t xml:space="preserve">TPT-ART-002</w:t>
            </w:r>
          </w:p>
        </w:tc>
      </w:tr>
      <w:tr>
        <w:tc>
          <w:tcPr/>
          <w:p>
            <w:pPr>
              <w:pStyle w:val="Compact"/>
            </w:pPr>
            <w:r>
              <w:t xml:space="preserve">Categoria</w:t>
            </w:r>
          </w:p>
        </w:tc>
        <w:tc>
          <w:tcPr/>
          <w:p>
            <w:pPr>
              <w:pStyle w:val="Compact"/>
            </w:pPr>
            <w:r>
              <w:t xml:space="preserve">Template</w:t>
            </w:r>
          </w:p>
        </w:tc>
      </w:tr>
      <w:tr>
        <w:tc>
          <w:tcPr/>
          <w:p>
            <w:pPr>
              <w:pStyle w:val="Compact"/>
            </w:pPr>
            <w:r>
              <w:t xml:space="preserve">Setor</w:t>
            </w:r>
          </w:p>
        </w:tc>
        <w:tc>
          <w:tcPr/>
          <w:p>
            <w:pPr>
              <w:pStyle w:val="Compact"/>
            </w:pPr>
            <w:r>
              <w:t xml:space="preserve">Coordenação Científica</w:t>
            </w:r>
          </w:p>
        </w:tc>
      </w:tr>
      <w:tr>
        <w:tc>
          <w:tcPr/>
          <w:p>
            <w:pPr>
              <w:pStyle w:val="Compact"/>
            </w:pPr>
            <w:r>
              <w:t xml:space="preserve">Nível de Biossegurança</w:t>
            </w:r>
          </w:p>
        </w:tc>
        <w:tc>
          <w:tcPr/>
          <w:p>
            <w:pPr>
              <w:pStyle w:val="Compact"/>
            </w:pPr>
            <w:r>
              <w:t xml:space="preserve">Não Aplicável</w:t>
            </w:r>
          </w:p>
        </w:tc>
      </w:tr>
      <w:tr>
        <w:tc>
          <w:tcPr/>
          <w:p>
            <w:pPr>
              <w:pStyle w:val="Compact"/>
            </w:pPr>
            <w:r>
              <w:t xml:space="preserve">Responsável</w:t>
            </w:r>
          </w:p>
        </w:tc>
        <w:tc>
          <w:tcPr/>
          <w:p>
            <w:pPr>
              <w:pStyle w:val="Compact"/>
            </w:pPr>
            <w:r>
              <w:t xml:space="preserve">Dr. Renato Guimarães, Pesquisador Sênior</w:t>
            </w:r>
          </w:p>
        </w:tc>
      </w:tr>
      <w:tr>
        <w:tc>
          <w:tcPr/>
          <w:p>
            <w:pPr>
              <w:pStyle w:val="Compact"/>
            </w:pPr>
            <w:r>
              <w:t xml:space="preserve">Revisão Técnica</w:t>
            </w:r>
          </w:p>
        </w:tc>
        <w:tc>
          <w:tcPr/>
          <w:p>
            <w:pPr>
              <w:pStyle w:val="Compact"/>
            </w:pPr>
            <w:r>
              <w:t xml:space="preserve">Dra. Luciana Prado, Pesquisadora Sênior</w:t>
            </w:r>
          </w:p>
        </w:tc>
      </w:tr>
      <w:tr>
        <w:tc>
          <w:tcPr/>
          <w:p>
            <w:pPr>
              <w:pStyle w:val="Compact"/>
            </w:pPr>
            <w:r>
              <w:t xml:space="preserve">Versão</w:t>
            </w:r>
          </w:p>
        </w:tc>
        <w:tc>
          <w:tcPr/>
          <w:p>
            <w:pPr>
              <w:pStyle w:val="Compact"/>
            </w:pPr>
            <w:r>
              <w:t xml:space="preserve">1.1</w:t>
            </w:r>
          </w:p>
        </w:tc>
      </w:tr>
      <w:tr>
        <w:tc>
          <w:tcPr/>
          <w:p>
            <w:pPr>
              <w:pStyle w:val="Compact"/>
            </w:pPr>
            <w:r>
              <w:t xml:space="preserve">Data da revisão</w:t>
            </w:r>
          </w:p>
        </w:tc>
        <w:tc>
          <w:tcPr/>
          <w:p>
            <w:pPr>
              <w:pStyle w:val="Compact"/>
            </w:pPr>
            <w:r>
              <w:t xml:space="preserve">Agosto/2026</w:t>
            </w:r>
          </w:p>
        </w:tc>
      </w:tr>
      <w:tr>
        <w:tc>
          <w:tcPr/>
          <w:p>
            <w:pPr>
              <w:pStyle w:val="Compact"/>
            </w:pPr>
            <w:r>
              <w:t xml:space="preserve">Palavras-chave</w:t>
            </w:r>
          </w:p>
        </w:tc>
        <w:tc>
          <w:tcPr/>
          <w:p>
            <w:pPr>
              <w:pStyle w:val="Compact"/>
            </w:pPr>
            <w:r>
              <w:t xml:space="preserve">Short Communication, Letter Format, Rapid Publication, CRISPR-Cas9, Results and Discussion, Agro-Biotechnology</w:t>
            </w:r>
          </w:p>
        </w:tc>
      </w:tr>
    </w:tbl>
    <w:bookmarkEnd w:id="10"/>
    <w:bookmarkEnd w:id="11"/>
    <w:bookmarkStart w:id="13" w:name="X328910ab6773bc949ceac3537fb76433f23d995"/>
    <w:p>
      <w:pPr>
        <w:pStyle w:val="Heading1"/>
      </w:pPr>
      <w:r>
        <w:t xml:space="preserve">TPT-ART-002: Structural Template and Editorial Guidelines for Short Communications and Letters in High-Impact Biotechnology Journals</w:t>
      </w:r>
    </w:p>
    <w:bookmarkStart w:id="12" w:name="X2ccbae1e6e2f8c37dd90797d0ce8a8e51aef654"/>
    <w:p>
      <w:pPr>
        <w:pStyle w:val="Heading2"/>
      </w:pPr>
      <w:r>
        <w:t xml:space="preserve">Editorial Preamble and Strategic Directives</w:t>
      </w:r>
    </w:p>
    <w:p>
      <w:pPr>
        <w:pStyle w:val="FirstParagraph"/>
      </w:pPr>
      <w:r>
        <w:t xml:space="preserve">This document outlines the structural framework for a</w:t>
      </w:r>
      <w:r>
        <w:t xml:space="preserve"> </w:t>
      </w:r>
      <w:r>
        <w:rPr>
          <w:b/>
          <w:bCs/>
        </w:rPr>
        <w:t xml:space="preserve">Short Communication</w:t>
      </w:r>
      <w:r>
        <w:t xml:space="preserve"> </w:t>
      </w:r>
      <w:r>
        <w:t xml:space="preserve">or</w:t>
      </w:r>
      <w:r>
        <w:t xml:space="preserve"> </w:t>
      </w:r>
      <w:r>
        <w:rPr>
          <w:b/>
          <w:bCs/>
        </w:rPr>
        <w:t xml:space="preserve">Letter</w:t>
      </w:r>
      <w:r>
        <w:t xml:space="preserve"> </w:t>
      </w:r>
      <w:r>
        <w:t xml:space="preserve">submission, authorized by the Scientific Coordination of the</w:t>
      </w:r>
      <w:r>
        <w:t xml:space="preserve"> </w:t>
      </w:r>
      <w:r>
        <w:rPr>
          <w:b/>
          <w:bCs/>
        </w:rPr>
        <w:t xml:space="preserve">BioLab Research Center</w:t>
      </w:r>
      <w:r>
        <w:t xml:space="preserve">. This format is specifically reserved for rapid, high-impact disclosures of urgent biotechnological advances—such as novel CRISPR-Cas9 variants, immediate crop trait modifications, or breakthrough discoveries in the soil microbiome—that require expedited peer review.</w:t>
      </w:r>
    </w:p>
    <w:p>
      <w:pPr>
        <w:pStyle w:val="BodyText"/>
      </w:pPr>
      <w:r>
        <w:t xml:space="preserve">Unlike a full-length research article (TPT-ART-001), a Short Communication features a significantly condensed layout, strictly fusing the Results and Discussion into a singular, cohesive narrative block. Authors must target a total length of fewer than 2,000 words (excluding Methods and References), accompanied by no more than 3 high-density display items (Figures/Tables). Authors must replace the structured instructional prose below with their raw empirical data, ensuring that all quality baselines, statistical thresholds, and bioinformatic pipelines conform to BioLab’s rigorous institutional standards.</w:t>
      </w:r>
    </w:p>
    <w:bookmarkEnd w:id="12"/>
    <w:bookmarkEnd w:id="13"/>
    <w:bookmarkStart w:id="27" w:name="X6f78d5bb309a7d723321cb8341cb0b6957f322c"/>
    <w:p>
      <w:pPr>
        <w:pStyle w:val="Heading1"/>
      </w:pPr>
      <w:r>
        <w:t xml:space="preserve">[INSERT CONCISE, IMPACT-DRIVEN TITLE HERE: MAXIMUM 15 WORDS]</w:t>
      </w:r>
    </w:p>
    <w:bookmarkStart w:id="14" w:name="authors-and-affiliations"/>
    <w:p>
      <w:pPr>
        <w:pStyle w:val="Heading3"/>
      </w:pPr>
      <w:r>
        <w:t xml:space="preserve">Authors and Affiliations:</w:t>
      </w:r>
    </w:p>
    <w:p>
      <w:pPr>
        <w:pStyle w:val="FirstParagraph"/>
      </w:pPr>
      <w:r>
        <w:t xml:space="preserve">[First Name] [Middle Initial]. [Last Name]1</w:t>
      </w:r>
      <w:r>
        <w:rPr>
          <w:i/>
          <w:iCs/>
        </w:rPr>
        <w:t xml:space="preserve">, [Author Two]2, &amp; [Senior Author]1</w:t>
      </w:r>
    </w:p>
    <w:p>
      <w:pPr>
        <w:pStyle w:val="BodyText"/>
      </w:pPr>
      <w:r>
        <w:t xml:space="preserve">1 BioLab Research Center, Department of Plant Genomics and Genome Editing, São Paulo, Brazil.</w:t>
      </w:r>
      <w:r>
        <w:t xml:space="preserve"> </w:t>
      </w:r>
      <w:r>
        <w:t xml:space="preserve">2 Bioinformatics and High-Performance Computing Core, BioLab Research Center, São Paulo, Brazil.</w:t>
      </w:r>
      <w:r>
        <w:t xml:space="preserve"> </w:t>
      </w:r>
      <w:r>
        <w:t xml:space="preserve">- Corresponding authors: scientific.coordination@biolab.rc</w:t>
      </w:r>
    </w:p>
    <w:bookmarkEnd w:id="14"/>
    <w:bookmarkStart w:id="15" w:name="abstract"/>
    <w:p>
      <w:pPr>
        <w:pStyle w:val="Heading2"/>
      </w:pPr>
      <w:r>
        <w:t xml:space="preserve">Abstract</w:t>
      </w:r>
    </w:p>
    <w:p>
      <w:pPr>
        <w:pStyle w:val="FirstParagraph"/>
      </w:pPr>
      <w:r>
        <w:t xml:space="preserve">The Abstract for a Short Communication must be highly compressed, typically spanning between 100 and 120 words in a single unreferenced paragraph. Instruct the researcher to fulfill the following four elements seamlessly:</w:t>
      </w:r>
    </w:p>
    <w:p>
      <w:pPr>
        <w:pStyle w:val="Compact"/>
        <w:numPr>
          <w:ilvl w:val="0"/>
          <w:numId w:val="1001"/>
        </w:numPr>
      </w:pPr>
      <w:r>
        <w:rPr>
          <w:b/>
          <w:bCs/>
        </w:rPr>
        <w:t xml:space="preserve">The Hook:</w:t>
      </w:r>
      <w:r>
        <w:t xml:space="preserve"> </w:t>
      </w:r>
      <w:r>
        <w:t xml:space="preserve">A single sentence presenting the urgent agricultural or bioengineering bottleneck.</w:t>
      </w:r>
    </w:p>
    <w:p>
      <w:pPr>
        <w:pStyle w:val="Compact"/>
        <w:numPr>
          <w:ilvl w:val="0"/>
          <w:numId w:val="1001"/>
        </w:numPr>
      </w:pPr>
      <w:r>
        <w:rPr>
          <w:b/>
          <w:bCs/>
        </w:rPr>
        <w:t xml:space="preserve">The Breakthrough:</w:t>
      </w:r>
      <w:r>
        <w:t xml:space="preserve"> </w:t>
      </w:r>
      <w:r>
        <w:t xml:space="preserve">One sentence introducing the novel methodology or unexpected genetic modification developed at BioLab.</w:t>
      </w:r>
    </w:p>
    <w:p>
      <w:pPr>
        <w:pStyle w:val="Compact"/>
        <w:numPr>
          <w:ilvl w:val="0"/>
          <w:numId w:val="1001"/>
        </w:numPr>
      </w:pPr>
      <w:r>
        <w:rPr>
          <w:b/>
          <w:bCs/>
        </w:rPr>
        <w:t xml:space="preserve">The Evidence:</w:t>
      </w:r>
      <w:r>
        <w:t xml:space="preserve"> </w:t>
      </w:r>
      <w:r>
        <w:t xml:space="preserve">Two sentences presenting the absolute core quantitative findings (e.g., specific percentage increase in drought tolerance, exact fold-change reduction in viral titer, or targeted indel efficiency).</w:t>
      </w:r>
    </w:p>
    <w:p>
      <w:pPr>
        <w:pStyle w:val="Compact"/>
        <w:numPr>
          <w:ilvl w:val="0"/>
          <w:numId w:val="1001"/>
        </w:numPr>
      </w:pPr>
      <w:r>
        <w:rPr>
          <w:b/>
          <w:bCs/>
        </w:rPr>
        <w:t xml:space="preserve">The Shift:</w:t>
      </w:r>
      <w:r>
        <w:t xml:space="preserve"> </w:t>
      </w:r>
      <w:r>
        <w:t xml:space="preserve">A final sentence stating how this rapid discovery immediately shifts the current biotechnological or agronomic paradigm.</w:t>
      </w:r>
    </w:p>
    <w:bookmarkEnd w:id="15"/>
    <w:bookmarkStart w:id="21" w:name="X8acfce0b2b388ba5576f43f668cad3c65655df5"/>
    <w:p>
      <w:pPr>
        <w:pStyle w:val="Heading2"/>
      </w:pPr>
      <w:r>
        <w:t xml:space="preserve">Main Text (Introduction, Results and Discussion Fused)</w:t>
      </w:r>
    </w:p>
    <w:bookmarkStart w:id="16" w:name="introduction-and-rationale"/>
    <w:p>
      <w:pPr>
        <w:pStyle w:val="Heading3"/>
      </w:pPr>
      <w:r>
        <w:t xml:space="preserve">Introduction and Rationale</w:t>
      </w:r>
    </w:p>
    <w:p>
      <w:pPr>
        <w:pStyle w:val="FirstParagraph"/>
      </w:pPr>
      <w:r>
        <w:t xml:space="preserve">The text must begin directly without a section heading. The initial 2 to 3 paragraphs serve as an abbreviated Introduction. Authors must immediately establish the physiological or genetic vulnerability of the target crop (e.g.,</w:t>
      </w:r>
      <w:r>
        <w:t xml:space="preserve"> </w:t>
      </w:r>
      <w:r>
        <w:rPr>
          <w:i/>
          <w:iCs/>
        </w:rPr>
        <w:t xml:space="preserve">Solanum lycopersicum</w:t>
      </w:r>
      <w:r>
        <w:t xml:space="preserve">,</w:t>
      </w:r>
      <w:r>
        <w:t xml:space="preserve"> </w:t>
      </w:r>
      <w:r>
        <w:rPr>
          <w:i/>
          <w:iCs/>
        </w:rPr>
        <w:t xml:space="preserve">Oryza sativa</w:t>
      </w:r>
      <w:r>
        <w:t xml:space="preserve">) or environmental system under investigation. State the specific molecular target or epigenetic mechanism clearly.</w:t>
      </w:r>
    </w:p>
    <w:p>
      <w:pPr>
        <w:pStyle w:val="BodyText"/>
      </w:pPr>
      <w:r>
        <w:t xml:space="preserve">Rather than conducting an extensive historical literature review, focus exclusively on the immediate state-of-the-art context from the last 18 months. Conclude this introductory segment with a definitive statement of the study’s primary objective and its immediate technological novelty. Cross-reference relevant sample preparation validation protocols where applicable, such as</w:t>
      </w:r>
      <w:r>
        <w:t xml:space="preserve"> </w:t>
      </w:r>
      <w:r>
        <w:rPr>
          <w:b/>
          <w:bCs/>
        </w:rPr>
        <w:t xml:space="preserve">POP-RNA-001</w:t>
      </w:r>
      <w:r>
        <w:t xml:space="preserve">, to verify that all inputs met initial quality metrics before entering rapid-screening cascades.</w:t>
      </w:r>
    </w:p>
    <w:bookmarkEnd w:id="16"/>
    <w:bookmarkStart w:id="20" w:name="fused-results-and-discussion-pipeline"/>
    <w:p>
      <w:pPr>
        <w:pStyle w:val="Heading3"/>
      </w:pPr>
      <w:r>
        <w:t xml:space="preserve">Fused Results and Discussion Pipeline</w:t>
      </w:r>
    </w:p>
    <w:p>
      <w:pPr>
        <w:pStyle w:val="FirstParagraph"/>
      </w:pPr>
      <w:r>
        <w:t xml:space="preserve">Instruct the researcher to structure the empirical narrative chronologically using concise subheadings. In a Short Communication, data presentation and mechanistic interpretation must occur simultaneously to accelerate reader comprehension and preserve text economics.</w:t>
      </w:r>
    </w:p>
    <w:bookmarkStart w:id="17" w:name="Xc017c5f04d5bf71264f2fb8d3f1905564241f62"/>
    <w:p>
      <w:pPr>
        <w:pStyle w:val="Heading4"/>
      </w:pPr>
      <w:r>
        <w:t xml:space="preserve">Subsection 1: [e.g., Accelerated CRISPR-Cas9 Screening and Targeted Mutagenesis Kinetics]</w:t>
      </w:r>
    </w:p>
    <w:p>
      <w:pPr>
        <w:pStyle w:val="FirstParagraph"/>
      </w:pPr>
      <w:r>
        <w:t xml:space="preserve">Present the immediate molecular evidence of the genome editing or bioengineering event. If describing an agronomically vital trait transformation, detail the exact locus coordinates and the editing efficiency evaluated via high-throughput Sanger sequencing or capillary electrophoresis using the institutional TapeStation platform (</w:t>
      </w:r>
      <w:r>
        <w:rPr>
          <w:b/>
          <w:bCs/>
        </w:rPr>
        <w:t xml:space="preserve">BL-BIO-2024-009</w:t>
      </w:r>
      <w:r>
        <w:t xml:space="preserve">).</w:t>
      </w:r>
    </w:p>
    <w:p>
      <w:pPr>
        <w:pStyle w:val="BodyText"/>
      </w:pPr>
      <w:r>
        <w:t xml:space="preserve">Immediately follow the data with its biological interpretation: compare your observed mutation frequencies with published baseline models. If a novel multiplex gRNA array yields a significant efficiency spike, discuss the biophysical rationale (e.g., enhanced structural stability of the transcript, superior Cas9 binding kinetics) in the same paragraph. State all metrics precisely, including standard deviations and exact replicate numbers (n).</w:t>
      </w:r>
    </w:p>
    <w:bookmarkEnd w:id="17"/>
    <w:bookmarkStart w:id="18" w:name="X84996bab58e61b37230c35c38cff6bdea8541b8"/>
    <w:p>
      <w:pPr>
        <w:pStyle w:val="Heading4"/>
      </w:pPr>
      <w:r>
        <w:t xml:space="preserve">Subsection 2: [e.g., Phenotypic Manifestation and Translatability to Abiotic Stress Resilience]</w:t>
      </w:r>
    </w:p>
    <w:p>
      <w:pPr>
        <w:pStyle w:val="FirstParagraph"/>
      </w:pPr>
      <w:r>
        <w:t xml:space="preserve">Present the functional validation of the genetic intervention. Guide the author to display quantitative assays measuring crop resilience under simulated environmental stress profiles (e.g., osmotic stress, heat stress, or nutritional deprivation). For example, tabulate key physiological metrics derived from automated greenhouse measurements: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Genotype ID</w:t>
            </w:r>
          </w:p>
        </w:tc>
        <w:tc>
          <w:tcPr/>
          <w:p>
            <w:pPr>
              <w:pStyle w:val="Compact"/>
            </w:pPr>
            <w:r>
              <w:rPr>
                <w:b/>
                <w:bCs/>
              </w:rPr>
              <w:t xml:space="preserve">Target Locus Modification</w:t>
            </w:r>
          </w:p>
        </w:tc>
        <w:tc>
          <w:tcPr/>
          <w:p>
            <w:pPr>
              <w:pStyle w:val="Compact"/>
            </w:pPr>
            <w:r>
              <w:rPr>
                <w:b/>
                <w:bCs/>
              </w:rPr>
              <w:t xml:space="preserve">Stomatal Conductance (gs, mmol / m^2 / s)</w:t>
            </w:r>
          </w:p>
        </w:tc>
        <w:tc>
          <w:tcPr/>
          <w:p>
            <w:pPr>
              <w:pStyle w:val="Compact"/>
            </w:pPr>
            <w:r>
              <w:rPr>
                <w:b/>
                <w:bCs/>
              </w:rPr>
              <w:t xml:space="preserve">Biomass Accumulation (Delta Dry Weight, g)</w:t>
            </w:r>
          </w:p>
        </w:tc>
        <w:tc>
          <w:tcPr/>
          <w:p>
            <w:pPr>
              <w:pStyle w:val="Compact"/>
            </w:pPr>
            <w:r>
              <w:rPr>
                <w:b/>
                <w:bCs/>
              </w:rPr>
              <w:t xml:space="preserve">Statistical Significance (p-value)</w:t>
            </w:r>
          </w:p>
        </w:tc>
      </w:tr>
      <w:tr>
        <w:tc>
          <w:tcPr/>
          <w:p>
            <w:pPr>
              <w:pStyle w:val="Compact"/>
            </w:pPr>
            <w:r>
              <w:rPr>
                <w:b/>
                <w:bCs/>
              </w:rPr>
              <w:t xml:space="preserve">BL-WT-Control</w:t>
            </w:r>
          </w:p>
        </w:tc>
        <w:tc>
          <w:tcPr/>
          <w:p>
            <w:pPr>
              <w:pStyle w:val="Compact"/>
            </w:pPr>
            <w:r>
              <w:t xml:space="preserve">Wild-Type (Unedited)</w:t>
            </w:r>
          </w:p>
        </w:tc>
        <w:tc>
          <w:tcPr/>
          <w:p>
            <w:pPr>
              <w:pStyle w:val="Compact"/>
            </w:pPr>
            <w:r>
              <w:t xml:space="preserve">210 +/- 14.5</w:t>
            </w:r>
          </w:p>
        </w:tc>
        <w:tc>
          <w:tcPr/>
          <w:p>
            <w:pPr>
              <w:pStyle w:val="Compact"/>
            </w:pPr>
            <w:r>
              <w:t xml:space="preserve">12.4 +/- 0.85</w:t>
            </w:r>
          </w:p>
        </w:tc>
        <w:tc>
          <w:tcPr/>
          <w:p>
            <w:pPr>
              <w:pStyle w:val="Compact"/>
            </w:pPr>
            <w:r>
              <w:t xml:space="preserve">Baseline Reference</w:t>
            </w:r>
          </w:p>
        </w:tc>
      </w:tr>
      <w:tr>
        <w:tc>
          <w:tcPr/>
          <w:p>
            <w:pPr>
              <w:pStyle w:val="Compact"/>
            </w:pPr>
            <w:r>
              <w:rPr>
                <w:b/>
                <w:bCs/>
              </w:rPr>
              <w:t xml:space="preserve">BL-CR-LocusA</w:t>
            </w:r>
          </w:p>
        </w:tc>
        <w:tc>
          <w:tcPr/>
          <w:p>
            <w:pPr>
              <w:pStyle w:val="Compact"/>
            </w:pPr>
            <w:r>
              <w:t xml:space="preserve">Mono-allelic Indel (-4 bp)</w:t>
            </w:r>
          </w:p>
        </w:tc>
        <w:tc>
          <w:tcPr/>
          <w:p>
            <w:pPr>
              <w:pStyle w:val="Compact"/>
            </w:pPr>
            <w:r>
              <w:t xml:space="preserve">145 +/- 8.2</w:t>
            </w:r>
          </w:p>
        </w:tc>
        <w:tc>
          <w:tcPr/>
          <w:p>
            <w:pPr>
              <w:pStyle w:val="Compact"/>
            </w:pPr>
            <w:r>
              <w:t xml:space="preserve">15.8 +/- 1.10</w:t>
            </w:r>
          </w:p>
        </w:tc>
        <w:tc>
          <w:tcPr/>
          <w:p>
            <w:pPr>
              <w:pStyle w:val="Compact"/>
            </w:pPr>
            <w:r>
              <w:t xml:space="preserve">less than 0.05</w:t>
            </w:r>
          </w:p>
        </w:tc>
      </w:tr>
      <w:tr>
        <w:tc>
          <w:tcPr/>
          <w:p>
            <w:pPr>
              <w:pStyle w:val="Compact"/>
            </w:pPr>
            <w:r>
              <w:rPr>
                <w:b/>
                <w:bCs/>
              </w:rPr>
              <w:t xml:space="preserve">BL-CR-LocusB</w:t>
            </w:r>
          </w:p>
        </w:tc>
        <w:tc>
          <w:tcPr/>
          <w:p>
            <w:pPr>
              <w:pStyle w:val="Compact"/>
            </w:pPr>
            <w:r>
              <w:t xml:space="preserve">Bi-allelic Deletion (-12 bp)</w:t>
            </w:r>
          </w:p>
        </w:tc>
        <w:tc>
          <w:tcPr/>
          <w:p>
            <w:pPr>
              <w:pStyle w:val="Compact"/>
            </w:pPr>
            <w:r>
              <w:t xml:space="preserve">98 +/- 5.1</w:t>
            </w:r>
          </w:p>
        </w:tc>
        <w:tc>
          <w:tcPr/>
          <w:p>
            <w:pPr>
              <w:pStyle w:val="Compact"/>
            </w:pPr>
            <w:r>
              <w:t xml:space="preserve">19.2 +/- 0.92</w:t>
            </w:r>
          </w:p>
        </w:tc>
        <w:tc>
          <w:tcPr/>
          <w:p>
            <w:pPr>
              <w:pStyle w:val="Compact"/>
            </w:pPr>
            <w:r>
              <w:t xml:space="preserve">less than 0.001</w:t>
            </w:r>
          </w:p>
        </w:tc>
      </w:tr>
    </w:tbl>
    <w:p>
      <w:pPr>
        <w:pStyle w:val="BodyText"/>
      </w:pPr>
      <w:r>
        <w:t xml:space="preserve">Discuss these phenotypic outcomes concurrently with their transcriptomic underpinnings, citing differential expression data processed via the BioLab HPC cluster (</w:t>
      </w:r>
      <w:r>
        <w:rPr>
          <w:b/>
          <w:bCs/>
        </w:rPr>
        <w:t xml:space="preserve">BL-HPC-2025-001</w:t>
      </w:r>
      <w:r>
        <w:t xml:space="preserve">). Interpret how the localized mutation bypasses or activates downstream defense cascades, noting whether these observations align with or contradict existing regulatory pathway models.</w:t>
      </w:r>
    </w:p>
    <w:bookmarkEnd w:id="18"/>
    <w:bookmarkStart w:id="19" w:name="Xd57227fb5f1af560400f28afb0413b596f15cfe"/>
    <w:p>
      <w:pPr>
        <w:pStyle w:val="Heading4"/>
      </w:pPr>
      <w:r>
        <w:t xml:space="preserve">Subsection 3: [e.g., Micro-Environmental Safety and Soil Microbiome Equilibrium]</w:t>
      </w:r>
    </w:p>
    <w:p>
      <w:pPr>
        <w:pStyle w:val="FirstParagraph"/>
      </w:pPr>
      <w:r>
        <w:t xml:space="preserve">Where applicable, deliver the rapid-assessment ecological safety data. If the edited line utilizes root architecture alterations, present the immediate rhizosphere microbiome profile generated through the sequencing pipelines described in</w:t>
      </w:r>
      <w:r>
        <w:t xml:space="preserve"> </w:t>
      </w:r>
      <w:r>
        <w:rPr>
          <w:b/>
          <w:bCs/>
        </w:rPr>
        <w:t xml:space="preserve">POP-SEQ-002</w:t>
      </w:r>
      <w:r>
        <w:t xml:space="preserve">.</w:t>
      </w:r>
    </w:p>
    <w:p>
      <w:pPr>
        <w:pStyle w:val="BodyText"/>
      </w:pPr>
      <w:r>
        <w:t xml:space="preserve">Discuss the biological neutrality or positive selective pressure exerted on beneficial nitrogen-fixing or phosphate-solubilizing bacterial consortia, proving the field-level biosecurity of the technology. Conclude the main text with a powerful, single-paragraph synthesis that underscores the immediate commercial or scientific utility of the discovery, omitting any speculative extensions that cannot be definitively backed by the presented data.</w:t>
      </w:r>
    </w:p>
    <w:bookmarkEnd w:id="19"/>
    <w:bookmarkEnd w:id="20"/>
    <w:bookmarkEnd w:id="21"/>
    <w:bookmarkStart w:id="25" w:name="methods"/>
    <w:p>
      <w:pPr>
        <w:pStyle w:val="Heading2"/>
      </w:pPr>
      <w:r>
        <w:t xml:space="preserve">Methods</w:t>
      </w:r>
    </w:p>
    <w:p>
      <w:pPr>
        <w:pStyle w:val="FirstParagraph"/>
      </w:pPr>
      <w:r>
        <w:t xml:space="preserve">The Methods section must remain highly functional, rigorous, and technical, avoiding prose text shortcuts. It should provide an unambiguous roadmap for exact experimental replication.</w:t>
      </w:r>
    </w:p>
    <w:bookmarkStart w:id="22" w:name="X2dd36f1f27b749ef1e487704655799dd73f7990"/>
    <w:p>
      <w:pPr>
        <w:pStyle w:val="Heading3"/>
      </w:pPr>
      <w:r>
        <w:t xml:space="preserve">Vector Design and High-Throughput Plant Transformation</w:t>
      </w:r>
    </w:p>
    <w:p>
      <w:pPr>
        <w:pStyle w:val="FirstParagraph"/>
      </w:pPr>
      <w:r>
        <w:t xml:space="preserve">Detail the assembly of all CRISPR expression cassettes, listing the specific promoters (e.g., AtU6, OsU3, CaMV 35S) and codon-optimized nucleases used. Specify the sourcing of all synthesized gRNAs from authorized vendors listed in</w:t>
      </w:r>
      <w:r>
        <w:t xml:space="preserve"> </w:t>
      </w:r>
      <w:r>
        <w:rPr>
          <w:b/>
          <w:bCs/>
        </w:rPr>
        <w:t xml:space="preserve">LST-ADM-003</w:t>
      </w:r>
      <w:r>
        <w:t xml:space="preserve">. Describe the transformation protocol precisely (e.g.,</w:t>
      </w:r>
      <w:r>
        <w:t xml:space="preserve"> </w:t>
      </w:r>
      <w:r>
        <w:rPr>
          <w:i/>
          <w:iCs/>
        </w:rPr>
        <w:t xml:space="preserve">Agrobacterium tumefaciens</w:t>
      </w:r>
      <w:r>
        <w:t xml:space="preserve">-mediated transformation using strain EHA105) and the exact tissue culture regeneration matrices utilized, including concentrations of selective agents (e.g., hygromycin B, phosphinothricin).</w:t>
      </w:r>
    </w:p>
    <w:bookmarkEnd w:id="22"/>
    <w:bookmarkStart w:id="23" w:name="Xd37c59303bc5178039d65cb9d5ae99b04856bcb"/>
    <w:p>
      <w:pPr>
        <w:pStyle w:val="Heading3"/>
      </w:pPr>
      <w:r>
        <w:t xml:space="preserve">Deep Amplicon Sequencing and Off-Target Profiling</w:t>
      </w:r>
    </w:p>
    <w:p>
      <w:pPr>
        <w:pStyle w:val="FirstParagraph"/>
      </w:pPr>
      <w:r>
        <w:t xml:space="preserve">Provide the technical specification for targeted deep sequencing used to calculate target editing kinetics and screen for off-target mutations. Describe the generation of PCR amplicons using high-fidelity polymerases (</w:t>
      </w:r>
      <w:r>
        <w:rPr>
          <w:b/>
          <w:bCs/>
        </w:rPr>
        <w:t xml:space="preserve">REA-PCR-010</w:t>
      </w:r>
      <w:r>
        <w:t xml:space="preserve">) on the digital termociclador platform (</w:t>
      </w:r>
      <w:r>
        <w:rPr>
          <w:b/>
          <w:bCs/>
        </w:rPr>
        <w:t xml:space="preserve">BL-TMC-2025-003</w:t>
      </w:r>
      <w:r>
        <w:t xml:space="preserve">), utilizing the exact cycling parameters and rampa rates established in</w:t>
      </w:r>
      <w:r>
        <w:t xml:space="preserve"> </w:t>
      </w:r>
      <w:r>
        <w:rPr>
          <w:b/>
          <w:bCs/>
        </w:rPr>
        <w:t xml:space="preserve">MAN-EQP-003</w:t>
      </w:r>
      <w:r>
        <w:t xml:space="preserve">. Detail the indexing protocol for multiplexing on the Illumina NextSeq 2000 platform (</w:t>
      </w:r>
      <w:r>
        <w:rPr>
          <w:b/>
          <w:bCs/>
        </w:rPr>
        <w:t xml:space="preserve">BL-NGS-2024-005</w:t>
      </w:r>
      <w:r>
        <w:t xml:space="preserve">).</w:t>
      </w:r>
    </w:p>
    <w:bookmarkEnd w:id="23"/>
    <w:bookmarkStart w:id="24" w:name="Xce626ecb56b916b2ecc7c364c6d282501e6ffe9"/>
    <w:p>
      <w:pPr>
        <w:pStyle w:val="Heading3"/>
      </w:pPr>
      <w:r>
        <w:t xml:space="preserve">Computational Processing and Statistical Analytics</w:t>
      </w:r>
    </w:p>
    <w:p>
      <w:pPr>
        <w:pStyle w:val="FirstParagraph"/>
      </w:pPr>
      <w:r>
        <w:t xml:space="preserve">List all software tools, versions, and algorithm parameters deployed for data analysis. For amplicon analysis, detail the usage of CRISPResso2 (v2.2), specifying threshold parameters for quality scores (Q greater than or equal to 30) and alignment windows. State the specific software (e.g., GraphPad Prism v10.0, R package edgeR) used for statistical testing, noting the exact post-hoc corrections applied to control for multiple comparisons.</w:t>
      </w:r>
    </w:p>
    <w:bookmarkEnd w:id="24"/>
    <w:bookmarkEnd w:id="25"/>
    <w:bookmarkStart w:id="26" w:name="references"/>
    <w:p>
      <w:pPr>
        <w:pStyle w:val="Heading2"/>
      </w:pPr>
      <w:r>
        <w:t xml:space="preserve">References</w:t>
      </w:r>
    </w:p>
    <w:p>
      <w:pPr>
        <w:pStyle w:val="FirstParagraph"/>
      </w:pPr>
      <w:r>
        <w:t xml:space="preserve">References must be kept to a strict minimum (typically maximum 30 for Short Communications) and must follow the compact numbered format.</w:t>
      </w:r>
    </w:p>
    <w:p>
      <w:pPr>
        <w:pStyle w:val="Compact"/>
        <w:numPr>
          <w:ilvl w:val="0"/>
          <w:numId w:val="1002"/>
        </w:numPr>
      </w:pPr>
      <w:r>
        <w:t xml:space="preserve">Author, A. B. Rapid genome engineering in polyploid crops via modified CRISPR complexes.</w:t>
      </w:r>
      <w:r>
        <w:t xml:space="preserve"> </w:t>
      </w:r>
      <w:r>
        <w:rPr>
          <w:i/>
          <w:iCs/>
        </w:rPr>
        <w:t xml:space="preserve">Nature Plants</w:t>
      </w:r>
      <w:r>
        <w:t xml:space="preserve"> </w:t>
      </w:r>
      <w:r>
        <w:rPr>
          <w:b/>
          <w:bCs/>
        </w:rPr>
        <w:t xml:space="preserve">12</w:t>
      </w:r>
      <w:r>
        <w:t xml:space="preserve">, 341–346 (2025).</w:t>
      </w:r>
    </w:p>
    <w:p>
      <w:pPr>
        <w:pStyle w:val="Compact"/>
        <w:numPr>
          <w:ilvl w:val="0"/>
          <w:numId w:val="1002"/>
        </w:numPr>
      </w:pPr>
      <w:r>
        <w:t xml:space="preserve">Scientist, C. D. &amp; Researcher, E. F. Metagenomic tracing of engineered crop rhizospheres.</w:t>
      </w:r>
      <w:r>
        <w:t xml:space="preserve"> </w:t>
      </w:r>
      <w:r>
        <w:rPr>
          <w:i/>
          <w:iCs/>
        </w:rPr>
        <w:t xml:space="preserve">Current Opinion in Biotechnology</w:t>
      </w:r>
      <w:r>
        <w:t xml:space="preserve"> </w:t>
      </w:r>
      <w:r>
        <w:rPr>
          <w:b/>
          <w:bCs/>
        </w:rPr>
        <w:t xml:space="preserve">97</w:t>
      </w:r>
      <w:r>
        <w:t xml:space="preserve">, 102–110 (2026).</w:t>
      </w:r>
    </w:p>
    <w:p>
      <w:pPr>
        <w:pStyle w:val="Compact"/>
        <w:numPr>
          <w:ilvl w:val="0"/>
          <w:numId w:val="1002"/>
        </w:numPr>
      </w:pPr>
      <w:r>
        <w:t xml:space="preserve">BioLab Research Center.</w:t>
      </w:r>
      <w:r>
        <w:t xml:space="preserve"> </w:t>
      </w:r>
      <w:r>
        <w:rPr>
          <w:i/>
          <w:iCs/>
        </w:rPr>
        <w:t xml:space="preserve">Standard Operating Procedure for Next-Generation Sequencing Library Preparation and QC (POP-SEQ-001)</w:t>
      </w:r>
      <w:r>
        <w:t xml:space="preserve">. Version 2.4; Gestão &amp; Compras Repository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2026-08-12T21:51:27Z</dcterms:created>
  <dcterms:modified xsi:type="dcterms:W3CDTF">2026-08-12T21:51:27Z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