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iolab-research-center"/>
    <w:p>
      <w:pPr>
        <w:pStyle w:val="Heading1"/>
      </w:pPr>
      <w:r>
        <w:t xml:space="preserve">BioLab Research Center</w:t>
      </w:r>
    </w:p>
    <w:bookmarkEnd w:id="9"/>
    <w:bookmarkStart w:id="11" w:name="X5465173c158187e52b4b8785f42a5b54cb6363e"/>
    <w:p>
      <w:pPr>
        <w:pStyle w:val="Heading1"/>
      </w:pPr>
      <w:r>
        <w:t xml:space="preserve">TPT-PRJ-001 - Template para Redação de Projetos de Pesquisa FAPESP</w:t>
      </w:r>
    </w:p>
    <w:bookmarkStart w:id="10" w:name="informações-do-documento"/>
    <w:p>
      <w:pPr>
        <w:pStyle w:val="Heading2"/>
      </w:pPr>
      <w:r>
        <w:t xml:space="preserve">Informações do documento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Campo</w:t>
            </w:r>
          </w:p>
        </w:tc>
        <w:tc>
          <w:tcPr/>
          <w:p>
            <w:pPr>
              <w:pStyle w:val="Compact"/>
            </w:pPr>
            <w:r>
              <w:rPr>
                <w:b/>
                <w:bCs/>
              </w:rPr>
              <w:t xml:space="preserve">Valor</w:t>
            </w:r>
          </w:p>
        </w:tc>
      </w:tr>
      <w:tr>
        <w:tc>
          <w:tcPr/>
          <w:p>
            <w:pPr>
              <w:pStyle w:val="Compact"/>
            </w:pPr>
            <w:r>
              <w:t xml:space="preserve">Código</w:t>
            </w:r>
          </w:p>
        </w:tc>
        <w:tc>
          <w:tcPr/>
          <w:p>
            <w:pPr>
              <w:pStyle w:val="Compact"/>
            </w:pPr>
            <w:r>
              <w:t xml:space="preserve">TPT-PRJ-001</w:t>
            </w:r>
          </w:p>
        </w:tc>
      </w:tr>
      <w:tr>
        <w:tc>
          <w:tcPr/>
          <w:p>
            <w:pPr>
              <w:pStyle w:val="Compact"/>
            </w:pPr>
            <w:r>
              <w:t xml:space="preserve">Categoria</w:t>
            </w:r>
          </w:p>
        </w:tc>
        <w:tc>
          <w:tcPr/>
          <w:p>
            <w:pPr>
              <w:pStyle w:val="Compact"/>
            </w:pPr>
            <w:r>
              <w:t xml:space="preserve">Template</w:t>
            </w:r>
          </w:p>
        </w:tc>
      </w:tr>
      <w:tr>
        <w:tc>
          <w:tcPr/>
          <w:p>
            <w:pPr>
              <w:pStyle w:val="Compact"/>
            </w:pPr>
            <w:r>
              <w:t xml:space="preserve">Setor</w:t>
            </w:r>
          </w:p>
        </w:tc>
        <w:tc>
          <w:tcPr/>
          <w:p>
            <w:pPr>
              <w:pStyle w:val="Compact"/>
            </w:pPr>
            <w:r>
              <w:t xml:space="preserve">Coordenação Científica</w:t>
            </w:r>
          </w:p>
        </w:tc>
      </w:tr>
      <w:tr>
        <w:tc>
          <w:tcPr/>
          <w:p>
            <w:pPr>
              <w:pStyle w:val="Compact"/>
            </w:pPr>
            <w:r>
              <w:t xml:space="preserve">Nível de Biossegurança</w:t>
            </w:r>
          </w:p>
        </w:tc>
        <w:tc>
          <w:tcPr/>
          <w:p>
            <w:pPr>
              <w:pStyle w:val="Compact"/>
            </w:pPr>
            <w:r>
              <w:t xml:space="preserve">Não Aplicável</w:t>
            </w:r>
          </w:p>
        </w:tc>
      </w:tr>
      <w:tr>
        <w:tc>
          <w:tcPr/>
          <w:p>
            <w:pPr>
              <w:pStyle w:val="Compact"/>
            </w:pPr>
            <w:r>
              <w:t xml:space="preserve">Responsável</w:t>
            </w:r>
          </w:p>
        </w:tc>
        <w:tc>
          <w:tcPr/>
          <w:p>
            <w:pPr>
              <w:pStyle w:val="Compact"/>
            </w:pPr>
            <w:r>
              <w:t xml:space="preserve">Dr. Renato Guimarães, Pesquisador Sênior</w:t>
            </w:r>
          </w:p>
        </w:tc>
      </w:tr>
      <w:tr>
        <w:tc>
          <w:tcPr/>
          <w:p>
            <w:pPr>
              <w:pStyle w:val="Compact"/>
            </w:pPr>
            <w:r>
              <w:t xml:space="preserve">Revisão Técnica</w:t>
            </w:r>
          </w:p>
        </w:tc>
        <w:tc>
          <w:tcPr/>
          <w:p>
            <w:pPr>
              <w:pStyle w:val="Compact"/>
            </w:pPr>
            <w:r>
              <w:t xml:space="preserve">Dra. Luciana Prado, Pesquisadora Sênior</w:t>
            </w:r>
          </w:p>
        </w:tc>
      </w:tr>
      <w:tr>
        <w:tc>
          <w:tcPr/>
          <w:p>
            <w:pPr>
              <w:pStyle w:val="Compact"/>
            </w:pPr>
            <w:r>
              <w:t xml:space="preserve">Versão</w:t>
            </w:r>
          </w:p>
        </w:tc>
        <w:tc>
          <w:tcPr/>
          <w:p>
            <w:pPr>
              <w:pStyle w:val="Compact"/>
            </w:pPr>
            <w:r>
              <w:t xml:space="preserve">1.1</w:t>
            </w:r>
          </w:p>
        </w:tc>
      </w:tr>
      <w:tr>
        <w:tc>
          <w:tcPr/>
          <w:p>
            <w:pPr>
              <w:pStyle w:val="Compact"/>
            </w:pPr>
            <w:r>
              <w:t xml:space="preserve">Data da revisão</w:t>
            </w:r>
          </w:p>
        </w:tc>
        <w:tc>
          <w:tcPr/>
          <w:p>
            <w:pPr>
              <w:pStyle w:val="Compact"/>
            </w:pPr>
            <w:r>
              <w:t xml:space="preserve">Agosto/2026</w:t>
            </w:r>
          </w:p>
        </w:tc>
      </w:tr>
      <w:tr>
        <w:tc>
          <w:tcPr/>
          <w:p>
            <w:pPr>
              <w:pStyle w:val="Compact"/>
            </w:pPr>
            <w:r>
              <w:t xml:space="preserve">Palavras-chave</w:t>
            </w:r>
          </w:p>
        </w:tc>
        <w:tc>
          <w:tcPr/>
          <w:p>
            <w:pPr>
              <w:pStyle w:val="Compact"/>
            </w:pPr>
            <w:r>
              <w:t xml:space="preserve">Auxílio Regular à Pesquisa, FAPESP, Projeto de Pesquisa, Agrobiotecnologia, Fomento à Ciência, Metodologia Científica</w:t>
            </w:r>
          </w:p>
        </w:tc>
      </w:tr>
    </w:tbl>
    <w:bookmarkEnd w:id="10"/>
    <w:bookmarkEnd w:id="11"/>
    <w:bookmarkStart w:id="13" w:name="Xfa309f68eb53b94a069d06e5750c67d206a8c32"/>
    <w:p>
      <w:pPr>
        <w:pStyle w:val="Heading1"/>
      </w:pPr>
      <w:r>
        <w:t xml:space="preserve">TPT-PRJ-001: Diretrizes Estruturais e Template para Redação de Projetos de Pesquisa (Padrão Auxílio Regular FAPESP)</w:t>
      </w:r>
    </w:p>
    <w:bookmarkStart w:id="12" w:name="X0da99584b0bed02731a38d08bdc0db4466c4d16"/>
    <w:p>
      <w:pPr>
        <w:pStyle w:val="Heading2"/>
      </w:pPr>
      <w:r>
        <w:t xml:space="preserve">Preâmbulo Institucional e Alinhamento Estratégico</w:t>
      </w:r>
    </w:p>
    <w:p>
      <w:pPr>
        <w:pStyle w:val="FirstParagraph"/>
      </w:pPr>
      <w:r>
        <w:t xml:space="preserve">Este documento estabelece o modelo estrutural obrigatório para a elaboração de projetos de pesquisa submetidos à Fundação de Amparo à Pesquisa do Estado de São Paulo (FAPESP), na modalidade de Auxílio Regular à Pesquisa (APR), no âmbito do</w:t>
      </w:r>
      <w:r>
        <w:t xml:space="preserve"> </w:t>
      </w:r>
      <w:r>
        <w:rPr>
          <w:b/>
          <w:bCs/>
        </w:rPr>
        <w:t xml:space="preserve">BioLab Research Center</w:t>
      </w:r>
      <w:r>
        <w:t xml:space="preserve">.</w:t>
      </w:r>
    </w:p>
    <w:p>
      <w:pPr>
        <w:pStyle w:val="BodyText"/>
      </w:pPr>
      <w:r>
        <w:t xml:space="preserve">A Coordenação Científica determina que todas as propostas devem apresentar aderência estrita às fronteiras do conhecimento agrobiotecnológico contemporâneo, com ênfase em sustentabilidade produtiva, segurança biológica e inovação de patentes. O pesquisador deve utilizar este template para articular suas hipóteses mecânicas, garantindo que os fluxos de trabalho propostos façam uso otimizado das plataformas multiusuárias do BioLab, como o Sequenciador NGS (</w:t>
      </w:r>
      <w:r>
        <w:rPr>
          <w:b/>
          <w:bCs/>
        </w:rPr>
        <w:t xml:space="preserve">BL-NGS-2024-005</w:t>
      </w:r>
      <w:r>
        <w:t xml:space="preserve">) e o Cluster de Alto Desempenho (</w:t>
      </w:r>
      <w:r>
        <w:rPr>
          <w:b/>
          <w:bCs/>
        </w:rPr>
        <w:t xml:space="preserve">BL-HPC-2025-001</w:t>
      </w:r>
      <w:r>
        <w:t xml:space="preserve">), correlacionando-os com os procedimentos regulamentares vigentes da instituição.</w:t>
      </w:r>
    </w:p>
    <w:bookmarkEnd w:id="12"/>
    <w:bookmarkEnd w:id="13"/>
    <w:bookmarkStart w:id="31" w:name="Xacafeb65eb107e88413d9b6cf14f0ecba602e44"/>
    <w:p>
      <w:pPr>
        <w:pStyle w:val="Heading1"/>
      </w:pPr>
      <w:r>
        <w:t xml:space="preserve">TÍTULO DO PROJETO: [Inserir Título Claro, Conciso e Contendo o Objeto de Estudo, a Abordagem Molecular e a Cultura Alvo]</w:t>
      </w:r>
    </w:p>
    <w:p>
      <w:pPr>
        <w:pStyle w:val="FirstParagraph"/>
      </w:pPr>
      <w:r>
        <w:rPr>
          <w:b/>
          <w:bCs/>
        </w:rPr>
        <w:t xml:space="preserve">Pesquisador Responsável:</w:t>
      </w:r>
      <w:r>
        <w:t xml:space="preserve"> </w:t>
      </w:r>
      <w:r>
        <w:t xml:space="preserve">[Inserir Nome Completo do Investigador Principal e Titulação]</w:t>
      </w:r>
    </w:p>
    <w:p>
      <w:pPr>
        <w:pStyle w:val="BodyText"/>
      </w:pPr>
      <w:r>
        <w:rPr>
          <w:b/>
          <w:bCs/>
        </w:rPr>
        <w:t xml:space="preserve">Instituição Sede:</w:t>
      </w:r>
      <w:r>
        <w:t xml:space="preserve"> </w:t>
      </w:r>
      <w:r>
        <w:t xml:space="preserve">BioLab Research Center – Divisão de Genômica Vegetal e Edição Gênica</w:t>
      </w:r>
    </w:p>
    <w:p>
      <w:pPr>
        <w:pStyle w:val="BodyText"/>
      </w:pPr>
      <w:r>
        <w:rPr>
          <w:b/>
          <w:bCs/>
        </w:rPr>
        <w:t xml:space="preserve">Linha de Pesquisa Primária:</w:t>
      </w:r>
      <w:r>
        <w:t xml:space="preserve"> </w:t>
      </w:r>
      <w:r>
        <w:t xml:space="preserve">[Inserir Linha de Pesquisa Primária, ex: Melhoramento Molecular de Culturas de Interesse Agronômico]</w:t>
      </w:r>
    </w:p>
    <w:bookmarkStart w:id="14" w:name="X06914b4f02285cd66e85fe4a448faf5247ca470"/>
    <w:p>
      <w:pPr>
        <w:pStyle w:val="Heading2"/>
      </w:pPr>
      <w:r>
        <w:t xml:space="preserve">1. Resumo (Máximo 3000 caracteres com espaços)</w:t>
      </w:r>
    </w:p>
    <w:p>
      <w:pPr>
        <w:pStyle w:val="FirstParagraph"/>
      </w:pPr>
      <w:r>
        <w:t xml:space="preserve">O Resumo deve ser redigido em parágrafo único, fornecendo uma visão holística e perfeitamente encadeada da proposta de pesquisa. O proponente deve estruturar o texto abordando obrigatoriamente os seguintes elementos:</w:t>
      </w:r>
    </w:p>
    <w:p>
      <w:pPr>
        <w:pStyle w:val="Compact"/>
        <w:numPr>
          <w:ilvl w:val="0"/>
          <w:numId w:val="1001"/>
        </w:numPr>
      </w:pPr>
      <w:r>
        <w:rPr>
          <w:b/>
          <w:bCs/>
        </w:rPr>
        <w:t xml:space="preserve">Contextualização do Problema:</w:t>
      </w:r>
      <w:r>
        <w:t xml:space="preserve"> </w:t>
      </w:r>
      <w:r>
        <w:t xml:space="preserve">Delimitação do gargalo agronômico ou biotecnológico atual no estado de São Paulo e no cenário global (ex: estresse hídrico severo na cultura da cana-de-açúcar, incidência de fitopatógenos emergentes).</w:t>
      </w:r>
    </w:p>
    <w:p>
      <w:pPr>
        <w:pStyle w:val="Compact"/>
        <w:numPr>
          <w:ilvl w:val="0"/>
          <w:numId w:val="1001"/>
        </w:numPr>
      </w:pPr>
      <w:r>
        <w:rPr>
          <w:b/>
          <w:bCs/>
        </w:rPr>
        <w:t xml:space="preserve">Hipótese Científica:</w:t>
      </w:r>
      <w:r>
        <w:t xml:space="preserve"> </w:t>
      </w:r>
      <w:r>
        <w:t xml:space="preserve">A proposição biológica clara e testável que fundamenta o estudo, baseada em evidências científicas prévias ou dados preliminares gerados no BioLab.</w:t>
      </w:r>
    </w:p>
    <w:p>
      <w:pPr>
        <w:pStyle w:val="Compact"/>
        <w:numPr>
          <w:ilvl w:val="0"/>
          <w:numId w:val="1001"/>
        </w:numPr>
      </w:pPr>
      <w:r>
        <w:rPr>
          <w:b/>
          <w:bCs/>
        </w:rPr>
        <w:t xml:space="preserve">Objetivo Geral:</w:t>
      </w:r>
      <w:r>
        <w:t xml:space="preserve"> </w:t>
      </w:r>
      <w:r>
        <w:t xml:space="preserve">A meta principal a ser atingida ao término do cronograma de execução.</w:t>
      </w:r>
    </w:p>
    <w:p>
      <w:pPr>
        <w:pStyle w:val="Compact"/>
        <w:numPr>
          <w:ilvl w:val="0"/>
          <w:numId w:val="1001"/>
        </w:numPr>
      </w:pPr>
      <w:r>
        <w:rPr>
          <w:b/>
          <w:bCs/>
        </w:rPr>
        <w:t xml:space="preserve">Estratégia Metodológica:</w:t>
      </w:r>
      <w:r>
        <w:t xml:space="preserve"> </w:t>
      </w:r>
      <w:r>
        <w:t xml:space="preserve">Descrição sumária das abordagens técnicas de ponta que serão empregadas (ex: edição via CRISPR-Cas9, RNA-seq de célula única, metagenômica shotgun).</w:t>
      </w:r>
    </w:p>
    <w:p>
      <w:pPr>
        <w:pStyle w:val="Compact"/>
        <w:numPr>
          <w:ilvl w:val="0"/>
          <w:numId w:val="1001"/>
        </w:numPr>
      </w:pPr>
      <w:r>
        <w:rPr>
          <w:b/>
          <w:bCs/>
        </w:rPr>
        <w:t xml:space="preserve">Resultados Esperados e Impacto:</w:t>
      </w:r>
      <w:r>
        <w:t xml:space="preserve"> </w:t>
      </w:r>
      <w:r>
        <w:t xml:space="preserve">O avanço científico disruptivo pretendido e sua aplicabilidade direta na cadeia agroindustrial ou na formulação de novas políticas biotecnológicas.</w:t>
      </w:r>
    </w:p>
    <w:bookmarkEnd w:id="14"/>
    <w:bookmarkStart w:id="17" w:name="X2a5bc8ed90f69c9f54911c7867099d36d523667"/>
    <w:p>
      <w:pPr>
        <w:pStyle w:val="Heading2"/>
      </w:pPr>
      <w:r>
        <w:t xml:space="preserve">2. Justificativa da Proposta e Estado da Arte</w:t>
      </w:r>
    </w:p>
    <w:p>
      <w:pPr>
        <w:pStyle w:val="FirstParagraph"/>
      </w:pPr>
      <w:r>
        <w:t xml:space="preserve">O pesquisador deve contextualizar criticamente o projeto frente à literatura científica internacional e nacional dos últimos 24 meses. Esta seção não deve se limitar a uma revisão passiva, mas sim demonstrar claramente a originalidade e a oportunidade da pesquisa proposta.</w:t>
      </w:r>
    </w:p>
    <w:bookmarkStart w:id="15" w:name="lacuna-do-conhecimento-e-originalidade"/>
    <w:p>
      <w:pPr>
        <w:pStyle w:val="Heading3"/>
      </w:pPr>
      <w:r>
        <w:t xml:space="preserve">2.1 Lacuna do Conhecimento e Originalidade</w:t>
      </w:r>
    </w:p>
    <w:p>
      <w:pPr>
        <w:pStyle w:val="FirstParagraph"/>
      </w:pPr>
      <w:r>
        <w:t xml:space="preserve">Orienta-se o autor a responder de forma explícita:</w:t>
      </w:r>
      <w:r>
        <w:t xml:space="preserve"> </w:t>
      </w:r>
      <w:r>
        <w:rPr>
          <w:i/>
          <w:iCs/>
        </w:rPr>
        <w:t xml:space="preserve">Qual é o conhecimento crítico que atualmente falta na subárea e como este projeto irá preenchê-lo?</w:t>
      </w:r>
      <w:r>
        <w:t xml:space="preserve"> </w:t>
      </w:r>
      <w:r>
        <w:t xml:space="preserve">Se o projeto envolve a edição gênica de caracteres complexos (como eficiência no uso do nitrogênio ou arquitetura radicular), discuta as limitações das abordagens transgênicas clássicas versus a precisão do melhoramento por edição epitranscritômica ou nucleases programáveis operadas no laboratório.</w:t>
      </w:r>
    </w:p>
    <w:bookmarkEnd w:id="15"/>
    <w:bookmarkStart w:id="16" w:name="dados-preliminares-da-instituição"/>
    <w:p>
      <w:pPr>
        <w:pStyle w:val="Heading3"/>
      </w:pPr>
      <w:r>
        <w:t xml:space="preserve">2.2 Dados Preliminares da Instituição</w:t>
      </w:r>
    </w:p>
    <w:p>
      <w:pPr>
        <w:pStyle w:val="FirstParagraph"/>
      </w:pPr>
      <w:r>
        <w:t xml:space="preserve">Incorpore, obrigatoriamente, gráficos e figuras que demonstrem a viabilidade técnica da proposta com base na infraestrutura instalada no BioLab. Apresente dados de extrações bem-sucedidas realizadas sob o protocolo</w:t>
      </w:r>
      <w:r>
        <w:t xml:space="preserve"> </w:t>
      </w:r>
      <w:r>
        <w:rPr>
          <w:b/>
          <w:bCs/>
        </w:rPr>
        <w:t xml:space="preserve">POP-RNA-001</w:t>
      </w:r>
      <w:r>
        <w:t xml:space="preserve"> </w:t>
      </w:r>
      <w:r>
        <w:t xml:space="preserve">que atestem a capacidade de obtenção de ácidos nucleicos de alta integridade a partir de tecidos recalcitrantes, ou ensaios preliminares de PCR quantitativo (qPCR) executados no termociclador digital calibrado (</w:t>
      </w:r>
      <w:r>
        <w:rPr>
          <w:b/>
          <w:bCs/>
        </w:rPr>
        <w:t xml:space="preserve">BL-TMC-2025-003</w:t>
      </w:r>
      <w:r>
        <w:t xml:space="preserve">), comprovando a proficiência do grupo de pesquisa na metodologia proposta.</w:t>
      </w:r>
    </w:p>
    <w:bookmarkEnd w:id="16"/>
    <w:bookmarkEnd w:id="17"/>
    <w:bookmarkStart w:id="20" w:name="objetivos"/>
    <w:p>
      <w:pPr>
        <w:pStyle w:val="Heading2"/>
      </w:pPr>
      <w:r>
        <w:t xml:space="preserve">3. Objetivos</w:t>
      </w:r>
    </w:p>
    <w:p>
      <w:pPr>
        <w:pStyle w:val="FirstParagraph"/>
      </w:pPr>
      <w:r>
        <w:t xml:space="preserve">Os objetivos devem ser subdivididos de forma hierárquica e mensurável. Evite formulações vagas como</w:t>
      </w:r>
      <w:r>
        <w:t xml:space="preserve"> </w:t>
      </w:r>
      <w:r>
        <w:t xml:space="preserve">“estudar”</w:t>
      </w:r>
      <w:r>
        <w:t xml:space="preserve"> </w:t>
      </w:r>
      <w:r>
        <w:t xml:space="preserve">ou</w:t>
      </w:r>
      <w:r>
        <w:t xml:space="preserve"> </w:t>
      </w:r>
      <w:r>
        <w:t xml:space="preserve">“compreender”</w:t>
      </w:r>
      <w:r>
        <w:t xml:space="preserve">. Opte por verbos de ação direta e resolutiva.</w:t>
      </w:r>
    </w:p>
    <w:bookmarkStart w:id="18" w:name="objetivo-geral"/>
    <w:p>
      <w:pPr>
        <w:pStyle w:val="Heading3"/>
      </w:pPr>
      <w:r>
        <w:t xml:space="preserve">3.1 Objetivo Geral</w:t>
      </w:r>
    </w:p>
    <w:p>
      <w:pPr>
        <w:pStyle w:val="FirstParagraph"/>
      </w:pPr>
      <w:r>
        <w:t xml:space="preserve">Definir o propósito macro do projeto, delimitando a resposta biológica central que se busca obter através das interações moleculares investigadas.</w:t>
      </w:r>
    </w:p>
    <w:bookmarkEnd w:id="18"/>
    <w:bookmarkStart w:id="19" w:name="objetivos-específicos"/>
    <w:p>
      <w:pPr>
        <w:pStyle w:val="Heading3"/>
      </w:pPr>
      <w:r>
        <w:t xml:space="preserve">3.2 Objetivos Específicos</w:t>
      </w:r>
    </w:p>
    <w:p>
      <w:pPr>
        <w:pStyle w:val="Compact"/>
        <w:numPr>
          <w:ilvl w:val="0"/>
          <w:numId w:val="1002"/>
        </w:numPr>
      </w:pPr>
      <w:r>
        <w:t xml:space="preserve">Isolar e determinar funcionalmente as variantes alélicas do gene-alvo [Inserir nomenclatura do gene, ex: OsNRT2] em germoplasmas adaptados ao clima tropical.</w:t>
      </w:r>
    </w:p>
    <w:p>
      <w:pPr>
        <w:pStyle w:val="Compact"/>
        <w:numPr>
          <w:ilvl w:val="0"/>
          <w:numId w:val="1002"/>
        </w:numPr>
      </w:pPr>
      <w:r>
        <w:t xml:space="preserve">Desenvolver e validar construtos de edição gênica CRISPR-Cas9 empregando gRNAs multiplex desenhados em conformidade com as diretrizes do catálogo técnico de insumos (</w:t>
      </w:r>
      <w:r>
        <w:rPr>
          <w:b/>
          <w:bCs/>
        </w:rPr>
        <w:t xml:space="preserve">LST-ADM-003</w:t>
      </w:r>
      <w:r>
        <w:t xml:space="preserve">).</w:t>
      </w:r>
    </w:p>
    <w:p>
      <w:pPr>
        <w:pStyle w:val="Compact"/>
        <w:numPr>
          <w:ilvl w:val="0"/>
          <w:numId w:val="1002"/>
        </w:numPr>
      </w:pPr>
      <w:r>
        <w:t xml:space="preserve">Avaliar as alterações transcriptômicas e o perfil de expressão gênica diferencial das linhagens editadas via sequenciamento em larga escala na plataforma NextSeq 2000 (</w:t>
      </w:r>
      <w:r>
        <w:rPr>
          <w:b/>
          <w:bCs/>
        </w:rPr>
        <w:t xml:space="preserve">BL-NGS-2024-005</w:t>
      </w:r>
      <w:r>
        <w:t xml:space="preserve">).</w:t>
      </w:r>
    </w:p>
    <w:p>
      <w:pPr>
        <w:pStyle w:val="Compact"/>
        <w:numPr>
          <w:ilvl w:val="0"/>
          <w:numId w:val="1002"/>
        </w:numPr>
      </w:pPr>
      <w:r>
        <w:t xml:space="preserve">Monitorar o impacto biológico das modificações sobre a comunidade microbiana nativa da rizosfera utilizando a metodologia metagenômica padronizada em</w:t>
      </w:r>
      <w:r>
        <w:t xml:space="preserve"> </w:t>
      </w:r>
      <w:r>
        <w:rPr>
          <w:b/>
          <w:bCs/>
        </w:rPr>
        <w:t xml:space="preserve">POP-SEQ-002</w:t>
      </w:r>
      <w:r>
        <w:t xml:space="preserve">.</w:t>
      </w:r>
    </w:p>
    <w:bookmarkEnd w:id="19"/>
    <w:bookmarkEnd w:id="20"/>
    <w:bookmarkStart w:id="24" w:name="X658d68e854cb515bce98a409a112a4de43d5285"/>
    <w:p>
      <w:pPr>
        <w:pStyle w:val="Heading2"/>
      </w:pPr>
      <w:r>
        <w:t xml:space="preserve">4. Plano de Trabalho e Metodologia Científica Aplicada</w:t>
      </w:r>
    </w:p>
    <w:p>
      <w:pPr>
        <w:pStyle w:val="FirstParagraph"/>
      </w:pPr>
      <w:r>
        <w:t xml:space="preserve">Esta é a seção de maior peso técnico da proposta. A descrição das metodologias deve ser minuciosa, demonstrando que o proponente domina a execução prática e analítica dos ensaios.</w:t>
      </w:r>
    </w:p>
    <w:bookmarkStart w:id="21" w:name="X17fc443af73eaa10b6b37d56a22e6713ef61a75"/>
    <w:p>
      <w:pPr>
        <w:pStyle w:val="Heading3"/>
      </w:pPr>
      <w:r>
        <w:t xml:space="preserve">4.1 Desenho Experimental e Delineamento de Blocos</w:t>
      </w:r>
    </w:p>
    <w:p>
      <w:pPr>
        <w:pStyle w:val="FirstParagraph"/>
      </w:pPr>
      <w:r>
        <w:t xml:space="preserve">Descreva a amostragem e a organização dos blocos experimentais em casa de vegetação ou campo experimental. Especifique o número de réplicas biológicas independentes (n maior que ou igual a 4) e réplicas técnicas para cada ensaio molecular. Indique como os fatores ambientais controlados serão calibrados para mimetizar os cenários de estresse de interesse.</w:t>
      </w:r>
    </w:p>
    <w:bookmarkEnd w:id="21"/>
    <w:bookmarkStart w:id="22" w:name="X479d36fed7f2a723b2ab7373d1e5c323c381d0f"/>
    <w:p>
      <w:pPr>
        <w:pStyle w:val="Heading3"/>
      </w:pPr>
      <w:r>
        <w:t xml:space="preserve">4.2 Protocolos Moleculares e Plataformas de Sequenciamento</w:t>
      </w:r>
    </w:p>
    <w:p>
      <w:pPr>
        <w:pStyle w:val="FirstParagraph"/>
      </w:pPr>
      <w:r>
        <w:t xml:space="preserve">O pesquisador deve detalhar a execução física das etapas de bancada. Referencie os Procedimentos Operacionais Padrão da instituição para demonstrar conformidade com as boas práticas laboratoriais. Descreva os kits de preparo de biblioteca que serão adquiridos e gerenciados de acordo com os critérios de cadeia de frio descritos em</w:t>
      </w:r>
      <w:r>
        <w:t xml:space="preserve"> </w:t>
      </w:r>
      <w:r>
        <w:rPr>
          <w:b/>
          <w:bCs/>
        </w:rPr>
        <w:t xml:space="preserve">LST-ADM-002</w:t>
      </w:r>
      <w:r>
        <w:t xml:space="preserve">.</w:t>
      </w:r>
    </w:p>
    <w:p>
      <w:pPr>
        <w:pStyle w:val="BodyText"/>
      </w:pPr>
      <w:r>
        <w:t xml:space="preserve">Inclua as fórmulas de normalização e os modelos matemáticos de quantificação absoluta ou relativa a serem empregados nas análises de expressão gênica, representados na forma linear:</w:t>
      </w:r>
    </w:p>
    <w:p>
      <w:pPr>
        <w:pStyle w:val="BodyText"/>
      </w:pPr>
      <w:r>
        <w:t xml:space="preserve">R = 2^(-Delta Delta Ct)</w:t>
      </w:r>
    </w:p>
    <w:bookmarkEnd w:id="22"/>
    <w:bookmarkStart w:id="23" w:name="X9c3a6dfcea024e2c0356efb78a49c8264931de4"/>
    <w:p>
      <w:pPr>
        <w:pStyle w:val="Heading3"/>
      </w:pPr>
      <w:r>
        <w:t xml:space="preserve">4.3 Pipeline de Bioinformática e Análise Estatística</w:t>
      </w:r>
    </w:p>
    <w:p>
      <w:pPr>
        <w:pStyle w:val="FirstParagraph"/>
      </w:pPr>
      <w:r>
        <w:t xml:space="preserve">Especifique as ferramentas computacionais e algoritmos que serão rodados no cluster de bioinformática do BioLab (</w:t>
      </w:r>
      <w:r>
        <w:rPr>
          <w:b/>
          <w:bCs/>
        </w:rPr>
        <w:t xml:space="preserve">BL-HPC-2025-001</w:t>
      </w:r>
      <w:r>
        <w:t xml:space="preserve">). Indique os softwares de controle de qualidade de leituras brutas (ex: FastQC v0.12), alinhadores de genoma de referência (ex: HISAT2 v2.2) e pacotes estatísticos para validação de dados quantitativos (ex: ANOVA duas vias seguida pelo teste de comparações múltiplas de Sidak, adotando nível de significância de alpha = 0.05).</w:t>
      </w:r>
    </w:p>
    <w:bookmarkEnd w:id="23"/>
    <w:bookmarkEnd w:id="24"/>
    <w:bookmarkStart w:id="25" w:name="cronograma-de-execução"/>
    <w:p>
      <w:pPr>
        <w:pStyle w:val="Heading2"/>
      </w:pPr>
      <w:r>
        <w:t xml:space="preserve">5. Cronograma de Execução</w:t>
      </w:r>
    </w:p>
    <w:p>
      <w:pPr>
        <w:pStyle w:val="FirstParagraph"/>
      </w:pPr>
      <w:r>
        <w:t xml:space="preserve">O cronograma deve demonstrar a viabilidade temporal do plano de trabalho ao longo do período de vigência regulamentar do Auxílio Regular FAPESP (tipicamente 24 meses). Distribua as atividades de forma bimestral utilizando a estrutura matricial abaixo: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Atividade Científica / Etapa Técnica</w:t>
            </w:r>
          </w:p>
        </w:tc>
        <w:tc>
          <w:tcPr/>
          <w:p>
            <w:pPr>
              <w:pStyle w:val="Compact"/>
            </w:pPr>
            <w:r>
              <w:rPr>
                <w:b/>
                <w:bCs/>
              </w:rPr>
              <w:t xml:space="preserve">Bim 1-2</w:t>
            </w:r>
          </w:p>
        </w:tc>
        <w:tc>
          <w:tcPr/>
          <w:p>
            <w:pPr>
              <w:pStyle w:val="Compact"/>
            </w:pPr>
            <w:r>
              <w:rPr>
                <w:b/>
                <w:bCs/>
              </w:rPr>
              <w:t xml:space="preserve">Bim 3-4</w:t>
            </w:r>
          </w:p>
        </w:tc>
        <w:tc>
          <w:tcPr/>
          <w:p>
            <w:pPr>
              <w:pStyle w:val="Compact"/>
            </w:pPr>
            <w:r>
              <w:rPr>
                <w:b/>
                <w:bCs/>
              </w:rPr>
              <w:t xml:space="preserve">Bim 5-6</w:t>
            </w:r>
          </w:p>
        </w:tc>
        <w:tc>
          <w:tcPr/>
          <w:p>
            <w:pPr>
              <w:pStyle w:val="Compact"/>
            </w:pPr>
            <w:r>
              <w:rPr>
                <w:b/>
                <w:bCs/>
              </w:rPr>
              <w:t xml:space="preserve">Bim 7-8</w:t>
            </w:r>
          </w:p>
        </w:tc>
        <w:tc>
          <w:tcPr/>
          <w:p>
            <w:pPr>
              <w:pStyle w:val="Compact"/>
            </w:pPr>
            <w:r>
              <w:rPr>
                <w:b/>
                <w:bCs/>
              </w:rPr>
              <w:t xml:space="preserve">Bim 9-10</w:t>
            </w:r>
          </w:p>
        </w:tc>
        <w:tc>
          <w:tcPr/>
          <w:p>
            <w:pPr>
              <w:pStyle w:val="Compact"/>
            </w:pPr>
            <w:r>
              <w:rPr>
                <w:b/>
                <w:bCs/>
              </w:rPr>
              <w:t xml:space="preserve">Bim 11-12</w:t>
            </w:r>
          </w:p>
        </w:tc>
      </w:tr>
      <w:tr>
        <w:tc>
          <w:tcPr/>
          <w:p>
            <w:pPr>
              <w:pStyle w:val="Compact"/>
            </w:pPr>
            <w:r>
              <w:rPr>
                <w:b/>
                <w:bCs/>
              </w:rPr>
              <w:t xml:space="preserve">Etapa 1:</w:t>
            </w:r>
            <w:r>
              <w:t xml:space="preserve"> </w:t>
            </w:r>
            <w:r>
              <w:t xml:space="preserve">Obtenção de germoplasma e isolamento de ácidos nucleicos (</w:t>
            </w:r>
            <w:r>
              <w:rPr>
                <w:b/>
                <w:bCs/>
              </w:rPr>
              <w:t xml:space="preserve">POP-RNA-001</w:t>
            </w:r>
            <w:r>
              <w:t xml:space="preserve">)</w:t>
            </w:r>
          </w:p>
        </w:tc>
        <w:tc>
          <w:tcPr/>
          <w:p>
            <w:pPr>
              <w:pStyle w:val="Compact"/>
            </w:pPr>
            <w:r>
              <w:rPr>
                <w:b/>
                <w:bCs/>
              </w:rPr>
              <w:t xml:space="preserve">X</w:t>
            </w:r>
          </w:p>
        </w:tc>
        <w:tc>
          <w:tcPr/>
          <w:p>
            <w:pPr>
              <w:pStyle w:val="Compact"/>
            </w:pPr>
            <w:r>
              <w:rPr>
                <w:b/>
                <w:bCs/>
              </w:rP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Etapa 2:</w:t>
            </w:r>
            <w:r>
              <w:t xml:space="preserve"> </w:t>
            </w:r>
            <w:r>
              <w:t xml:space="preserve">Desenho de gRNAs e clonagem de vetores CRISPR-Cas9</w:t>
            </w:r>
          </w:p>
        </w:tc>
        <w:tc>
          <w:tcPr/>
          <w:p>
            <w:pPr>
              <w:pStyle w:val="Compact"/>
            </w:pPr>
          </w:p>
        </w:tc>
        <w:tc>
          <w:tcPr/>
          <w:p>
            <w:pPr>
              <w:pStyle w:val="Compact"/>
            </w:pPr>
            <w:r>
              <w:rPr>
                <w:b/>
                <w:bCs/>
              </w:rPr>
              <w:t xml:space="preserve">X</w:t>
            </w:r>
          </w:p>
        </w:tc>
        <w:tc>
          <w:tcPr/>
          <w:p>
            <w:pPr>
              <w:pStyle w:val="Compact"/>
            </w:pPr>
            <w:r>
              <w:rPr>
                <w:b/>
                <w:bCs/>
              </w:rPr>
              <w:t xml:space="preserve">X</w:t>
            </w:r>
          </w:p>
        </w:tc>
        <w:tc>
          <w:tcPr/>
          <w:p>
            <w:pPr>
              <w:pStyle w:val="Compact"/>
            </w:pPr>
          </w:p>
        </w:tc>
        <w:tc>
          <w:tcPr/>
          <w:p>
            <w:pPr>
              <w:pStyle w:val="Compact"/>
            </w:pPr>
          </w:p>
        </w:tc>
        <w:tc>
          <w:tcPr/>
          <w:p>
            <w:pPr>
              <w:pStyle w:val="Compact"/>
            </w:pPr>
          </w:p>
        </w:tc>
      </w:tr>
      <w:tr>
        <w:tc>
          <w:tcPr/>
          <w:p>
            <w:pPr>
              <w:pStyle w:val="Compact"/>
            </w:pPr>
            <w:r>
              <w:rPr>
                <w:b/>
                <w:bCs/>
              </w:rPr>
              <w:t xml:space="preserve">Etapa 3:</w:t>
            </w:r>
            <w:r>
              <w:t xml:space="preserve"> </w:t>
            </w:r>
            <w:r>
              <w:t xml:space="preserve">Transformação genética e regeneração de plântulas in vitro</w:t>
            </w:r>
          </w:p>
        </w:tc>
        <w:tc>
          <w:tcPr/>
          <w:p>
            <w:pPr>
              <w:pStyle w:val="Compact"/>
            </w:pPr>
          </w:p>
        </w:tc>
        <w:tc>
          <w:tcPr/>
          <w:p>
            <w:pPr>
              <w:pStyle w:val="Compact"/>
            </w:pPr>
          </w:p>
        </w:tc>
        <w:tc>
          <w:tcPr/>
          <w:p>
            <w:pPr>
              <w:pStyle w:val="Compact"/>
            </w:pPr>
            <w:r>
              <w:rPr>
                <w:b/>
                <w:bCs/>
              </w:rPr>
              <w:t xml:space="preserve">X</w:t>
            </w:r>
          </w:p>
        </w:tc>
        <w:tc>
          <w:tcPr/>
          <w:p>
            <w:pPr>
              <w:pStyle w:val="Compact"/>
            </w:pPr>
            <w:r>
              <w:rPr>
                <w:b/>
                <w:bCs/>
              </w:rPr>
              <w:t xml:space="preserve">X</w:t>
            </w:r>
          </w:p>
        </w:tc>
        <w:tc>
          <w:tcPr/>
          <w:p>
            <w:pPr>
              <w:pStyle w:val="Compact"/>
            </w:pPr>
          </w:p>
        </w:tc>
        <w:tc>
          <w:tcPr/>
          <w:p>
            <w:pPr>
              <w:pStyle w:val="Compact"/>
            </w:pPr>
          </w:p>
        </w:tc>
      </w:tr>
      <w:tr>
        <w:tc>
          <w:tcPr/>
          <w:p>
            <w:pPr>
              <w:pStyle w:val="Compact"/>
            </w:pPr>
            <w:r>
              <w:rPr>
                <w:b/>
                <w:bCs/>
              </w:rPr>
              <w:t xml:space="preserve">Etapa 4:</w:t>
            </w:r>
            <w:r>
              <w:t xml:space="preserve"> </w:t>
            </w:r>
            <w:r>
              <w:t xml:space="preserve">Sequenciamento NGS e validação de edições (</w:t>
            </w:r>
            <w:r>
              <w:rPr>
                <w:i/>
                <w:iCs/>
              </w:rPr>
              <w:t xml:space="preserve">on-target/off-target</w:t>
            </w:r>
            <w:r>
              <w:t xml:space="preserve">)</w:t>
            </w:r>
          </w:p>
        </w:tc>
        <w:tc>
          <w:tcPr/>
          <w:p>
            <w:pPr>
              <w:pStyle w:val="Compact"/>
            </w:pPr>
          </w:p>
        </w:tc>
        <w:tc>
          <w:tcPr/>
          <w:p>
            <w:pPr>
              <w:pStyle w:val="Compact"/>
            </w:pPr>
          </w:p>
        </w:tc>
        <w:tc>
          <w:tcPr/>
          <w:p>
            <w:pPr>
              <w:pStyle w:val="Compact"/>
            </w:pPr>
          </w:p>
        </w:tc>
        <w:tc>
          <w:tcPr/>
          <w:p>
            <w:pPr>
              <w:pStyle w:val="Compact"/>
            </w:pPr>
            <w:r>
              <w:rPr>
                <w:b/>
                <w:bCs/>
              </w:rPr>
              <w:t xml:space="preserve">X</w:t>
            </w:r>
          </w:p>
        </w:tc>
        <w:tc>
          <w:tcPr/>
          <w:p>
            <w:pPr>
              <w:pStyle w:val="Compact"/>
            </w:pPr>
            <w:r>
              <w:rPr>
                <w:b/>
                <w:bCs/>
              </w:rPr>
              <w:t xml:space="preserve">X</w:t>
            </w:r>
          </w:p>
        </w:tc>
        <w:tc>
          <w:tcPr/>
          <w:p>
            <w:pPr>
              <w:pStyle w:val="Compact"/>
            </w:pPr>
          </w:p>
        </w:tc>
      </w:tr>
      <w:tr>
        <w:tc>
          <w:tcPr/>
          <w:p>
            <w:pPr>
              <w:pStyle w:val="Compact"/>
            </w:pPr>
            <w:r>
              <w:rPr>
                <w:b/>
                <w:bCs/>
              </w:rPr>
              <w:t xml:space="preserve">Etapa 5:</w:t>
            </w:r>
            <w:r>
              <w:t xml:space="preserve"> </w:t>
            </w:r>
            <w:r>
              <w:t xml:space="preserve">Ensaios ecofisiológicos e análise de microbioma rizosférico (</w:t>
            </w:r>
            <w:r>
              <w:rPr>
                <w:b/>
                <w:bCs/>
              </w:rPr>
              <w:t xml:space="preserve">POP-SEQ-002</w:t>
            </w: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X</w:t>
            </w:r>
          </w:p>
        </w:tc>
        <w:tc>
          <w:tcPr/>
          <w:p>
            <w:pPr>
              <w:pStyle w:val="Compact"/>
            </w:pPr>
            <w:r>
              <w:rPr>
                <w:b/>
                <w:bCs/>
              </w:rPr>
              <w:t xml:space="preserve">X</w:t>
            </w:r>
          </w:p>
        </w:tc>
      </w:tr>
      <w:tr>
        <w:tc>
          <w:tcPr/>
          <w:p>
            <w:pPr>
              <w:pStyle w:val="Compact"/>
            </w:pPr>
            <w:r>
              <w:rPr>
                <w:b/>
                <w:bCs/>
              </w:rPr>
              <w:t xml:space="preserve">Etapa 6:</w:t>
            </w:r>
            <w:r>
              <w:t xml:space="preserve"> </w:t>
            </w:r>
            <w:r>
              <w:t xml:space="preserve">Análise integrada de dados e redação de relatórios e manuscritos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X</w:t>
            </w:r>
          </w:p>
        </w:tc>
      </w:tr>
    </w:tbl>
    <w:bookmarkEnd w:id="25"/>
    <w:bookmarkStart w:id="29" w:name="Xe6256329fb230743179cffaacd9c84561aaf10b"/>
    <w:p>
      <w:pPr>
        <w:pStyle w:val="Heading2"/>
      </w:pPr>
      <w:r>
        <w:t xml:space="preserve">6. Desafios Tecnológicos na Agroindústria e Gestão de Riscos</w:t>
      </w:r>
    </w:p>
    <w:p>
      <w:pPr>
        <w:pStyle w:val="FirstParagraph"/>
      </w:pPr>
      <w:r>
        <w:t xml:space="preserve">A FAPESP valoriza propostas que reconheçam explicitamente os riscos intrínsecos à pesquisa científica de ponta e que apresentem planos de contingência robustos para superá-los.</w:t>
      </w:r>
    </w:p>
    <w:bookmarkStart w:id="26" w:name="X44f159444b9e3ba646b8795723f75ff8fe447a0"/>
    <w:p>
      <w:pPr>
        <w:pStyle w:val="Heading3"/>
      </w:pPr>
      <w:r>
        <w:t xml:space="preserve">6.1 Recalcitrância à Transformação e Regeneração Tecidual</w:t>
      </w:r>
    </w:p>
    <w:p>
      <w:pPr>
        <w:pStyle w:val="Compact"/>
        <w:numPr>
          <w:ilvl w:val="0"/>
          <w:numId w:val="1003"/>
        </w:numPr>
      </w:pPr>
      <w:r>
        <w:rPr>
          <w:b/>
          <w:bCs/>
        </w:rPr>
        <w:t xml:space="preserve">Risco Técnico:</w:t>
      </w:r>
      <w:r>
        <w:t xml:space="preserve"> </w:t>
      </w:r>
      <w:r>
        <w:t xml:space="preserve">Determinadas cultivares de interesse comercial de</w:t>
      </w:r>
      <w:r>
        <w:t xml:space="preserve"> </w:t>
      </w:r>
      <w:r>
        <w:rPr>
          <w:i/>
          <w:iCs/>
        </w:rPr>
        <w:t xml:space="preserve">Glycine max</w:t>
      </w:r>
      <w:r>
        <w:t xml:space="preserve"> </w:t>
      </w:r>
      <w:r>
        <w:t xml:space="preserve">ou</w:t>
      </w:r>
      <w:r>
        <w:t xml:space="preserve"> </w:t>
      </w:r>
      <w:r>
        <w:rPr>
          <w:i/>
          <w:iCs/>
        </w:rPr>
        <w:t xml:space="preserve">Solanum lycopersicum</w:t>
      </w:r>
      <w:r>
        <w:t xml:space="preserve"> </w:t>
      </w:r>
      <w:r>
        <w:t xml:space="preserve">apresentam baixas taxas de eficiência de regeneração</w:t>
      </w:r>
      <w:r>
        <w:t xml:space="preserve"> </w:t>
      </w:r>
      <w:r>
        <w:rPr>
          <w:i/>
          <w:iCs/>
        </w:rPr>
        <w:t xml:space="preserve">in vitro</w:t>
      </w:r>
      <w:r>
        <w:t xml:space="preserve"> </w:t>
      </w:r>
      <w:r>
        <w:t xml:space="preserve">ou resistência à infecção por</w:t>
      </w:r>
      <w:r>
        <w:t xml:space="preserve"> </w:t>
      </w:r>
      <w:r>
        <w:rPr>
          <w:i/>
          <w:iCs/>
        </w:rPr>
        <w:t xml:space="preserve">Agrobacterium tumefaciens</w:t>
      </w:r>
      <w:r>
        <w:t xml:space="preserve">.</w:t>
      </w:r>
    </w:p>
    <w:p>
      <w:pPr>
        <w:pStyle w:val="Compact"/>
        <w:numPr>
          <w:ilvl w:val="0"/>
          <w:numId w:val="1003"/>
        </w:numPr>
      </w:pPr>
      <w:r>
        <w:rPr>
          <w:b/>
          <w:bCs/>
        </w:rPr>
        <w:t xml:space="preserve">Plano de Contingência:</w:t>
      </w:r>
      <w:r>
        <w:t xml:space="preserve"> </w:t>
      </w:r>
      <w:r>
        <w:t xml:space="preserve">Caso os protocolos padrão falhem, o BioLab adotará abordagens de entrega de complexos ribonucleoproteicos (RNPs) pré-montados de Cas9 via biobalística ou transfeção de protoplastos baseada em PEG, contornando a necessidade de regeneração a partir de calos de tecidos recalcitrantes.</w:t>
      </w:r>
    </w:p>
    <w:bookmarkEnd w:id="26"/>
    <w:bookmarkStart w:id="27" w:name="X477b06d4e6e408791796b0a2830ff9d1d267f3d"/>
    <w:p>
      <w:pPr>
        <w:pStyle w:val="Heading3"/>
      </w:pPr>
      <w:r>
        <w:t xml:space="preserve">6.2 Ruptura na Cadeia de Suprimentos Internacional</w:t>
      </w:r>
    </w:p>
    <w:p>
      <w:pPr>
        <w:pStyle w:val="Compact"/>
        <w:numPr>
          <w:ilvl w:val="0"/>
          <w:numId w:val="1004"/>
        </w:numPr>
      </w:pPr>
      <w:r>
        <w:rPr>
          <w:b/>
          <w:bCs/>
        </w:rPr>
        <w:t xml:space="preserve">Risco Administrativo:</w:t>
      </w:r>
      <w:r>
        <w:t xml:space="preserve"> </w:t>
      </w:r>
      <w:r>
        <w:t xml:space="preserve">Atrasos na importação de cartuchos de sequenciamento específicos devido a trâmites alfandegários complexos podem comprometer os marcos temporais do cronograma.</w:t>
      </w:r>
    </w:p>
    <w:p>
      <w:pPr>
        <w:pStyle w:val="Compact"/>
        <w:numPr>
          <w:ilvl w:val="0"/>
          <w:numId w:val="1004"/>
        </w:numPr>
      </w:pPr>
      <w:r>
        <w:rPr>
          <w:b/>
          <w:bCs/>
        </w:rPr>
        <w:t xml:space="preserve">Plano de Contingência:</w:t>
      </w:r>
      <w:r>
        <w:t xml:space="preserve"> </w:t>
      </w:r>
      <w:r>
        <w:t xml:space="preserve">O processo de aquisição será iniciado imediatamente após a liberação da reserva orçamentária FAPESP, seguindo o fluxo preferencial regulamentado no</w:t>
      </w:r>
      <w:r>
        <w:t xml:space="preserve"> </w:t>
      </w:r>
      <w:r>
        <w:rPr>
          <w:b/>
          <w:bCs/>
        </w:rPr>
        <w:t xml:space="preserve">POP-ADM-001</w:t>
      </w:r>
      <w:r>
        <w:t xml:space="preserve"> </w:t>
      </w:r>
      <w:r>
        <w:t xml:space="preserve">e priorizando fornecedores com estoque nacional homologado listados no catálogo</w:t>
      </w:r>
      <w:r>
        <w:t xml:space="preserve"> </w:t>
      </w:r>
      <w:r>
        <w:rPr>
          <w:b/>
          <w:bCs/>
        </w:rPr>
        <w:t xml:space="preserve">LST-ADM-003</w:t>
      </w:r>
      <w:r>
        <w:t xml:space="preserve">.</w:t>
      </w:r>
    </w:p>
    <w:bookmarkEnd w:id="27"/>
    <w:bookmarkStart w:id="28" w:name="gestão-de-resíduos-e-biossegurança"/>
    <w:p>
      <w:pPr>
        <w:pStyle w:val="Heading3"/>
      </w:pPr>
      <w:r>
        <w:t xml:space="preserve">6.3 Gestão de Resíduos e Biossegurança</w:t>
      </w:r>
    </w:p>
    <w:p>
      <w:pPr>
        <w:pStyle w:val="FirstParagraph"/>
      </w:pPr>
      <w:r>
        <w:t xml:space="preserve">Todas as atividades de manipulação de organismos geneticamente modificados (OGMs) e descarte de subprodutos químicos perigosos (como fenol e clorofórmio) gerados na execução metodológica deste projeto seguirão estritamente as normativas de contenção biológica NB1 detalhadas no plano institucional de gerenciamento de resíduos (</w:t>
      </w:r>
      <w:r>
        <w:rPr>
          <w:b/>
          <w:bCs/>
        </w:rPr>
        <w:t xml:space="preserve">POP-BIO-004</w:t>
      </w:r>
      <w:r>
        <w:t xml:space="preserve">), sob supervisão direta da CIBio do BioLab.</w:t>
      </w:r>
    </w:p>
    <w:bookmarkEnd w:id="28"/>
    <w:bookmarkEnd w:id="29"/>
    <w:bookmarkStart w:id="30" w:name="referências-bibliográficas"/>
    <w:p>
      <w:pPr>
        <w:pStyle w:val="Heading2"/>
      </w:pPr>
      <w:r>
        <w:t xml:space="preserve">7. Referências Bibliográficas</w:t>
      </w:r>
    </w:p>
    <w:p>
      <w:pPr>
        <w:pStyle w:val="FirstParagraph"/>
      </w:pPr>
      <w:r>
        <w:t xml:space="preserve">As referências devem ser listadas conforme as normas da ABNT ou padrões internacionais renomados de citações numéricas, garantindo a inclusão de todos os artigos fundamentais citados no corpo do projeto.</w:t>
      </w:r>
    </w:p>
    <w:p>
      <w:pPr>
        <w:pStyle w:val="Compact"/>
        <w:numPr>
          <w:ilvl w:val="0"/>
          <w:numId w:val="1005"/>
        </w:numPr>
      </w:pPr>
      <w:r>
        <w:t xml:space="preserve">ALENCAR, R.; SOUZA, M.</w:t>
      </w:r>
      <w:r>
        <w:t xml:space="preserve"> </w:t>
      </w:r>
      <w:r>
        <w:rPr>
          <w:i/>
          <w:iCs/>
        </w:rPr>
        <w:t xml:space="preserve">Lista de Estoque Consolidada e Diretrizes de Gestão de Reagentes Laboratoriais (LST-ADM-002)</w:t>
      </w:r>
      <w:r>
        <w:t xml:space="preserve">. São Paulo: BioLab Research Center, 2026.</w:t>
      </w:r>
    </w:p>
    <w:p>
      <w:pPr>
        <w:pStyle w:val="Compact"/>
        <w:numPr>
          <w:ilvl w:val="0"/>
          <w:numId w:val="1005"/>
        </w:numPr>
      </w:pPr>
      <w:r>
        <w:t xml:space="preserve">ROSENBERG, A.; CAVALCANTI, H.</w:t>
      </w:r>
      <w:r>
        <w:t xml:space="preserve"> </w:t>
      </w:r>
      <w:r>
        <w:rPr>
          <w:i/>
          <w:iCs/>
        </w:rPr>
        <w:t xml:space="preserve">Structural Template and Editorial Guidelines for High-Impact International Manuscripts (TPT-ART-001)</w:t>
      </w:r>
      <w:r>
        <w:t xml:space="preserve">. São Paulo: Divisão de Coordenação Científica BioLab, 2026.</w:t>
      </w:r>
    </w:p>
    <w:p>
      <w:pPr>
        <w:pStyle w:val="Compact"/>
        <w:numPr>
          <w:ilvl w:val="0"/>
          <w:numId w:val="1005"/>
        </w:numPr>
      </w:pPr>
      <w:r>
        <w:t xml:space="preserve">VIEGAS, M.; PRESTES, D.</w:t>
      </w:r>
      <w:r>
        <w:t xml:space="preserve"> </w:t>
      </w:r>
      <w:r>
        <w:rPr>
          <w:i/>
          <w:iCs/>
        </w:rPr>
        <w:t xml:space="preserve">Manual de Operação e Manutenção Preventiva do Termociclador Digital de Alta Performance (MAN-EQP-003)</w:t>
      </w:r>
      <w:r>
        <w:t xml:space="preserve">. São Paulo: Setor de Biologia Molecular BioLab, 2026.</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2026-08-12T21:56:22Z</dcterms:created>
  <dcterms:modified xsi:type="dcterms:W3CDTF">2026-08-12T21:56:22Z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