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40"/>
        <w:jc w:val="center"/>
      </w:pPr>
      <w:r>
        <w:rPr>
          <w:b/>
          <w:bCs/>
          <w:sz w:val="24"/>
          <w:szCs w:val="24"/>
        </w:rPr>
        <w:t xml:space="preserve">ASSESSMENT TOOL 1 — ANSWER SCRIPT</w:t>
      </w:r>
    </w:p>
    <w:p>
      <w:pPr>
        <w:spacing w:after="300"/>
        <w:jc w:val="center"/>
      </w:pPr>
      <w:r>
        <w:rPr>
          <w:i/>
          <w:iCs/>
          <w:sz w:val="20"/>
          <w:szCs w:val="20"/>
        </w:rPr>
        <w:t xml:space="preserve">Course: Ethical Hacking (ITA14)  |  CO2  |  Total Marks: 50</w:t>
      </w:r>
    </w:p>
    <w:p>
      <w:pPr>
        <w:pStyle w:val="Heading1"/>
        <w:shd w:fill="1F4E79" w:val="clear"/>
        <w:spacing w:after="200" w:before="0"/>
      </w:pPr>
      <w:r>
        <w:rPr>
          <w:b/>
          <w:bCs/>
          <w:color w:val="FFFFFF"/>
        </w:rPr>
        <w:t xml:space="preserve">Question 1 — Nmap Scan Report Analysis (20 Marks)</w:t>
      </w:r>
    </w:p>
    <w:p>
      <w:pPr>
        <w:pStyle w:val="Heading2"/>
        <w:spacing w:after="100" w:before="200"/>
      </w:pPr>
      <w:r>
        <w:rPr>
          <w:b/>
          <w:bCs/>
          <w:color w:val="2E75B6"/>
        </w:rPr>
        <w:t xml:space="preserve">1. Report Interpretation</w:t>
      </w:r>
    </w:p>
    <w:p>
      <w:pPr>
        <w:spacing w:after="140" w:line="300"/>
        <w:jc w:val="both"/>
      </w:pPr>
      <w:r>
        <w:t xml:space="preserve">The Nmap scan against the target 192.168.1.10 reveals three open ports along with service banners and OS fingerprint information. This means the host is reachable, the underlying services are actively listening, and enough banner data was returned for Nmap to guess software versions and the operating system. Each open, identifiable service is a potential entry point, and the OS/version detail narrows down exactly which public exploits would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1F4E79" w:val="clear"/>
            <w:tcMar>
              <w:top w:type="dxa" w:w="80"/>
              <w:left w:type="dxa" w:w="100"/>
              <w:bottom w:type="dxa" w:w="80"/>
              <w:right w:type="dxa" w:w="100"/>
            </w:tcMar>
          </w:tcPr>
          <w:p>
            <w:r>
              <w:rPr>
                <w:b/>
                <w:bCs/>
                <w:color w:val="FFFFFF"/>
              </w:rPr>
              <w:t xml:space="preserve">Port</w:t>
            </w:r>
          </w:p>
        </w:tc>
        <w:tc>
          <w:tcPr>
            <w:tcW w:type="dxa" w:w="3008"/>
            <w:shd w:fill="1F4E79" w:val="clear"/>
            <w:tcMar>
              <w:top w:type="dxa" w:w="80"/>
              <w:left w:type="dxa" w:w="100"/>
              <w:bottom w:type="dxa" w:w="80"/>
              <w:right w:type="dxa" w:w="100"/>
            </w:tcMar>
          </w:tcPr>
          <w:p>
            <w:r>
              <w:rPr>
                <w:b/>
                <w:bCs/>
                <w:color w:val="FFFFFF"/>
              </w:rPr>
              <w:t xml:space="preserve">Service</w:t>
            </w:r>
          </w:p>
        </w:tc>
        <w:tc>
          <w:tcPr>
            <w:tcW w:type="dxa" w:w="3008"/>
            <w:shd w:fill="1F4E79" w:val="clear"/>
            <w:tcMar>
              <w:top w:type="dxa" w:w="80"/>
              <w:left w:type="dxa" w:w="100"/>
              <w:bottom w:type="dxa" w:w="80"/>
              <w:right w:type="dxa" w:w="100"/>
            </w:tcMar>
          </w:tcPr>
          <w:p>
            <w:r>
              <w:rPr>
                <w:b/>
                <w:bCs/>
                <w:color w:val="FFFFFF"/>
              </w:rPr>
              <w:t xml:space="preserve">Typical Risk Level</w:t>
            </w:r>
          </w:p>
        </w:tc>
      </w:tr>
      <w:tr>
        <w:tc>
          <w:tcPr>
            <w:tcW w:type="dxa" w:w="3008"/>
            <w:tcMar>
              <w:top w:type="dxa" w:w="80"/>
              <w:left w:type="dxa" w:w="100"/>
              <w:bottom w:type="dxa" w:w="80"/>
              <w:right w:type="dxa" w:w="100"/>
            </w:tcMar>
          </w:tcPr>
          <w:p>
            <w:r>
              <w:t xml:space="preserve">80/tcp</w:t>
            </w:r>
          </w:p>
        </w:tc>
        <w:tc>
          <w:tcPr>
            <w:tcW w:type="dxa" w:w="3008"/>
            <w:tcMar>
              <w:top w:type="dxa" w:w="80"/>
              <w:left w:type="dxa" w:w="100"/>
              <w:bottom w:type="dxa" w:w="80"/>
              <w:right w:type="dxa" w:w="100"/>
            </w:tcMar>
          </w:tcPr>
          <w:p>
            <w:r>
              <w:t xml:space="preserve">HTTP (Web Server)</w:t>
            </w:r>
          </w:p>
        </w:tc>
        <w:tc>
          <w:tcPr>
            <w:tcW w:type="dxa" w:w="3008"/>
            <w:tcMar>
              <w:top w:type="dxa" w:w="80"/>
              <w:left w:type="dxa" w:w="100"/>
              <w:bottom w:type="dxa" w:w="80"/>
              <w:right w:type="dxa" w:w="100"/>
            </w:tcMar>
          </w:tcPr>
          <w:p>
            <w:r>
              <w:t xml:space="preserve">Medium–High</w:t>
            </w:r>
          </w:p>
        </w:tc>
      </w:tr>
      <w:tr>
        <w:tc>
          <w:tcPr>
            <w:tcW w:type="dxa" w:w="3008"/>
            <w:tcMar>
              <w:top w:type="dxa" w:w="80"/>
              <w:left w:type="dxa" w:w="100"/>
              <w:bottom w:type="dxa" w:w="80"/>
              <w:right w:type="dxa" w:w="100"/>
            </w:tcMar>
          </w:tcPr>
          <w:p>
            <w:r>
              <w:t xml:space="preserve">22/tcp</w:t>
            </w:r>
          </w:p>
        </w:tc>
        <w:tc>
          <w:tcPr>
            <w:tcW w:type="dxa" w:w="3008"/>
            <w:tcMar>
              <w:top w:type="dxa" w:w="80"/>
              <w:left w:type="dxa" w:w="100"/>
              <w:bottom w:type="dxa" w:w="80"/>
              <w:right w:type="dxa" w:w="100"/>
            </w:tcMar>
          </w:tcPr>
          <w:p>
            <w:r>
              <w:t xml:space="preserve">SSH (Remote Login)</w:t>
            </w:r>
          </w:p>
        </w:tc>
        <w:tc>
          <w:tcPr>
            <w:tcW w:type="dxa" w:w="3008"/>
            <w:tcMar>
              <w:top w:type="dxa" w:w="80"/>
              <w:left w:type="dxa" w:w="100"/>
              <w:bottom w:type="dxa" w:w="80"/>
              <w:right w:type="dxa" w:w="100"/>
            </w:tcMar>
          </w:tcPr>
          <w:p>
            <w:r>
              <w:t xml:space="preserve">Medium</w:t>
            </w:r>
          </w:p>
        </w:tc>
      </w:tr>
      <w:tr>
        <w:tc>
          <w:tcPr>
            <w:tcW w:type="dxa" w:w="3008"/>
            <w:tcMar>
              <w:top w:type="dxa" w:w="80"/>
              <w:left w:type="dxa" w:w="100"/>
              <w:bottom w:type="dxa" w:w="80"/>
              <w:right w:type="dxa" w:w="100"/>
            </w:tcMar>
          </w:tcPr>
          <w:p>
            <w:r>
              <w:t xml:space="preserve">3306/tcp</w:t>
            </w:r>
          </w:p>
        </w:tc>
        <w:tc>
          <w:tcPr>
            <w:tcW w:type="dxa" w:w="3008"/>
            <w:tcMar>
              <w:top w:type="dxa" w:w="80"/>
              <w:left w:type="dxa" w:w="100"/>
              <w:bottom w:type="dxa" w:w="80"/>
              <w:right w:type="dxa" w:w="100"/>
            </w:tcMar>
          </w:tcPr>
          <w:p>
            <w:r>
              <w:t xml:space="preserve">MySQL (Database)</w:t>
            </w:r>
          </w:p>
        </w:tc>
        <w:tc>
          <w:tcPr>
            <w:tcW w:type="dxa" w:w="3008"/>
            <w:tcMar>
              <w:top w:type="dxa" w:w="80"/>
              <w:left w:type="dxa" w:w="100"/>
              <w:bottom w:type="dxa" w:w="80"/>
              <w:right w:type="dxa" w:w="100"/>
            </w:tcMar>
          </w:tcPr>
          <w:p>
            <w:r>
              <w:t xml:space="preserve">High</w:t>
            </w:r>
          </w:p>
        </w:tc>
      </w:tr>
    </w:tbl>
    <w:p>
      <w:pPr>
        <w:spacing w:after="140" w:line="300"/>
        <w:jc w:val="both"/>
      </w:pPr>
      <w:r>
        <w:t xml:space="preserve"/>
      </w:r>
    </w:p>
    <w:p>
      <w:pPr>
        <w:pStyle w:val="Heading2"/>
        <w:spacing w:after="100" w:before="200"/>
      </w:pPr>
      <w:r>
        <w:rPr>
          <w:b/>
          <w:bCs/>
          <w:color w:val="2E75B6"/>
        </w:rPr>
        <w:t xml:space="preserve">2. Security Risks Associated with Each Service</w:t>
      </w:r>
    </w:p>
    <w:p>
      <w:pPr>
        <w:pStyle w:val="ListParagraph"/>
        <w:numPr>
          <w:ilvl w:val="0"/>
          <w:numId w:val="2"/>
        </w:numPr>
        <w:spacing w:after="80" w:line="300"/>
      </w:pPr>
      <w:r>
        <w:rPr>
          <w:b/>
          <w:bCs/>
        </w:rPr>
        <w:t xml:space="preserve">HTTP (Port 80): </w:t>
      </w:r>
      <w:r>
        <w:t xml:space="preserve">Unencrypted traffic can be intercepted; an outdated web server/CMS version may have known CVEs; misconfigured directories can leak files; the site may be vulnerable to SQL injection, XSS, or file upload flaws.</w:t>
      </w:r>
    </w:p>
    <w:p>
      <w:pPr>
        <w:pStyle w:val="ListParagraph"/>
        <w:numPr>
          <w:ilvl w:val="0"/>
          <w:numId w:val="2"/>
        </w:numPr>
        <w:spacing w:after="80" w:line="300"/>
      </w:pPr>
      <w:r>
        <w:rPr>
          <w:b/>
          <w:bCs/>
        </w:rPr>
        <w:t xml:space="preserve">SSH (Port 22): </w:t>
      </w:r>
      <w:r>
        <w:t xml:space="preserve">Exposed to the internet, it is a prime target for brute-force and credential-stuffing attacks; weak passwords, default credentials, or an old SSH version with known vulnerabilities can allow full remote shell access.</w:t>
      </w:r>
    </w:p>
    <w:p>
      <w:pPr>
        <w:pStyle w:val="ListParagraph"/>
        <w:numPr>
          <w:ilvl w:val="0"/>
          <w:numId w:val="2"/>
        </w:numPr>
        <w:spacing w:after="80" w:line="300"/>
      </w:pPr>
      <w:r>
        <w:rPr>
          <w:b/>
          <w:bCs/>
        </w:rPr>
        <w:t xml:space="preserve">MySQL (Port 3306): </w:t>
      </w:r>
      <w:r>
        <w:t xml:space="preserve">A database port should almost never be reachable directly; if exposed, attackers can attempt default-credential logins, brute force, or exploit unpatched MySQL CVEs to read, modify, or exfiltrate the entire database.</w:t>
      </w:r>
    </w:p>
    <w:p>
      <w:pPr>
        <w:pStyle w:val="ListParagraph"/>
        <w:numPr>
          <w:ilvl w:val="0"/>
          <w:numId w:val="2"/>
        </w:numPr>
        <w:spacing w:after="80" w:line="300"/>
      </w:pPr>
      <w:r>
        <w:rPr>
          <w:b/>
          <w:bCs/>
        </w:rPr>
        <w:t xml:space="preserve">OS and Version Fingerprinting: </w:t>
      </w:r>
      <w:r>
        <w:t xml:space="preserve">Revealing exact OS and service versions gives an attacker a ready-made shopping list of matching public exploits, reducing the reconnaissance effort needed before an attack.</w:t>
      </w:r>
    </w:p>
    <w:p>
      <w:pPr>
        <w:pStyle w:val="Heading2"/>
        <w:spacing w:after="100" w:before="200"/>
      </w:pPr>
      <w:r>
        <w:rPr>
          <w:b/>
          <w:bCs/>
          <w:color w:val="2E75B6"/>
        </w:rPr>
        <w:t xml:space="preserve">3. How an Attacker Could Exploit These Services</w:t>
      </w:r>
    </w:p>
    <w:p>
      <w:pPr>
        <w:pStyle w:val="ListParagraph"/>
        <w:numPr>
          <w:ilvl w:val="0"/>
          <w:numId w:val="2"/>
        </w:numPr>
        <w:spacing w:after="80" w:line="300"/>
      </w:pPr>
      <w:r>
        <w:t xml:space="preserve">Run a vulnerability scanner (e.g., Nessus/OpenVAS) against the fingerprinted versions to match them with known CVEs and available exploit code (e.g., Metasploit modules).</w:t>
      </w:r>
    </w:p>
    <w:p>
      <w:pPr>
        <w:pStyle w:val="ListParagraph"/>
        <w:numPr>
          <w:ilvl w:val="0"/>
          <w:numId w:val="2"/>
        </w:numPr>
        <w:spacing w:after="80" w:line="300"/>
      </w:pPr>
      <w:r>
        <w:t xml:space="preserve">Attempt automated brute-force or dictionary attacks against SSH (Hydra, Medusa) to gain a valid login and pivot into the internal network.</w:t>
      </w:r>
    </w:p>
    <w:p>
      <w:pPr>
        <w:pStyle w:val="ListParagraph"/>
        <w:numPr>
          <w:ilvl w:val="0"/>
          <w:numId w:val="2"/>
        </w:numPr>
        <w:spacing w:after="80" w:line="300"/>
      </w:pPr>
      <w:r>
        <w:t xml:space="preserve">Send crafted HTTP requests to test for SQL injection, command injection, or file-upload vulnerabilities on the web application, potentially escalating to a full web-shell compromise.</w:t>
      </w:r>
    </w:p>
    <w:p>
      <w:pPr>
        <w:pStyle w:val="ListParagraph"/>
        <w:numPr>
          <w:ilvl w:val="0"/>
          <w:numId w:val="2"/>
        </w:numPr>
        <w:spacing w:after="80" w:line="300"/>
      </w:pPr>
      <w:r>
        <w:t xml:space="preserve">Directly connect to the exposed MySQL port using default or leaked credentials to dump customer data, or chain a MySQL vulnerability with the web app (e.g., SQLi) to reach the database indirectly.</w:t>
      </w:r>
    </w:p>
    <w:p>
      <w:pPr>
        <w:pStyle w:val="ListParagraph"/>
        <w:numPr>
          <w:ilvl w:val="0"/>
          <w:numId w:val="2"/>
        </w:numPr>
        <w:spacing w:after="80" w:line="300"/>
      </w:pPr>
      <w:r>
        <w:t xml:space="preserve">Combine all three findings — e.g., use a web application flaw to obtain database credentials, then use those same credentials over SSH if password reuse exists — to escalate from a single open port to full system compromise.</w:t>
      </w:r>
    </w:p>
    <w:p>
      <w:pPr>
        <w:pStyle w:val="Heading2"/>
        <w:spacing w:after="100" w:before="200"/>
      </w:pPr>
      <w:r>
        <w:rPr>
          <w:b/>
          <w:bCs/>
          <w:color w:val="2E75B6"/>
        </w:rPr>
        <w:t xml:space="preserve">4. Recommended Security Measures</w:t>
      </w:r>
    </w:p>
    <w:p>
      <w:pPr>
        <w:pStyle w:val="ListParagraph"/>
        <w:numPr>
          <w:ilvl w:val="0"/>
          <w:numId w:val="2"/>
        </w:numPr>
        <w:spacing w:after="80" w:line="300"/>
      </w:pPr>
      <w:r>
        <w:rPr>
          <w:b/>
          <w:bCs/>
        </w:rPr>
        <w:t xml:space="preserve">Harden and patch services: </w:t>
      </w:r>
      <w:r>
        <w:t xml:space="preserve">Keep the OS, web server, SSH daemon, and MySQL updated to the latest stable, patched versions; remove or disable banner information where possible.</w:t>
      </w:r>
    </w:p>
    <w:p>
      <w:pPr>
        <w:pStyle w:val="ListParagraph"/>
        <w:numPr>
          <w:ilvl w:val="0"/>
          <w:numId w:val="2"/>
        </w:numPr>
        <w:spacing w:after="80" w:line="300"/>
      </w:pPr>
      <w:r>
        <w:rPr>
          <w:b/>
          <w:bCs/>
        </w:rPr>
        <w:t xml:space="preserve">Restrict exposure: </w:t>
      </w:r>
      <w:r>
        <w:t xml:space="preserve">MySQL (3306) should never face the public internet — bind it to localhost or an internal VLAN and allow access only via a firewall rule or VPN.</w:t>
      </w:r>
    </w:p>
    <w:p>
      <w:pPr>
        <w:pStyle w:val="ListParagraph"/>
        <w:numPr>
          <w:ilvl w:val="0"/>
          <w:numId w:val="2"/>
        </w:numPr>
        <w:spacing w:after="80" w:line="300"/>
      </w:pPr>
      <w:r>
        <w:rPr>
          <w:b/>
          <w:bCs/>
        </w:rPr>
        <w:t xml:space="preserve">Enforce strong authentication: </w:t>
      </w:r>
      <w:r>
        <w:t xml:space="preserve">Disable password-based SSH login in favor of key-based authentication, enforce strong/unique database passwords, and enable account lockout after repeated failed attempts.</w:t>
      </w:r>
    </w:p>
    <w:p>
      <w:pPr>
        <w:pStyle w:val="ListParagraph"/>
        <w:numPr>
          <w:ilvl w:val="0"/>
          <w:numId w:val="2"/>
        </w:numPr>
        <w:spacing w:after="80" w:line="300"/>
      </w:pPr>
      <w:r>
        <w:rPr>
          <w:b/>
          <w:bCs/>
        </w:rPr>
        <w:t xml:space="preserve">Encrypt in transit: </w:t>
      </w:r>
      <w:r>
        <w:t xml:space="preserve">Serve the website only over HTTPS/TLS, and require encrypted connections for MySQL and SSH sessions.</w:t>
      </w:r>
    </w:p>
    <w:p>
      <w:pPr>
        <w:pStyle w:val="ListParagraph"/>
        <w:numPr>
          <w:ilvl w:val="0"/>
          <w:numId w:val="2"/>
        </w:numPr>
        <w:spacing w:after="80" w:line="300"/>
      </w:pPr>
      <w:r>
        <w:rPr>
          <w:b/>
          <w:bCs/>
        </w:rPr>
        <w:t xml:space="preserve">Network-level controls: </w:t>
      </w:r>
      <w:r>
        <w:t xml:space="preserve">Deploy a firewall/IDS-IPS to restrict inbound access to only required ports and to detect brute-force or scanning activity; consider port-knocking or a bastion host for SSH.</w:t>
      </w:r>
    </w:p>
    <w:p>
      <w:pPr>
        <w:pStyle w:val="ListParagraph"/>
        <w:numPr>
          <w:ilvl w:val="0"/>
          <w:numId w:val="2"/>
        </w:numPr>
        <w:spacing w:after="80" w:line="300"/>
      </w:pPr>
      <w:r>
        <w:rPr>
          <w:b/>
          <w:bCs/>
        </w:rPr>
        <w:t xml:space="preserve">Continuous monitoring: </w:t>
      </w:r>
      <w:r>
        <w:t xml:space="preserve">Enable logging and alerting (e.g., fail2ban for SSH, WAF for HTTP) and schedule regular vulnerability scans so new exposures are caught early.</w:t>
      </w:r>
    </w:p>
    <w:p>
      <w:pPr>
        <w:pStyle w:val="Heading2"/>
        <w:spacing w:after="100" w:before="200"/>
      </w:pPr>
      <w:r>
        <w:rPr>
          <w:b/>
          <w:bCs/>
          <w:color w:val="2E75B6"/>
        </w:rPr>
        <w:t xml:space="preserve">5. Conclusion</w:t>
      </w:r>
    </w:p>
    <w:p>
      <w:pPr>
        <w:spacing w:after="140" w:line="300"/>
        <w:jc w:val="both"/>
      </w:pPr>
      <w:r>
        <w:t xml:space="preserve">The scan shows a host with three exploitable services and detailed version disclosure, which together significantly widen the attack surface. Applying patch management, network segmentation, strong authentication, and encryption would close the most critical gaps and reduce the system's exposure to both automated and targeted attacks.</w:t>
      </w:r>
    </w:p>
    <w:p>
      <w:r>
        <w:br w:type="page"/>
      </w:r>
    </w:p>
    <w:p>
      <w:pPr>
        <w:pStyle w:val="Heading1"/>
        <w:shd w:fill="1F4E79" w:val="clear"/>
        <w:spacing w:after="200" w:before="0"/>
      </w:pPr>
      <w:r>
        <w:rPr>
          <w:b/>
          <w:bCs/>
          <w:color w:val="FFFFFF"/>
        </w:rPr>
        <w:t xml:space="preserve">Question 2 — Phishing Awareness Campaign (GoPhish) Analysis (20 Marks)</w:t>
      </w:r>
    </w:p>
    <w:p>
      <w:pPr>
        <w:pStyle w:val="Heading2"/>
        <w:spacing w:after="100" w:before="200"/>
      </w:pPr>
      <w:r>
        <w:rPr>
          <w:b/>
          <w:bCs/>
          <w:color w:val="2E75B6"/>
        </w:rPr>
        <w:t xml:space="preserve">1. Report Interpretation</w:t>
      </w:r>
    </w:p>
    <w:p>
      <w:pPr>
        <w:spacing w:after="140" w:line="300"/>
        <w:jc w:val="both"/>
      </w:pPr>
      <w:r>
        <w:t xml:space="preserve">The GoPhish simulation at ABC Technologies Pvt. Ltd. shows that 40% of employees clicked the phishing link, 20% went further and entered their login credentials, and some employees also downloaded a malicious attachment. This funnel indicates that a large share of staff cannot reliably distinguish a phishing email from a legitimate one, and a smaller but still significant group will actively hand over credentials or execute unknown files when prompted.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1F4E79" w:val="clear"/>
            <w:tcMar>
              <w:top w:type="dxa" w:w="80"/>
              <w:left w:type="dxa" w:w="100"/>
              <w:bottom w:type="dxa" w:w="80"/>
              <w:right w:type="dxa" w:w="100"/>
            </w:tcMar>
          </w:tcPr>
          <w:p>
            <w:r>
              <w:rPr>
                <w:b/>
                <w:bCs/>
                <w:color w:val="FFFFFF"/>
              </w:rPr>
              <w:t xml:space="preserve">Stage</w:t>
            </w:r>
          </w:p>
        </w:tc>
        <w:tc>
          <w:tcPr>
            <w:tcW w:type="dxa" w:w="3008"/>
            <w:shd w:fill="1F4E79" w:val="clear"/>
            <w:tcMar>
              <w:top w:type="dxa" w:w="80"/>
              <w:left w:type="dxa" w:w="100"/>
              <w:bottom w:type="dxa" w:w="80"/>
              <w:right w:type="dxa" w:w="100"/>
            </w:tcMar>
          </w:tcPr>
          <w:p>
            <w:r>
              <w:rPr>
                <w:b/>
                <w:bCs/>
                <w:color w:val="FFFFFF"/>
              </w:rPr>
              <w:t xml:space="preserve">Result</w:t>
            </w:r>
          </w:p>
        </w:tc>
        <w:tc>
          <w:tcPr>
            <w:tcW w:type="dxa" w:w="3008"/>
            <w:shd w:fill="1F4E79" w:val="clear"/>
            <w:tcMar>
              <w:top w:type="dxa" w:w="80"/>
              <w:left w:type="dxa" w:w="100"/>
              <w:bottom w:type="dxa" w:w="80"/>
              <w:right w:type="dxa" w:w="100"/>
            </w:tcMar>
          </w:tcPr>
          <w:p>
            <w:r>
              <w:rPr>
                <w:b/>
                <w:bCs/>
                <w:color w:val="FFFFFF"/>
              </w:rPr>
              <w:t xml:space="preserve">Interpretation</w:t>
            </w:r>
          </w:p>
        </w:tc>
      </w:tr>
      <w:tr>
        <w:tc>
          <w:tcPr>
            <w:tcW w:type="dxa" w:w="3008"/>
            <w:tcMar>
              <w:top w:type="dxa" w:w="80"/>
              <w:left w:type="dxa" w:w="100"/>
              <w:bottom w:type="dxa" w:w="80"/>
              <w:right w:type="dxa" w:w="100"/>
            </w:tcMar>
          </w:tcPr>
          <w:p>
            <w:r>
              <w:t xml:space="preserve">Email opened / link clicked</w:t>
            </w:r>
          </w:p>
        </w:tc>
        <w:tc>
          <w:tcPr>
            <w:tcW w:type="dxa" w:w="3008"/>
            <w:tcMar>
              <w:top w:type="dxa" w:w="80"/>
              <w:left w:type="dxa" w:w="100"/>
              <w:bottom w:type="dxa" w:w="80"/>
              <w:right w:type="dxa" w:w="100"/>
            </w:tcMar>
          </w:tcPr>
          <w:p>
            <w:r>
              <w:t xml:space="preserve">40%</w:t>
            </w:r>
          </w:p>
        </w:tc>
        <w:tc>
          <w:tcPr>
            <w:tcW w:type="dxa" w:w="3008"/>
            <w:tcMar>
              <w:top w:type="dxa" w:w="80"/>
              <w:left w:type="dxa" w:w="100"/>
              <w:bottom w:type="dxa" w:w="80"/>
              <w:right w:type="dxa" w:w="100"/>
            </w:tcMar>
          </w:tcPr>
          <w:p>
            <w:r>
              <w:t xml:space="preserve">Weak email scrutiny habits</w:t>
            </w:r>
          </w:p>
        </w:tc>
      </w:tr>
      <w:tr>
        <w:tc>
          <w:tcPr>
            <w:tcW w:type="dxa" w:w="3008"/>
            <w:tcMar>
              <w:top w:type="dxa" w:w="80"/>
              <w:left w:type="dxa" w:w="100"/>
              <w:bottom w:type="dxa" w:w="80"/>
              <w:right w:type="dxa" w:w="100"/>
            </w:tcMar>
          </w:tcPr>
          <w:p>
            <w:r>
              <w:t xml:space="preserve">Credentials entered</w:t>
            </w:r>
          </w:p>
        </w:tc>
        <w:tc>
          <w:tcPr>
            <w:tcW w:type="dxa" w:w="3008"/>
            <w:tcMar>
              <w:top w:type="dxa" w:w="80"/>
              <w:left w:type="dxa" w:w="100"/>
              <w:bottom w:type="dxa" w:w="80"/>
              <w:right w:type="dxa" w:w="100"/>
            </w:tcMar>
          </w:tcPr>
          <w:p>
            <w:r>
              <w:t xml:space="preserve">20%</w:t>
            </w:r>
          </w:p>
        </w:tc>
        <w:tc>
          <w:tcPr>
            <w:tcW w:type="dxa" w:w="3008"/>
            <w:tcMar>
              <w:top w:type="dxa" w:w="80"/>
              <w:left w:type="dxa" w:w="100"/>
              <w:bottom w:type="dxa" w:w="80"/>
              <w:right w:type="dxa" w:w="100"/>
            </w:tcMar>
          </w:tcPr>
          <w:p>
            <w:r>
              <w:t xml:space="preserve">High risk of account takeover</w:t>
            </w:r>
          </w:p>
        </w:tc>
      </w:tr>
      <w:tr>
        <w:tc>
          <w:tcPr>
            <w:tcW w:type="dxa" w:w="3008"/>
            <w:tcMar>
              <w:top w:type="dxa" w:w="80"/>
              <w:left w:type="dxa" w:w="100"/>
              <w:bottom w:type="dxa" w:w="80"/>
              <w:right w:type="dxa" w:w="100"/>
            </w:tcMar>
          </w:tcPr>
          <w:p>
            <w:r>
              <w:t xml:space="preserve">Attachment downloaded</w:t>
            </w:r>
          </w:p>
        </w:tc>
        <w:tc>
          <w:tcPr>
            <w:tcW w:type="dxa" w:w="3008"/>
            <w:tcMar>
              <w:top w:type="dxa" w:w="80"/>
              <w:left w:type="dxa" w:w="100"/>
              <w:bottom w:type="dxa" w:w="80"/>
              <w:right w:type="dxa" w:w="100"/>
            </w:tcMar>
          </w:tcPr>
          <w:p>
            <w:r>
              <w:t xml:space="preserve">Multiple users</w:t>
            </w:r>
          </w:p>
        </w:tc>
        <w:tc>
          <w:tcPr>
            <w:tcW w:type="dxa" w:w="3008"/>
            <w:tcMar>
              <w:top w:type="dxa" w:w="80"/>
              <w:left w:type="dxa" w:w="100"/>
              <w:bottom w:type="dxa" w:w="80"/>
              <w:right w:type="dxa" w:w="100"/>
            </w:tcMar>
          </w:tcPr>
          <w:p>
            <w:r>
              <w:t xml:space="preserve">Risk of malware/ransomware execution</w:t>
            </w:r>
          </w:p>
        </w:tc>
      </w:tr>
    </w:tbl>
    <w:p>
      <w:pPr>
        <w:spacing w:after="140" w:line="300"/>
        <w:jc w:val="both"/>
      </w:pPr>
      <w:r>
        <w:t xml:space="preserve"/>
      </w:r>
    </w:p>
    <w:p>
      <w:pPr>
        <w:pStyle w:val="Heading2"/>
        <w:spacing w:after="100" w:before="200"/>
      </w:pPr>
      <w:r>
        <w:rPr>
          <w:b/>
          <w:bCs/>
          <w:color w:val="2E75B6"/>
        </w:rPr>
        <w:t xml:space="preserve">2. Security Weaknesses Demonstrated by Employees</w:t>
      </w:r>
    </w:p>
    <w:p>
      <w:pPr>
        <w:pStyle w:val="ListParagraph"/>
        <w:numPr>
          <w:ilvl w:val="0"/>
          <w:numId w:val="2"/>
        </w:numPr>
        <w:spacing w:after="80" w:line="300"/>
      </w:pPr>
      <w:r>
        <w:t xml:space="preserve">Low awareness of phishing indicators such as spoofed sender addresses, urgent language, and suspicious links.</w:t>
      </w:r>
    </w:p>
    <w:p>
      <w:pPr>
        <w:pStyle w:val="ListParagraph"/>
        <w:numPr>
          <w:ilvl w:val="0"/>
          <w:numId w:val="2"/>
        </w:numPr>
        <w:spacing w:after="80" w:line="300"/>
      </w:pPr>
      <w:r>
        <w:t xml:space="preserve">Willingness to enter credentials on an unverified page, showing no habit of checking the URL or certificate before login.</w:t>
      </w:r>
    </w:p>
    <w:p>
      <w:pPr>
        <w:pStyle w:val="ListParagraph"/>
        <w:numPr>
          <w:ilvl w:val="0"/>
          <w:numId w:val="2"/>
        </w:numPr>
        <w:spacing w:after="80" w:line="300"/>
      </w:pPr>
      <w:r>
        <w:t xml:space="preserve">Opening or executing unknown attachments without scanning them or verifying the sender, which risks malware/ransomware infection.</w:t>
      </w:r>
    </w:p>
    <w:p>
      <w:pPr>
        <w:pStyle w:val="ListParagraph"/>
        <w:numPr>
          <w:ilvl w:val="0"/>
          <w:numId w:val="2"/>
        </w:numPr>
        <w:spacing w:after="80" w:line="300"/>
      </w:pPr>
      <w:r>
        <w:t xml:space="preserve">No apparent habit of reporting suspicious emails to IT/security teams, allowing the simulated attack to proceed unchecked.</w:t>
      </w:r>
    </w:p>
    <w:p>
      <w:pPr>
        <w:pStyle w:val="ListParagraph"/>
        <w:numPr>
          <w:ilvl w:val="0"/>
          <w:numId w:val="2"/>
        </w:numPr>
        <w:spacing w:after="80" w:line="300"/>
      </w:pPr>
      <w:r>
        <w:t xml:space="preserve">Absence of a 'verify before you trust' culture — employees did not independently confirm requests through a second channel (e.g., phone call).</w:t>
      </w:r>
    </w:p>
    <w:p>
      <w:pPr>
        <w:pStyle w:val="Heading2"/>
        <w:spacing w:after="100" w:before="200"/>
      </w:pPr>
      <w:r>
        <w:rPr>
          <w:b/>
          <w:bCs/>
          <w:color w:val="2E75B6"/>
        </w:rPr>
        <w:t xml:space="preserve">3. Recommended User Awareness Programs</w:t>
      </w:r>
    </w:p>
    <w:p>
      <w:pPr>
        <w:pStyle w:val="ListParagraph"/>
        <w:numPr>
          <w:ilvl w:val="0"/>
          <w:numId w:val="2"/>
        </w:numPr>
        <w:spacing w:after="80" w:line="300"/>
      </w:pPr>
      <w:r>
        <w:rPr>
          <w:b/>
          <w:bCs/>
        </w:rPr>
        <w:t xml:space="preserve">Regular security awareness training: </w:t>
      </w:r>
      <w:r>
        <w:t xml:space="preserve">Conduct mandatory, recurring sessions (not one-time) covering how to identify phishing emails, spoofed domains, and social engineering tactics.</w:t>
      </w:r>
    </w:p>
    <w:p>
      <w:pPr>
        <w:pStyle w:val="ListParagraph"/>
        <w:numPr>
          <w:ilvl w:val="0"/>
          <w:numId w:val="2"/>
        </w:numPr>
        <w:spacing w:after="80" w:line="300"/>
      </w:pPr>
      <w:r>
        <w:rPr>
          <w:b/>
          <w:bCs/>
        </w:rPr>
        <w:t xml:space="preserve">Simulated phishing exercises: </w:t>
      </w:r>
      <w:r>
        <w:t xml:space="preserve">Run periodic GoPhish-style campaigns with immediate, personalized feedback so employees learn from mistakes in a safe environment; track click/credential rates over time to measure improvement.</w:t>
      </w:r>
    </w:p>
    <w:p>
      <w:pPr>
        <w:pStyle w:val="ListParagraph"/>
        <w:numPr>
          <w:ilvl w:val="0"/>
          <w:numId w:val="2"/>
        </w:numPr>
        <w:spacing w:after="80" w:line="300"/>
      </w:pPr>
      <w:r>
        <w:rPr>
          <w:b/>
          <w:bCs/>
        </w:rPr>
        <w:t xml:space="preserve">Just-in-time micro-training: </w:t>
      </w:r>
      <w:r>
        <w:t xml:space="preserve">Automatically enroll anyone who clicks a simulated (or real) phishing link into a short refresher module right after the incident, when the lesson is most memorable.</w:t>
      </w:r>
    </w:p>
    <w:p>
      <w:pPr>
        <w:pStyle w:val="ListParagraph"/>
        <w:numPr>
          <w:ilvl w:val="0"/>
          <w:numId w:val="2"/>
        </w:numPr>
        <w:spacing w:after="80" w:line="300"/>
      </w:pPr>
      <w:r>
        <w:rPr>
          <w:b/>
          <w:bCs/>
        </w:rPr>
        <w:t xml:space="preserve">Gamification and recognition: </w:t>
      </w:r>
      <w:r>
        <w:t xml:space="preserve">Reward departments/individuals with low click rates or good reporting behavior to reinforce a positive security culture.</w:t>
      </w:r>
    </w:p>
    <w:p>
      <w:pPr>
        <w:pStyle w:val="Heading2"/>
        <w:spacing w:after="100" w:before="200"/>
      </w:pPr>
      <w:r>
        <w:rPr>
          <w:b/>
          <w:bCs/>
          <w:color w:val="2E75B6"/>
        </w:rPr>
        <w:t xml:space="preserve">4. Recommended Email Security Controls</w:t>
      </w:r>
    </w:p>
    <w:p>
      <w:pPr>
        <w:pStyle w:val="ListParagraph"/>
        <w:numPr>
          <w:ilvl w:val="0"/>
          <w:numId w:val="2"/>
        </w:numPr>
        <w:spacing w:after="80" w:line="300"/>
      </w:pPr>
      <w:r>
        <w:t xml:space="preserve">Deploy email filtering/anti-phishing gateways with SPF, DKIM, and DMARC enforced to block spoofed senders before they reach the inbox.</w:t>
      </w:r>
    </w:p>
    <w:p>
      <w:pPr>
        <w:pStyle w:val="ListParagraph"/>
        <w:numPr>
          <w:ilvl w:val="0"/>
          <w:numId w:val="2"/>
        </w:numPr>
        <w:spacing w:after="80" w:line="300"/>
      </w:pPr>
      <w:r>
        <w:t xml:space="preserve">Enable attachment sandboxing and URL rewriting/scanning so malicious links and files are inspected before the user can interact with them.</w:t>
      </w:r>
    </w:p>
    <w:p>
      <w:pPr>
        <w:pStyle w:val="ListParagraph"/>
        <w:numPr>
          <w:ilvl w:val="0"/>
          <w:numId w:val="2"/>
        </w:numPr>
        <w:spacing w:after="80" w:line="300"/>
      </w:pPr>
      <w:r>
        <w:t xml:space="preserve">Add clear external-sender banners and warning tags on emails originating outside the organization.</w:t>
      </w:r>
    </w:p>
    <w:p>
      <w:pPr>
        <w:pStyle w:val="ListParagraph"/>
        <w:numPr>
          <w:ilvl w:val="0"/>
          <w:numId w:val="2"/>
        </w:numPr>
        <w:spacing w:after="80" w:line="300"/>
      </w:pPr>
      <w:r>
        <w:t xml:space="preserve">Provide a one-click 'Report Phishing' button integrated into the email client for fast reporting to the security team.</w:t>
      </w:r>
    </w:p>
    <w:p>
      <w:pPr>
        <w:pStyle w:val="Heading2"/>
        <w:spacing w:after="100" w:before="200"/>
      </w:pPr>
      <w:r>
        <w:rPr>
          <w:b/>
          <w:bCs/>
          <w:color w:val="2E75B6"/>
        </w:rPr>
        <w:t xml:space="preserve">5. Recommended Organizational Policies</w:t>
      </w:r>
    </w:p>
    <w:p>
      <w:pPr>
        <w:pStyle w:val="ListParagraph"/>
        <w:numPr>
          <w:ilvl w:val="0"/>
          <w:numId w:val="2"/>
        </w:numPr>
        <w:spacing w:after="80" w:line="300"/>
      </w:pPr>
      <w:r>
        <w:t xml:space="preserve">Enforce multi-factor authentication (MFA) on all accounts so a stolen password alone is not enough for account takeover.</w:t>
      </w:r>
    </w:p>
    <w:p>
      <w:pPr>
        <w:pStyle w:val="ListParagraph"/>
        <w:numPr>
          <w:ilvl w:val="0"/>
          <w:numId w:val="2"/>
        </w:numPr>
        <w:spacing w:after="80" w:line="300"/>
      </w:pPr>
      <w:r>
        <w:t xml:space="preserve">Adopt a least-privilege access model so a single compromised account cannot access the entire network or sensitive systems.</w:t>
      </w:r>
    </w:p>
    <w:p>
      <w:pPr>
        <w:pStyle w:val="ListParagraph"/>
        <w:numPr>
          <w:ilvl w:val="0"/>
          <w:numId w:val="2"/>
        </w:numPr>
        <w:spacing w:after="80" w:line="300"/>
      </w:pPr>
      <w:r>
        <w:t xml:space="preserve">Establish a clear incident-response procedure for reporting and containing suspected phishing incidents, including password resets and forensic review.</w:t>
      </w:r>
    </w:p>
    <w:p>
      <w:pPr>
        <w:pStyle w:val="ListParagraph"/>
        <w:numPr>
          <w:ilvl w:val="0"/>
          <w:numId w:val="2"/>
        </w:numPr>
        <w:spacing w:after="80" w:line="300"/>
      </w:pPr>
      <w:r>
        <w:t xml:space="preserve">Maintain an acceptable-use policy that explicitly covers handling of unsolicited links/attachments and consequences of repeated policy violations.</w:t>
      </w:r>
    </w:p>
    <w:p>
      <w:pPr>
        <w:pStyle w:val="Heading2"/>
        <w:spacing w:after="100" w:before="200"/>
      </w:pPr>
      <w:r>
        <w:rPr>
          <w:b/>
          <w:bCs/>
          <w:color w:val="2E75B6"/>
        </w:rPr>
        <w:t xml:space="preserve">6. Conclusion</w:t>
      </w:r>
    </w:p>
    <w:p>
      <w:pPr>
        <w:spacing w:after="140" w:line="300"/>
        <w:jc w:val="both"/>
      </w:pPr>
      <w:r>
        <w:t xml:space="preserve">The campaign results reveal a genuine human-layer vulnerability: technical controls alone will not stop social engineering. A combination of continuous training, simulated phishing, strong email filtering, MFA, and a clear reporting culture is needed to reduce ABC Technologies' exposure to real-world phishing and social engineering attacks.</w:t>
      </w:r>
    </w:p>
    <w:p>
      <w:r>
        <w:br w:type="page"/>
      </w:r>
    </w:p>
    <w:p>
      <w:pPr>
        <w:pStyle w:val="Heading1"/>
        <w:shd w:fill="1F4E79" w:val="clear"/>
        <w:spacing w:after="200" w:before="0"/>
      </w:pPr>
      <w:r>
        <w:rPr>
          <w:b/>
          <w:bCs/>
          <w:color w:val="FFFFFF"/>
        </w:rPr>
        <w:t xml:space="preserve">Question 3 — DNS Zone Transfer (AXFR) Assessment (10 Marks)</w:t>
      </w:r>
    </w:p>
    <w:p>
      <w:pPr>
        <w:pStyle w:val="Heading2"/>
        <w:spacing w:after="100" w:before="200"/>
      </w:pPr>
      <w:r>
        <w:rPr>
          <w:b/>
          <w:bCs/>
          <w:color w:val="2E75B6"/>
        </w:rPr>
        <w:t xml:space="preserve">1. Report Interpretation</w:t>
      </w:r>
    </w:p>
    <w:p>
      <w:pPr>
        <w:spacing w:after="140" w:line="300"/>
        <w:jc w:val="both"/>
      </w:pPr>
      <w:r>
        <w:t xml:space="preserve">The Dig-based DNS assessment shows that the organization's authoritative name server accepts an unauthenticated AXFR (zone transfer) request from an external/untrusted source. This means anyone who queries the DNS server can retrieve the complete zone file — every hostname, subdomain, IP mapping, and record the organization has published internally — in a single request, without needing to guess or brute-force names.</w:t>
      </w:r>
    </w:p>
    <w:p>
      <w:pPr>
        <w:pStyle w:val="Heading2"/>
        <w:spacing w:after="100" w:before="200"/>
      </w:pPr>
      <w:r>
        <w:rPr>
          <w:b/>
          <w:bCs/>
          <w:color w:val="2E75B6"/>
        </w:rPr>
        <w:t xml:space="preserve">2. Security Implications of the Exposed Information</w:t>
      </w:r>
    </w:p>
    <w:p>
      <w:pPr>
        <w:pStyle w:val="ListParagraph"/>
        <w:numPr>
          <w:ilvl w:val="0"/>
          <w:numId w:val="2"/>
        </w:numPr>
        <w:spacing w:after="80" w:line="300"/>
      </w:pPr>
      <w:r>
        <w:t xml:space="preserve">Full internal network mapping: attackers instantly learn hostnames for servers, workstations, and network devices that were never meant to be public.</w:t>
      </w:r>
    </w:p>
    <w:p>
      <w:pPr>
        <w:pStyle w:val="ListParagraph"/>
        <w:numPr>
          <w:ilvl w:val="0"/>
          <w:numId w:val="2"/>
        </w:numPr>
        <w:spacing w:after="80" w:line="300"/>
      </w:pPr>
      <w:r>
        <w:t xml:space="preserve">Mail server disclosure (MX records): reveals the mail infrastructure, aiding targeted phishing or direct attacks on the mail server.</w:t>
      </w:r>
    </w:p>
    <w:p>
      <w:pPr>
        <w:pStyle w:val="ListParagraph"/>
        <w:numPr>
          <w:ilvl w:val="0"/>
          <w:numId w:val="2"/>
        </w:numPr>
        <w:spacing w:after="80" w:line="300"/>
      </w:pPr>
      <w:r>
        <w:t xml:space="preserve">Identification of hidden/staging systems: subdomains such as dev, test, vpn, or admin panels are exposed, giving attackers a prioritized target list.</w:t>
      </w:r>
    </w:p>
    <w:p>
      <w:pPr>
        <w:pStyle w:val="ListParagraph"/>
        <w:numPr>
          <w:ilvl w:val="0"/>
          <w:numId w:val="2"/>
        </w:numPr>
        <w:spacing w:after="80" w:line="300"/>
      </w:pPr>
      <w:r>
        <w:t xml:space="preserve">Reduced reconnaissance effort: what would normally take extensive subdomain brute-forcing is handed over instantly, drastically shortening the attacker's preparation time.</w:t>
      </w:r>
    </w:p>
    <w:p>
      <w:pPr>
        <w:pStyle w:val="Heading2"/>
        <w:spacing w:after="100" w:before="200"/>
      </w:pPr>
      <w:r>
        <w:rPr>
          <w:b/>
          <w:bCs/>
          <w:color w:val="2E75B6"/>
        </w:rPr>
        <w:t xml:space="preserve">3. How Attackers Could Exploit These Findings</w:t>
      </w:r>
    </w:p>
    <w:p>
      <w:pPr>
        <w:pStyle w:val="ListParagraph"/>
        <w:numPr>
          <w:ilvl w:val="0"/>
          <w:numId w:val="2"/>
        </w:numPr>
        <w:spacing w:after="80" w:line="300"/>
      </w:pPr>
      <w:r>
        <w:t xml:space="preserve">Use the disclosed hostnames/IPs to run targeted port scans and vulnerability scans against each discovered system rather than the whole IP range.</w:t>
      </w:r>
    </w:p>
    <w:p>
      <w:pPr>
        <w:pStyle w:val="ListParagraph"/>
        <w:numPr>
          <w:ilvl w:val="0"/>
          <w:numId w:val="2"/>
        </w:numPr>
        <w:spacing w:after="80" w:line="300"/>
      </w:pPr>
      <w:r>
        <w:t xml:space="preserve">Target the mail server directly for spoofing, spam relay abuse, or credential phishing campaigns using accurate internal naming.</w:t>
      </w:r>
    </w:p>
    <w:p>
      <w:pPr>
        <w:pStyle w:val="ListParagraph"/>
        <w:numPr>
          <w:ilvl w:val="0"/>
          <w:numId w:val="2"/>
        </w:numPr>
        <w:spacing w:after="80" w:line="300"/>
      </w:pPr>
      <w:r>
        <w:t xml:space="preserve">Attack exposed staging/admin subdomains, which are often less hardened than production systems, as an easier foothold into the network.</w:t>
      </w:r>
    </w:p>
    <w:p>
      <w:pPr>
        <w:pStyle w:val="ListParagraph"/>
        <w:numPr>
          <w:ilvl w:val="0"/>
          <w:numId w:val="2"/>
        </w:numPr>
        <w:spacing w:after="80" w:line="300"/>
      </w:pPr>
      <w:r>
        <w:t xml:space="preserve">Combine the zone data with social engineering (using real internal server/department names) to make phishing emails far more convincing.</w:t>
      </w:r>
    </w:p>
    <w:p>
      <w:pPr>
        <w:pStyle w:val="Heading2"/>
        <w:spacing w:after="100" w:before="200"/>
      </w:pPr>
      <w:r>
        <w:rPr>
          <w:b/>
          <w:bCs/>
          <w:color w:val="2E75B6"/>
        </w:rPr>
        <w:t xml:space="preserve">4. Best Practices to Secure the DNS Infrastructure</w:t>
      </w:r>
    </w:p>
    <w:p>
      <w:pPr>
        <w:pStyle w:val="ListParagraph"/>
        <w:numPr>
          <w:ilvl w:val="0"/>
          <w:numId w:val="2"/>
        </w:numPr>
        <w:spacing w:after="80" w:line="300"/>
      </w:pPr>
      <w:r>
        <w:rPr>
          <w:b/>
          <w:bCs/>
        </w:rPr>
        <w:t xml:space="preserve">Restrict zone transfers: </w:t>
      </w:r>
      <w:r>
        <w:t xml:space="preserve">Configure the DNS server to allow AXFR only to explicitly whitelisted secondary/slave name server IP addresses.</w:t>
      </w:r>
    </w:p>
    <w:p>
      <w:pPr>
        <w:pStyle w:val="ListParagraph"/>
        <w:numPr>
          <w:ilvl w:val="0"/>
          <w:numId w:val="2"/>
        </w:numPr>
        <w:spacing w:after="80" w:line="300"/>
      </w:pPr>
      <w:r>
        <w:rPr>
          <w:b/>
          <w:bCs/>
        </w:rPr>
        <w:t xml:space="preserve">Use TSIG authentication: </w:t>
      </w:r>
      <w:r>
        <w:t xml:space="preserve">Require transaction signatures (TSIG keys) so zone transfers are cryptographically authenticated between primary and secondary servers.</w:t>
      </w:r>
    </w:p>
    <w:p>
      <w:pPr>
        <w:pStyle w:val="ListParagraph"/>
        <w:numPr>
          <w:ilvl w:val="0"/>
          <w:numId w:val="2"/>
        </w:numPr>
        <w:spacing w:after="80" w:line="300"/>
      </w:pPr>
      <w:r>
        <w:rPr>
          <w:b/>
          <w:bCs/>
        </w:rPr>
        <w:t xml:space="preserve">Split-horizon DNS: </w:t>
      </w:r>
      <w:r>
        <w:t xml:space="preserve">Maintain separate internal and external DNS views so internal hostnames are never resolvable or transferable from the public internet.</w:t>
      </w:r>
    </w:p>
    <w:p>
      <w:pPr>
        <w:pStyle w:val="ListParagraph"/>
        <w:numPr>
          <w:ilvl w:val="0"/>
          <w:numId w:val="2"/>
        </w:numPr>
        <w:spacing w:after="80" w:line="300"/>
      </w:pPr>
      <w:r>
        <w:rPr>
          <w:b/>
          <w:bCs/>
        </w:rPr>
        <w:t xml:space="preserve">Minimize published records: </w:t>
      </w:r>
      <w:r>
        <w:t xml:space="preserve">Avoid creating public DNS entries for internal-only or sensitive systems (dev, admin, backup, etc.).</w:t>
      </w:r>
    </w:p>
    <w:p>
      <w:pPr>
        <w:pStyle w:val="ListParagraph"/>
        <w:numPr>
          <w:ilvl w:val="0"/>
          <w:numId w:val="2"/>
        </w:numPr>
        <w:spacing w:after="80" w:line="300"/>
      </w:pPr>
      <w:r>
        <w:rPr>
          <w:b/>
          <w:bCs/>
        </w:rPr>
        <w:t xml:space="preserve">Monitor and audit: </w:t>
      </w:r>
      <w:r>
        <w:t xml:space="preserve">Regularly test the DNS server with tools like dig axfr from external vantage points and monitor logs for unauthorized transfer attempts.</w:t>
      </w:r>
    </w:p>
    <w:p>
      <w:pPr>
        <w:pStyle w:val="Heading2"/>
        <w:spacing w:after="100" w:before="200"/>
      </w:pPr>
      <w:r>
        <w:rPr>
          <w:b/>
          <w:bCs/>
          <w:color w:val="2E75B6"/>
        </w:rPr>
        <w:t xml:space="preserve">5. Conclusion</w:t>
      </w:r>
    </w:p>
    <w:p>
      <w:pPr>
        <w:spacing w:after="140" w:line="300"/>
        <w:jc w:val="both"/>
      </w:pPr>
      <w:r>
        <w:t xml:space="preserve">An open AXFR zone transfer converts routine DNS reconnaissance into a complete internal network disclosure. Restricting transfers to authenticated secondary servers, using split-horizon DNS, and regularly auditing DNS configuration are essential to prevent attackers from mapping the organization's infrastructure in a single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2026-08-05T09:24:21.432Z</dcterms:created>
  <dcterms:modified xsi:type="dcterms:W3CDTF">2026-08-05T09:24:21.444Z</dcterms:modified>
</cp:coreProperties>
</file>

<file path=docProps/custom.xml><?xml version="1.0" encoding="utf-8"?>
<Properties xmlns="http://schemas.openxmlformats.org/officeDocument/2006/custom-properties" xmlns:vt="http://schemas.openxmlformats.org/officeDocument/2006/docPropsVTypes"/>
</file>