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Assurity Commissions rules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0000ee"/>
            <w:u w:val="single"/>
            <w:rtl w:val="0"/>
          </w:rPr>
          <w:t xml:space="preserve">Assurity Internal Replacement Ex</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COMMISSIONS ON INTERNAL REPLACEMENTS. A newly issued policy of any type and its riders will be considered an internal replacement whenever another policy or rider in this Company on the Insured has been surrendered, lapsed or been continued on a nonforfeiture option during the 12 months preceding or the 12 months following the date of issue of the new policy or rider. If another policy or rider in this Company has been changed, modified or converted in any manner, so that some portion of the policy or rider has in effect been lapsed, surrendered or continued under a nonforfeiture option, a portion of the newly issued policy may be considered an “internal replacement.” If under the above rules, a new policy or rider is an internal replacement, first-year commissions, if any (see below), will be paid only on any “new premium,” that is, the increase in premium over the premium on which first-year commission was paid on the policies or riders being replaced. Note: for universal life policies “new premium” means an increase in the lesser of target premiums or paid premiums. For the first year of the new policy or rider, the second year commission rate will be paid on the replaced premium. Notwithstanding the above, no commissions will be paid on net cash values transferred from existing policies or riders in this Company to any policies or riders in this Company whether obtained by surrender, borrowing or any other internal transfer. “Net cash values” for annuity policies means the annuitant’s account balance minus surrender charges (if any). “Net cash values” for life policies means surrender value (excluding dividend values). Beginning with the second policy year, the standard renewal commission rates and duration will apply to the total premium.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Advance: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Assurity pays 9 month advance </w:t>
      </w:r>
    </w:p>
    <w:p w:rsidR="00000000" w:rsidDel="00000000" w:rsidP="00000000" w:rsidRDefault="00000000" w:rsidRPr="00000000" w14:paraId="0000000B">
      <w:pPr>
        <w:rPr/>
      </w:pPr>
      <w:r w:rsidDel="00000000" w:rsidR="00000000" w:rsidRPr="00000000">
        <w:rPr>
          <w:rtl w:val="0"/>
        </w:rPr>
        <w:t xml:space="preserve">Commissions processed weekly on wednesday. Commission transactions include M-f of prior week . Must also check if a Renewal commission statement is available for that week. Renewal commission statements post last day of month and 15th of the month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A_IC6fF0LDb9IgB0vkZOS-6ute7x1HOQmYRiqNp74T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