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I. Comparative Summary of Multimodal and Biomarker-Based AI Approaches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Approach (Modalities, Architecture, &amp; Focus)</w:t>
            </w:r>
          </w:p>
        </w:tc>
        <w:tc>
          <w:tcPr>
            <w:tcW w:type="dxa" w:w="1728"/>
          </w:tcPr>
          <w:p>
            <w:r>
              <w:t>Advantages</w:t>
            </w:r>
          </w:p>
        </w:tc>
        <w:tc>
          <w:tcPr>
            <w:tcW w:type="dxa" w:w="1728"/>
          </w:tcPr>
          <w:p>
            <w:r>
              <w:t>Disadvantages</w:t>
            </w:r>
          </w:p>
        </w:tc>
        <w:tc>
          <w:tcPr>
            <w:tcW w:type="dxa" w:w="1728"/>
          </w:tcPr>
          <w:p>
            <w:r>
              <w:t>Gaps &amp; Space for Improvement</w:t>
            </w:r>
          </w:p>
        </w:tc>
      </w:tr>
      <w:tr>
        <w:tc>
          <w:tcPr>
            <w:tcW w:type="dxa" w:w="1728"/>
          </w:tcPr>
          <w:p>
            <w:r>
              <w:t>Pradnyana et al. (2025)</w:t>
            </w:r>
          </w:p>
        </w:tc>
        <w:tc>
          <w:tcPr>
            <w:tcW w:type="dxa" w:w="1728"/>
          </w:tcPr>
          <w:p>
            <w:r>
              <w:t>Personalized depression detection (Text, Image, &amp; Personality Traits/MBTI) fused using Adaptive Gated Fusion (AGF) and Cross-Modal Attention (CMA).</w:t>
            </w:r>
          </w:p>
        </w:tc>
        <w:tc>
          <w:tcPr>
            <w:tcW w:type="dxa" w:w="1728"/>
          </w:tcPr>
          <w:p>
            <w:r>
              <w:t>Integrates personality traits for personalized detection. AGF dynamically adjusts modality contributions.</w:t>
            </w:r>
          </w:p>
        </w:tc>
        <w:tc>
          <w:tcPr>
            <w:tcW w:type="dxa" w:w="1728"/>
          </w:tcPr>
          <w:p>
            <w:r>
              <w:t>Relies on social media data (inherently noisy/unstructured). Requires an external personality inference step.</w:t>
            </w:r>
          </w:p>
        </w:tc>
        <w:tc>
          <w:tcPr>
            <w:tcW w:type="dxa" w:w="1728"/>
          </w:tcPr>
          <w:p>
            <w:r>
              <w:t>Need for longitudinal validation and capturing temporal patterns/progression of symptoms. Must enhance interpretability (SHAP/LIME) for clinical trust.</w:t>
            </w:r>
          </w:p>
        </w:tc>
      </w:tr>
      <w:tr>
        <w:tc>
          <w:tcPr>
            <w:tcW w:type="dxa" w:w="1728"/>
          </w:tcPr>
          <w:p>
            <w:r>
              <w:t>Yang et al. (2025)</w:t>
            </w:r>
          </w:p>
        </w:tc>
        <w:tc>
          <w:tcPr>
            <w:tcW w:type="dxa" w:w="1728"/>
          </w:tcPr>
          <w:p>
            <w:r>
              <w:t>Multimodal Emotion Recognition (Audio, Visual, Textual) via Attention Aggregation (AAT) and Cross-Modal Graph Fusion (CGF).</w:t>
            </w:r>
          </w:p>
        </w:tc>
        <w:tc>
          <w:tcPr>
            <w:tcW w:type="dxa" w:w="1728"/>
          </w:tcPr>
          <w:p>
            <w:r>
              <w:t>Advanced Graph Fusion (CGF) models complex, dynamic inter-modal graph relationships. Achieved high performance across multiple benchmarks.</w:t>
            </w:r>
          </w:p>
        </w:tc>
        <w:tc>
          <w:tcPr>
            <w:tcW w:type="dxa" w:w="1728"/>
          </w:tcPr>
          <w:p>
            <w:r>
              <w:t>Computationally intensive model complexity. Graph models complicate basic interpretability.</w:t>
            </w:r>
          </w:p>
        </w:tc>
        <w:tc>
          <w:tcPr>
            <w:tcW w:type="dxa" w:w="1728"/>
          </w:tcPr>
          <w:p>
            <w:r>
              <w:t>Requires application in real-time scenarios and exploration of cross-cultural transfer to diverse populations.</w:t>
            </w:r>
          </w:p>
        </w:tc>
      </w:tr>
      <w:tr>
        <w:tc>
          <w:tcPr>
            <w:tcW w:type="dxa" w:w="1728"/>
          </w:tcPr>
          <w:p>
            <w:r>
              <w:t>Liu et al. (2023)</w:t>
            </w:r>
          </w:p>
        </w:tc>
        <w:tc>
          <w:tcPr>
            <w:tcW w:type="dxa" w:w="1728"/>
          </w:tcPr>
          <w:p>
            <w:r>
              <w:t>Emotion Recognition using EEG and Eye Movement Signals fused with a Multitask Adversarial Training scheme and Attention.</w:t>
            </w:r>
          </w:p>
        </w:tc>
        <w:tc>
          <w:tcPr>
            <w:tcW w:type="dxa" w:w="1728"/>
          </w:tcPr>
          <w:p>
            <w:r>
              <w:t>Focuses on fusing direct physiological signals. Adversarial training explicitly preserves complementary information. Achieved 94.8% accuracy.</w:t>
            </w:r>
          </w:p>
        </w:tc>
        <w:tc>
          <w:tcPr>
            <w:tcW w:type="dxa" w:w="1728"/>
          </w:tcPr>
          <w:p>
            <w:r>
              <w:t>High hardware cost for data collection. Model performance fluctuates across subjects.</w:t>
            </w:r>
          </w:p>
        </w:tc>
        <w:tc>
          <w:tcPr>
            <w:tcW w:type="dxa" w:w="1728"/>
          </w:tcPr>
          <w:p>
            <w:r>
              <w:t>Needs stable performance across subjects and datasets. Must evaluate on more datasets for generalization.</w:t>
            </w:r>
          </w:p>
        </w:tc>
      </w:tr>
      <w:tr>
        <w:tc>
          <w:tcPr>
            <w:tcW w:type="dxa" w:w="1728"/>
          </w:tcPr>
          <w:p>
            <w:r>
              <w:t>Kumar &amp; France (2025)</w:t>
            </w:r>
          </w:p>
        </w:tc>
        <w:tc>
          <w:tcPr>
            <w:tcW w:type="dxa" w:w="1728"/>
          </w:tcPr>
          <w:p>
            <w:r>
              <w:t>PD detection using Speech Biomarkers (Jitter, HNR, DFA) classified by IF-XGBoost augmented with SHAP.</w:t>
            </w:r>
          </w:p>
        </w:tc>
        <w:tc>
          <w:tcPr>
            <w:tcW w:type="dxa" w:w="1728"/>
          </w:tcPr>
          <w:p>
            <w:r>
              <w:t>Explainable AI (SHAP) enhances clinical transparency. Achieved 96.61% accuracy.</w:t>
            </w:r>
          </w:p>
        </w:tc>
        <w:tc>
          <w:tcPr>
            <w:tcW w:type="dxa" w:w="1728"/>
          </w:tcPr>
          <w:p>
            <w:r>
              <w:t>Single modality (voice). Small, imbalanced dataset.</w:t>
            </w:r>
          </w:p>
        </w:tc>
        <w:tc>
          <w:tcPr>
            <w:tcW w:type="dxa" w:w="1728"/>
          </w:tcPr>
          <w:p>
            <w:r>
              <w:t>Integrate modalities (handwriting, gait). Deploy in real clinical environments.</w:t>
            </w:r>
          </w:p>
        </w:tc>
      </w:tr>
      <w:tr>
        <w:tc>
          <w:tcPr>
            <w:tcW w:type="dxa" w:w="1728"/>
          </w:tcPr>
          <w:p>
            <w:r>
              <w:t>Zhu et al. (2022)</w:t>
            </w:r>
          </w:p>
        </w:tc>
        <w:tc>
          <w:tcPr>
            <w:tcW w:type="dxa" w:w="1728"/>
          </w:tcPr>
          <w:p>
            <w:r>
              <w:t>Dementia detection using Speech Pause Features (WavBERT model) analyzed via Adversarial Learning.</w:t>
            </w:r>
          </w:p>
        </w:tc>
        <w:tc>
          <w:tcPr>
            <w:tcW w:type="dxa" w:w="1728"/>
          </w:tcPr>
          <w:p>
            <w:r>
              <w:t>Validates XAI for temporal biomarkers. Identifies dementia-sensitive pauses.</w:t>
            </w:r>
          </w:p>
        </w:tc>
        <w:tc>
          <w:tcPr>
            <w:tcW w:type="dxa" w:w="1728"/>
          </w:tcPr>
          <w:p>
            <w:r>
              <w:t>Model misinterprets ASR misspelling errors. Single modality.</w:t>
            </w:r>
          </w:p>
        </w:tc>
        <w:tc>
          <w:tcPr>
            <w:tcW w:type="dxa" w:w="1728"/>
          </w:tcPr>
          <w:p>
            <w:r>
              <w:t>Use large-scale pre-training to solve misspelling issues.</w:t>
            </w:r>
          </w:p>
        </w:tc>
      </w:tr>
      <w:tr>
        <w:tc>
          <w:tcPr>
            <w:tcW w:type="dxa" w:w="1728"/>
          </w:tcPr>
          <w:p>
            <w:r>
              <w:t>Jiang et al. (2024)</w:t>
            </w:r>
          </w:p>
        </w:tc>
        <w:tc>
          <w:tcPr>
            <w:tcW w:type="dxa" w:w="1728"/>
          </w:tcPr>
          <w:p>
            <w:r>
              <w:t>Depression/Anxiety detection via Facial, Vocal, Linguistic, and rPPG multimodal fusion.</w:t>
            </w:r>
          </w:p>
        </w:tc>
        <w:tc>
          <w:tcPr>
            <w:tcW w:type="dxa" w:w="1728"/>
          </w:tcPr>
          <w:p>
            <w:r>
              <w:t>Low-cost remote assessment. Uses broad biomarker set.</w:t>
            </w:r>
          </w:p>
        </w:tc>
        <w:tc>
          <w:tcPr>
            <w:tcW w:type="dxa" w:w="1728"/>
          </w:tcPr>
          <w:p>
            <w:r>
              <w:t>Data sparsity limits temporal modeling. Device heterogeneity introduces bias.</w:t>
            </w:r>
          </w:p>
        </w:tc>
        <w:tc>
          <w:tcPr>
            <w:tcW w:type="dxa" w:w="1728"/>
          </w:tcPr>
          <w:p>
            <w:r>
              <w:t>Investigate biases from different devices. Improve model interpretability.</w:t>
            </w:r>
          </w:p>
        </w:tc>
      </w:tr>
      <w:tr>
        <w:tc>
          <w:tcPr>
            <w:tcW w:type="dxa" w:w="1728"/>
          </w:tcPr>
          <w:p>
            <w:r>
              <w:t>Pacheco-Lorenzo et al. (2024)</w:t>
            </w:r>
          </w:p>
        </w:tc>
        <w:tc>
          <w:tcPr>
            <w:tcW w:type="dxa" w:w="1728"/>
          </w:tcPr>
          <w:p>
            <w:r>
              <w:t>Cognitive impairment screening using Voice Biomarkers from smart-speaker interactions.</w:t>
            </w:r>
          </w:p>
        </w:tc>
        <w:tc>
          <w:tcPr>
            <w:tcW w:type="dxa" w:w="1728"/>
          </w:tcPr>
          <w:p>
            <w:r>
              <w:t>Validates speech as a non-invasive screening tool. Ecological setting.</w:t>
            </w:r>
          </w:p>
        </w:tc>
        <w:tc>
          <w:tcPr>
            <w:tcW w:type="dxa" w:w="1728"/>
          </w:tcPr>
          <w:p>
            <w:r>
              <w:t>Small, non-diverse sample. Mixed conversation types reduce performance.</w:t>
            </w:r>
          </w:p>
        </w:tc>
        <w:tc>
          <w:tcPr>
            <w:tcW w:type="dxa" w:w="1728"/>
          </w:tcPr>
          <w:p>
            <w:r>
              <w:t>Larger, more diverse participant populations needed; multilingual validation required.</w:t>
            </w:r>
          </w:p>
        </w:tc>
      </w:tr>
      <w:tr>
        <w:tc>
          <w:tcPr>
            <w:tcW w:type="dxa" w:w="1728"/>
          </w:tcPr>
          <w:p>
            <w:r>
              <w:t>Sztahó et al. (2018)</w:t>
            </w:r>
          </w:p>
        </w:tc>
        <w:tc>
          <w:tcPr>
            <w:tcW w:type="dxa" w:w="1728"/>
          </w:tcPr>
          <w:p>
            <w:r>
              <w:t>Multi-class separation of Depression, PD, and Phonation Disorders using Correlation Structure of time-shifted speech.</w:t>
            </w:r>
          </w:p>
        </w:tc>
        <w:tc>
          <w:tcPr>
            <w:tcW w:type="dxa" w:w="1728"/>
          </w:tcPr>
          <w:p>
            <w:r>
              <w:t>Novel multi-disease separation approach. Achieved 77.59% accuracy.</w:t>
            </w:r>
          </w:p>
        </w:tc>
        <w:tc>
          <w:tcPr>
            <w:tcW w:type="dxa" w:w="1728"/>
          </w:tcPr>
          <w:p>
            <w:r>
              <w:t>High confusion among phonation-disorder subtypes.</w:t>
            </w:r>
          </w:p>
        </w:tc>
        <w:tc>
          <w:tcPr>
            <w:tcW w:type="dxa" w:w="1728"/>
          </w:tcPr>
          <w:p>
            <w:r>
              <w:t>If phonation types need separation, add new acoustic parameters.</w:t>
            </w:r>
          </w:p>
        </w:tc>
      </w:tr>
      <w:tr>
        <w:tc>
          <w:tcPr>
            <w:tcW w:type="dxa" w:w="1728"/>
          </w:tcPr>
          <w:p>
            <w:r>
              <w:t>Minhas et al. (2018)</w:t>
            </w:r>
          </w:p>
        </w:tc>
        <w:tc>
          <w:tcPr>
            <w:tcW w:type="dxa" w:w="1728"/>
          </w:tcPr>
          <w:p>
            <w:r>
              <w:t>MCI-to-AD progression prediction using MRI + neuropsychological scores via Autoregressive (AR) modeling.</w:t>
            </w:r>
          </w:p>
        </w:tc>
        <w:tc>
          <w:tcPr>
            <w:tcW w:type="dxa" w:w="1728"/>
          </w:tcPr>
          <w:p>
            <w:r>
              <w:t>Models longitudinal biomarker evolution. Multi-predictor models outperform single features.</w:t>
            </w:r>
          </w:p>
        </w:tc>
        <w:tc>
          <w:tcPr>
            <w:tcW w:type="dxa" w:w="1728"/>
          </w:tcPr>
          <w:p>
            <w:r>
              <w:t>Poor performance with simple imputation (LOCF). Short follow-up (3 years).</w:t>
            </w:r>
          </w:p>
        </w:tc>
        <w:tc>
          <w:tcPr>
            <w:tcW w:type="dxa" w:w="1728"/>
          </w:tcPr>
          <w:p>
            <w:r>
              <w:t>Need improved imputation and longer follow-up studies.</w:t>
            </w:r>
          </w:p>
        </w:tc>
      </w:tr>
      <w:tr>
        <w:tc>
          <w:tcPr>
            <w:tcW w:type="dxa" w:w="1728"/>
          </w:tcPr>
          <w:p>
            <w:r>
              <w:t>Luz et al. (2023)</w:t>
            </w:r>
          </w:p>
        </w:tc>
        <w:tc>
          <w:tcPr>
            <w:tcW w:type="dxa" w:w="1728"/>
          </w:tcPr>
          <w:p>
            <w:r>
              <w:t>Multilingual AD detection from spontaneous speech (eGeMAPS) English→Greek.</w:t>
            </w:r>
          </w:p>
        </w:tc>
        <w:tc>
          <w:tcPr>
            <w:tcW w:type="dxa" w:w="1728"/>
          </w:tcPr>
          <w:p>
            <w:r>
              <w:t>Demonstrated cross-lingual generalizability. Controls for bias via matched datasets.</w:t>
            </w:r>
          </w:p>
        </w:tc>
        <w:tc>
          <w:tcPr>
            <w:tcW w:type="dxa" w:w="1728"/>
          </w:tcPr>
          <w:p>
            <w:r>
              <w:t>Relies on simple acoustic features.</w:t>
            </w:r>
          </w:p>
        </w:tc>
        <w:tc>
          <w:tcPr>
            <w:tcW w:type="dxa" w:w="1728"/>
          </w:tcPr>
          <w:p>
            <w:r>
              <w:t>Identify which features best transfer across languages.</w:t>
            </w:r>
          </w:p>
        </w:tc>
      </w:tr>
      <w:tr>
        <w:tc>
          <w:tcPr>
            <w:tcW w:type="dxa" w:w="1728"/>
          </w:tcPr>
          <w:p>
            <w:r>
              <w:t>Liu et al. (2025)</w:t>
            </w:r>
          </w:p>
        </w:tc>
        <w:tc>
          <w:tcPr>
            <w:tcW w:type="dxa" w:w="1728"/>
          </w:tcPr>
          <w:p>
            <w:r>
              <w:t>Student psychological prediction using LSTM with multimodal learning analytics (Visual, Behavioral, Text).</w:t>
            </w:r>
          </w:p>
        </w:tc>
        <w:tc>
          <w:tcPr>
            <w:tcW w:type="dxa" w:w="1728"/>
          </w:tcPr>
          <w:p>
            <w:r>
              <w:t>Real-time prediction. Handles heterogeneous sampling.</w:t>
            </w:r>
          </w:p>
        </w:tc>
        <w:tc>
          <w:tcPr>
            <w:tcW w:type="dxa" w:w="1728"/>
          </w:tcPr>
          <w:p>
            <w:r>
              <w:t>Bias: lower F1 for darker skin tones. No physiological signals.</w:t>
            </w:r>
          </w:p>
        </w:tc>
        <w:tc>
          <w:tcPr>
            <w:tcW w:type="dxa" w:w="1728"/>
          </w:tcPr>
          <w:p>
            <w:r>
              <w:t>Federated learning recommended. Integrate environment–physiology–behavior modalities.</w:t>
            </w:r>
          </w:p>
        </w:tc>
      </w:tr>
      <w:tr>
        <w:tc>
          <w:tcPr>
            <w:tcW w:type="dxa" w:w="1728"/>
          </w:tcPr>
          <w:p>
            <w:r>
              <w:t>Govind et al. (2023)</w:t>
            </w:r>
          </w:p>
        </w:tc>
        <w:tc>
          <w:tcPr>
            <w:tcW w:type="dxa" w:w="1728"/>
          </w:tcPr>
          <w:p>
            <w:r>
              <w:t>Trimodal (Audio, Video, Text) early fusion + PCA + Logistic Regression for depression detection.</w:t>
            </w:r>
          </w:p>
        </w:tc>
        <w:tc>
          <w:tcPr>
            <w:tcW w:type="dxa" w:w="1728"/>
          </w:tcPr>
          <w:p>
            <w:r>
              <w:t>High F1 (98%) with simple ML. Shows value of trimodal fusion.</w:t>
            </w:r>
          </w:p>
        </w:tc>
        <w:tc>
          <w:tcPr>
            <w:tcW w:type="dxa" w:w="1728"/>
          </w:tcPr>
          <w:p>
            <w:r>
              <w:t>Early fusion lacks dynamic weighting; deep models underperform with small data.</w:t>
            </w:r>
          </w:p>
        </w:tc>
        <w:tc>
          <w:tcPr>
            <w:tcW w:type="dxa" w:w="1728"/>
          </w:tcPr>
          <w:p>
            <w:r>
              <w:t>Investigate deep fusion methods. Improve dataset size.</w:t>
            </w:r>
          </w:p>
        </w:tc>
      </w:tr>
      <w:tr>
        <w:tc>
          <w:tcPr>
            <w:tcW w:type="dxa" w:w="1728"/>
          </w:tcPr>
          <w:p>
            <w:r>
              <w:t>Gheorghe et al. (2023)</w:t>
            </w:r>
          </w:p>
        </w:tc>
        <w:tc>
          <w:tcPr>
            <w:tcW w:type="dxa" w:w="1728"/>
          </w:tcPr>
          <w:p>
            <w:r>
              <w:t>Unimodal speech-based depression detection using MFCC, APF, SPF features with 1D‑CNN.</w:t>
            </w:r>
          </w:p>
        </w:tc>
        <w:tc>
          <w:tcPr>
            <w:tcW w:type="dxa" w:w="1728"/>
          </w:tcPr>
          <w:p>
            <w:r>
              <w:t>Strong accuracy (92.10%). Language-independent.</w:t>
            </w:r>
          </w:p>
        </w:tc>
        <w:tc>
          <w:tcPr>
            <w:tcW w:type="dxa" w:w="1728"/>
          </w:tcPr>
          <w:p>
            <w:r>
              <w:t>Single modality. SMOTE oversampling adds no new info.</w:t>
            </w:r>
          </w:p>
        </w:tc>
        <w:tc>
          <w:tcPr>
            <w:tcW w:type="dxa" w:w="1728"/>
          </w:tcPr>
          <w:p>
            <w:r>
              <w:t>Explore cross-lingual transfer learning.</w:t>
            </w:r>
          </w:p>
        </w:tc>
      </w:tr>
      <w:tr>
        <w:tc>
          <w:tcPr>
            <w:tcW w:type="dxa" w:w="1728"/>
          </w:tcPr>
          <w:p>
            <w:r>
              <w:t>Kowalewski et al. (2023)</w:t>
            </w:r>
          </w:p>
        </w:tc>
        <w:tc>
          <w:tcPr>
            <w:tcW w:type="dxa" w:w="1728"/>
          </w:tcPr>
          <w:p>
            <w:r>
              <w:t>Multimodal depression detection via Audio &amp; Video + XGBoost.</w:t>
            </w:r>
          </w:p>
        </w:tc>
        <w:tc>
          <w:tcPr>
            <w:tcW w:type="dxa" w:w="1728"/>
          </w:tcPr>
          <w:p>
            <w:r>
              <w:t>Robust to heterogeneous features. F1 = 0.77.</w:t>
            </w:r>
          </w:p>
        </w:tc>
        <w:tc>
          <w:tcPr>
            <w:tcW w:type="dxa" w:w="1728"/>
          </w:tcPr>
          <w:p>
            <w:r>
              <w:t>No linguistic/text modality.</w:t>
            </w:r>
          </w:p>
        </w:tc>
        <w:tc>
          <w:tcPr>
            <w:tcW w:type="dxa" w:w="1728"/>
          </w:tcPr>
          <w:p>
            <w:r>
              <w:t>Add sentiment/linguistic signals to improve performance.</w:t>
            </w:r>
          </w:p>
        </w:tc>
      </w:tr>
      <w:tr>
        <w:tc>
          <w:tcPr>
            <w:tcW w:type="dxa" w:w="1728"/>
          </w:tcPr>
          <w:p>
            <w:r>
              <w:t>Kumar &amp; Nelson (2024)</w:t>
            </w:r>
          </w:p>
        </w:tc>
        <w:tc>
          <w:tcPr>
            <w:tcW w:type="dxa" w:w="1728"/>
          </w:tcPr>
          <w:p>
            <w:r>
              <w:t>AD stage classification via CNN on MRI images.</w:t>
            </w:r>
          </w:p>
        </w:tc>
        <w:tc>
          <w:tcPr>
            <w:tcW w:type="dxa" w:w="1728"/>
          </w:tcPr>
          <w:p>
            <w:r>
              <w:t>High accuracy (98.80%). Strong benchmark for structural imaging.</w:t>
            </w:r>
          </w:p>
        </w:tc>
        <w:tc>
          <w:tcPr>
            <w:tcW w:type="dxa" w:w="1728"/>
          </w:tcPr>
          <w:p>
            <w:r>
              <w:t>Expensive data acquisition. Low interpretability.</w:t>
            </w:r>
          </w:p>
        </w:tc>
        <w:tc>
          <w:tcPr>
            <w:tcW w:type="dxa" w:w="1728"/>
          </w:tcPr>
          <w:p>
            <w:r>
              <w:t>Add XAI; improve early‑stage discrimination.</w:t>
            </w:r>
          </w:p>
        </w:tc>
      </w:tr>
      <w:tr>
        <w:tc>
          <w:tcPr>
            <w:tcW w:type="dxa" w:w="1728"/>
          </w:tcPr>
          <w:p>
            <w:r>
              <w:t>Saidi et al. (2020)</w:t>
            </w:r>
          </w:p>
        </w:tc>
        <w:tc>
          <w:tcPr>
            <w:tcW w:type="dxa" w:w="1728"/>
          </w:tcPr>
          <w:p>
            <w:r>
              <w:t>Audio-only depression detection using spectrograms and hybrid CNN‑SVM.</w:t>
            </w:r>
          </w:p>
        </w:tc>
        <w:tc>
          <w:tcPr>
            <w:tcW w:type="dxa" w:w="1728"/>
          </w:tcPr>
          <w:p>
            <w:r>
              <w:t>Efficient and suitable for constrained hardware.</w:t>
            </w:r>
          </w:p>
        </w:tc>
        <w:tc>
          <w:tcPr>
            <w:tcW w:type="dxa" w:w="1728"/>
          </w:tcPr>
          <w:p>
            <w:r>
              <w:t>Lower accuracy than deep multimodal models.</w:t>
            </w:r>
          </w:p>
        </w:tc>
        <w:tc>
          <w:tcPr>
            <w:tcW w:type="dxa" w:w="1728"/>
          </w:tcPr>
          <w:p>
            <w:r>
              <w:t>Develop embedded deployment and explore alternative architectures.</w:t>
            </w:r>
          </w:p>
        </w:tc>
      </w:tr>
      <w:tr>
        <w:tc>
          <w:tcPr>
            <w:tcW w:type="dxa" w:w="1728"/>
          </w:tcPr>
          <w:p>
            <w:r>
              <w:t>Khan et al. (2025)</w:t>
            </w:r>
          </w:p>
        </w:tc>
        <w:tc>
          <w:tcPr>
            <w:tcW w:type="dxa" w:w="1728"/>
          </w:tcPr>
          <w:p>
            <w:r>
              <w:t>Emotion detection via handwriting/drawing using Transformer + Federated Learning.</w:t>
            </w:r>
          </w:p>
        </w:tc>
        <w:tc>
          <w:tcPr>
            <w:tcW w:type="dxa" w:w="1728"/>
          </w:tcPr>
          <w:p>
            <w:r>
              <w:t>Privacy-preserving. IoMT deployment.</w:t>
            </w:r>
          </w:p>
        </w:tc>
        <w:tc>
          <w:tcPr>
            <w:tcW w:type="dxa" w:w="1728"/>
          </w:tcPr>
          <w:p>
            <w:r>
              <w:t>Narrow demographic. No longitudinal tracking.</w:t>
            </w:r>
          </w:p>
        </w:tc>
        <w:tc>
          <w:tcPr>
            <w:tcW w:type="dxa" w:w="1728"/>
          </w:tcPr>
          <w:p>
            <w:r>
              <w:t>Extend datasets, diversity, secure aggregation, longitudinal validation.</w:t>
            </w:r>
          </w:p>
        </w:tc>
      </w:tr>
      <w:tr>
        <w:tc>
          <w:tcPr>
            <w:tcW w:type="dxa" w:w="1728"/>
          </w:tcPr>
          <w:p>
            <w:r>
              <w:t>Indumathy et al. (2025)</w:t>
            </w:r>
          </w:p>
        </w:tc>
        <w:tc>
          <w:tcPr>
            <w:tcW w:type="dxa" w:w="1728"/>
          </w:tcPr>
          <w:p>
            <w:r>
              <w:t>Teen stress/anxiety detection using ECG, sleep, questionnaires via Transformer fusion.</w:t>
            </w:r>
          </w:p>
        </w:tc>
        <w:tc>
          <w:tcPr>
            <w:tcW w:type="dxa" w:w="1728"/>
          </w:tcPr>
          <w:p>
            <w:r>
              <w:t>High F1 (94%). Fast early detection.</w:t>
            </w:r>
          </w:p>
        </w:tc>
        <w:tc>
          <w:tcPr>
            <w:tcW w:type="dxa" w:w="1728"/>
          </w:tcPr>
          <w:p>
            <w:r>
              <w:t>Ethical/privacy risks. Youth-restricted population.</w:t>
            </w:r>
          </w:p>
        </w:tc>
        <w:tc>
          <w:tcPr>
            <w:tcW w:type="dxa" w:w="1728"/>
          </w:tcPr>
          <w:p>
            <w:r>
              <w:t>Test real-world deployment. Address privacy risks.</w:t>
            </w:r>
          </w:p>
        </w:tc>
      </w:tr>
      <w:tr>
        <w:tc>
          <w:tcPr>
            <w:tcW w:type="dxa" w:w="1728"/>
          </w:tcPr>
          <w:p>
            <w:r>
              <w:t>Wolfert et al. (2022)</w:t>
            </w:r>
          </w:p>
        </w:tc>
        <w:tc>
          <w:tcPr>
            <w:tcW w:type="dxa" w:w="1728"/>
          </w:tcPr>
          <w:p>
            <w:r>
              <w:t>Review on gesture-generation evaluation for ECAs.</w:t>
            </w:r>
          </w:p>
        </w:tc>
        <w:tc>
          <w:tcPr>
            <w:tcW w:type="dxa" w:w="1728"/>
          </w:tcPr>
          <w:p>
            <w:r>
              <w:t>Provides baseline for standardized evaluation.</w:t>
            </w:r>
          </w:p>
        </w:tc>
        <w:tc>
          <w:tcPr>
            <w:tcW w:type="dxa" w:w="1728"/>
          </w:tcPr>
          <w:p>
            <w:r>
              <w:t>Not specific to medical diagnosis.</w:t>
            </w:r>
          </w:p>
        </w:tc>
        <w:tc>
          <w:tcPr>
            <w:tcW w:type="dxa" w:w="1728"/>
          </w:tcPr>
          <w:p>
            <w:r>
              <w:t>Develop standardized evaluation for generalizable clinical AI.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