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W8-L7: Machine Learning – Classification (Diabetes)</w:t>
      </w:r>
    </w:p>
    <w:p>
      <w:r>
        <w:t>Student Name: __________________</w:t>
      </w:r>
    </w:p>
    <w:p>
      <w:r>
        <w:t>Course: DATA 3421</w:t>
      </w:r>
    </w:p>
    <w:p>
      <w:pPr>
        <w:pStyle w:val="Heading1"/>
      </w:pPr>
      <w:r>
        <w:t>1) Data Preparation</w:t>
      </w:r>
    </w:p>
    <w:p>
      <w:r>
        <w:t>I started by loading the diabetes dataset and fixing places where a zero isn’t realistic for a living person (Glucose, BloodPressure, SkinThickness, Insulin, BMI). I treated those zeros as missing and used median imputation later. To give the model more signal, I created three simple features: a Glucose-to-Insulin ratio, an Age×BMI interaction, and Pregnancies per Age. I also added missing‑value indicators for the clinical fields so the model can learn whether “was missing” itself carries information.</w:t>
      </w:r>
    </w:p>
    <w:p>
      <w:r>
        <w:t>A quick look at the key distributions: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Gluco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Distribution of Glucose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BM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Distribution of BMI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Distribution of Age</w:t>
      </w:r>
    </w:p>
    <w:p>
      <w:r>
        <w:drawing>
          <wp:inline xmlns:a="http://schemas.openxmlformats.org/drawingml/2006/main" xmlns:pic="http://schemas.openxmlformats.org/drawingml/2006/picture">
            <wp:extent cx="5029200" cy="4191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_heat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Correlation heatmap (numeric features).</w:t>
      </w:r>
    </w:p>
    <w:p>
      <w:r>
        <w:t>Train/Validation/Test split: 70% / 15% / 15% with stratification (so the positive rate stays consistent across splits). Trees don’t need scaling; KNN does, because it uses distances. I kept preprocessing inside each model pipeline so the exact same steps happen at training and at prediction time.</w:t>
      </w:r>
    </w:p>
    <w:p>
      <w:pPr>
        <w:pStyle w:val="Heading1"/>
      </w:pPr>
      <w:r>
        <w:t>2) Decision Tree (why &amp; how)</w:t>
      </w:r>
    </w:p>
    <w:p>
      <w:r>
        <w:t>Why a tree: fast, easy to interpret, and it handles non‑linear splits without scaling. I set a small max depth (5) with min_samples_split=10 and min_samples_leaf=5 to avoid overfitting. On the validation set, the tree reached solid recall with moderate precision.</w:t>
      </w:r>
    </w:p>
    <w:p>
      <w:pPr>
        <w:pStyle w:val="Heading1"/>
      </w:pPr>
      <w:r>
        <w:t>3) Random Forest (why &amp; how)</w:t>
      </w:r>
    </w:p>
    <w:p>
      <w:r>
        <w:t>Why a forest: it’s a bag of trees, so it usually generalizes better than a single tree. I used 200 trees and class_weight='balanced_subsample' to be friendly to the minority class. In practice this model performed the best on validation AUC (see comparison below).</w:t>
      </w:r>
    </w:p>
    <w:p>
      <w:pPr>
        <w:pStyle w:val="Heading1"/>
      </w:pPr>
      <w:r>
        <w:t>4) K‑Nearest Neighbors (KNN)</w:t>
      </w:r>
    </w:p>
    <w:p>
      <w:r>
        <w:t>Why KNN: it’s a simple, classic baseline for tabular classification—but only after scaling. I used K=11. To show why scaling matters, I also ran the same KNN without scaling and compared AUC.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n_scaling_impa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Scaling is essential—KNN AUC drops without it (validation).</w:t>
      </w:r>
    </w:p>
    <w:p>
      <w:r>
        <w:t>Validation ROC curves: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va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5) Results (Validation → Test) and Model Choice</w:t>
      </w:r>
    </w:p>
    <w:p>
      <w:r>
        <w:t>On the validation set, Random Forest had the best AUC, followed by KNN (scaled) and the Decision Tree. I then retrained the best model on train+validation and evaluated once on the held‑out test set for an unbiased estimate.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Acc</w:t>
            </w:r>
          </w:p>
        </w:tc>
        <w:tc>
          <w:tcPr>
            <w:tcW w:type="dxa" w:w="1440"/>
          </w:tcPr>
          <w:p>
            <w:r>
              <w:t>Prec</w:t>
            </w:r>
          </w:p>
        </w:tc>
        <w:tc>
          <w:tcPr>
            <w:tcW w:type="dxa" w:w="1440"/>
          </w:tcPr>
          <w:p>
            <w:r>
              <w:t>Rec</w:t>
            </w:r>
          </w:p>
        </w:tc>
        <w:tc>
          <w:tcPr>
            <w:tcW w:type="dxa" w:w="1440"/>
          </w:tcPr>
          <w:p>
            <w:r>
              <w:t>F1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0.664</w:t>
            </w:r>
          </w:p>
        </w:tc>
        <w:tc>
          <w:tcPr>
            <w:tcW w:type="dxa" w:w="1440"/>
          </w:tcPr>
          <w:p>
            <w:r>
              <w:t>0.517</w:t>
            </w:r>
          </w:p>
        </w:tc>
        <w:tc>
          <w:tcPr>
            <w:tcW w:type="dxa" w:w="1440"/>
          </w:tcPr>
          <w:p>
            <w:r>
              <w:t>0.732</w:t>
            </w:r>
          </w:p>
        </w:tc>
        <w:tc>
          <w:tcPr>
            <w:tcW w:type="dxa" w:w="1440"/>
          </w:tcPr>
          <w:p>
            <w:r>
              <w:t>0.606</w:t>
            </w:r>
          </w:p>
        </w:tc>
        <w:tc>
          <w:tcPr>
            <w:tcW w:type="dxa" w:w="1440"/>
          </w:tcPr>
          <w:p>
            <w:r>
              <w:t>0.782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0.750</w:t>
            </w:r>
          </w:p>
        </w:tc>
        <w:tc>
          <w:tcPr>
            <w:tcW w:type="dxa" w:w="1440"/>
          </w:tcPr>
          <w:p>
            <w:r>
              <w:t>0.650</w:t>
            </w:r>
          </w:p>
        </w:tc>
        <w:tc>
          <w:tcPr>
            <w:tcW w:type="dxa" w:w="1440"/>
          </w:tcPr>
          <w:p>
            <w:r>
              <w:t>0.634</w:t>
            </w:r>
          </w:p>
        </w:tc>
        <w:tc>
          <w:tcPr>
            <w:tcW w:type="dxa" w:w="1440"/>
          </w:tcPr>
          <w:p>
            <w:r>
              <w:t>0.642</w:t>
            </w:r>
          </w:p>
        </w:tc>
        <w:tc>
          <w:tcPr>
            <w:tcW w:type="dxa" w:w="1440"/>
          </w:tcPr>
          <w:p>
            <w:r>
              <w:t>0.813</w:t>
            </w:r>
          </w:p>
        </w:tc>
      </w:tr>
      <w:tr>
        <w:tc>
          <w:tcPr>
            <w:tcW w:type="dxa" w:w="1440"/>
          </w:tcPr>
          <w:p>
            <w:r>
              <w:t>KNN (scaled)</w:t>
            </w:r>
          </w:p>
        </w:tc>
        <w:tc>
          <w:tcPr>
            <w:tcW w:type="dxa" w:w="1440"/>
          </w:tcPr>
          <w:p>
            <w:r>
              <w:t>0.733</w:t>
            </w:r>
          </w:p>
        </w:tc>
        <w:tc>
          <w:tcPr>
            <w:tcW w:type="dxa" w:w="1440"/>
          </w:tcPr>
          <w:p>
            <w:r>
              <w:t>0.632</w:t>
            </w:r>
          </w:p>
        </w:tc>
        <w:tc>
          <w:tcPr>
            <w:tcW w:type="dxa" w:w="1440"/>
          </w:tcPr>
          <w:p>
            <w:r>
              <w:t>0.585</w:t>
            </w:r>
          </w:p>
        </w:tc>
        <w:tc>
          <w:tcPr>
            <w:tcW w:type="dxa" w:w="1440"/>
          </w:tcPr>
          <w:p>
            <w:r>
              <w:t>0.608</w:t>
            </w:r>
          </w:p>
        </w:tc>
        <w:tc>
          <w:tcPr>
            <w:tcW w:type="dxa" w:w="1440"/>
          </w:tcPr>
          <w:p>
            <w:r>
              <w:t>0.771</w:t>
            </w:r>
          </w:p>
        </w:tc>
      </w:tr>
    </w:tbl>
    <w:p>
      <w:r>
        <w:t>Chosen model: Random Forest. On the test set it achieved – Acc: 0.750, Precision: 0.649, Recall: 0.600, F1: 0.623, AUC: 0.851.</w:t>
      </w:r>
    </w:p>
    <w:p>
      <w:r>
        <w:t>If this were for clinical use, I’d stick with the forest: it’s more stable than a single tree, gives feature importance for quick sanity‑checks, and it’s less fragile than KNN to future data shifts.</w:t>
      </w:r>
    </w:p>
    <w:p>
      <w:pPr>
        <w:pStyle w:val="Heading1"/>
      </w:pPr>
      <w:r>
        <w:t>6) What I would improve next</w:t>
      </w:r>
    </w:p>
    <w:p>
      <w:r>
        <w:t>• Try threshold tuning to trade precision vs. recall depending on clinic goals.</w:t>
        <w:br/>
        <w:t>• Add calibration (so predicted probabilities match observed risk).</w:t>
        <w:br/>
        <w:t>• Run subgroup evaluation (e.g., by age bands) to check for unintended bias.</w:t>
        <w:br/>
        <w:t>• Log the whole pipeline and metrics with experiment tracking for easy retraining.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