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360"/>
              <w:left w:type="dxa" w:w="480"/>
              <w:bottom w:type="dxa" w:w="360"/>
              <w:right w:type="dxa" w:w="480"/>
            </w:tcMar>
          </w:tcPr>
          <w:p>
            <w:pPr>
              <w:spacing w:after="100"/>
              <w:jc w:val="center"/>
            </w:pPr>
            <w:r>
              <w:rPr>
                <w:rFonts w:ascii="Arial" w:cs="Arial" w:eastAsia="Arial" w:hAnsi="Arial"/>
                <w:b/>
                <w:bCs/>
                <w:color w:val="FFFFFF"/>
                <w:sz w:val="36"/>
                <w:szCs w:val="36"/>
              </w:rPr>
              <w:t xml:space="preserve">DETAILED CHANGE DOCUMENTATION</w:t>
            </w:r>
          </w:p>
          <w:p>
            <w:pPr>
              <w:spacing w:after="60"/>
              <w:jc w:val="center"/>
            </w:pPr>
            <w:r>
              <w:rPr>
                <w:rFonts w:ascii="Arial" w:cs="Arial" w:eastAsia="Arial" w:hAnsi="Arial"/>
                <w:b/>
                <w:bCs/>
                <w:color w:val="AACCEE"/>
                <w:sz w:val="26"/>
                <w:szCs w:val="26"/>
              </w:rPr>
              <w:t xml:space="preserve">Vietnam Renewable Energy DSGE Model</w:t>
            </w:r>
          </w:p>
          <w:p>
            <w:pPr>
              <w:spacing w:after="200"/>
              <w:jc w:val="center"/>
            </w:pPr>
            <w:r>
              <w:rPr>
                <w:rFonts w:ascii="Arial" w:cs="Arial" w:eastAsia="Arial" w:hAnsi="Arial"/>
                <w:i/>
                <w:iCs/>
                <w:color w:val="D6E4F0"/>
                <w:sz w:val="22"/>
                <w:szCs w:val="22"/>
              </w:rPr>
              <w:t xml:space="preserve">Wickens (2012) HIGH-Impact Extensions: W1 – W5</w:t>
            </w:r>
          </w:p>
          <w:p>
            <w:pPr>
              <w:jc w:val="center"/>
            </w:pPr>
            <w:r>
              <w:rPr>
                <w:rFonts w:ascii="Courier New" w:cs="Courier New" w:eastAsia="Courier New" w:hAnsi="Courier New"/>
                <w:color w:val="7FA8C9"/>
                <w:sz w:val="18"/>
                <w:szCs w:val="18"/>
              </w:rPr>
              <w:t xml:space="preserve">Files: vietnam_dsge_wickens.mod  |  vietnam_dsge_wickens_steadystate.m  |  dsge_model_vietnam_wickens.py</w:t>
            </w:r>
          </w:p>
        </w:tc>
      </w:tr>
    </w:tbl>
    <w:p>
      <w:pPr>
        <w:spacing w:after="240"/>
      </w:pPr>
    </w:p>
    <w:p>
      <w:pPr>
        <w:pStyle w:val="Heading1"/>
        <w:shd w:fill="1F3864" w:val="clear"/>
        <w:spacing w:after="140" w:before="400"/>
        <w:ind w:left="120"/>
      </w:pPr>
      <w:r>
        <w:rPr>
          <w:rFonts w:ascii="Arial" w:cs="Arial" w:eastAsia="Arial" w:hAnsi="Arial"/>
          <w:b/>
          <w:bCs/>
          <w:color w:val="FFFFFF"/>
          <w:sz w:val="28"/>
          <w:szCs w:val="28"/>
        </w:rPr>
        <w:t xml:space="preserve">I. Overview: What Changed and Why</w:t>
      </w:r>
    </w:p>
    <w:p>
      <w:pPr>
        <w:spacing w:after="120" w:line="280"/>
      </w:pPr>
      <w:r>
        <w:t xml:space="preserve">Three new files were created extending the existing 17-variable proportional-tax DSGE model. All five HIGH-impact extensions from the Wickens advisory memo are now implemented. The variable count increases from 17 to 20. The Blanchard–Kahn eigenvalue count is unchanged at 3 unstable roots because all three new variables are purely static (algebraic identities, no dynamic equations of their 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b/>
                <w:bCs/>
                <w:color w:val="FFFFFF"/>
                <w:sz w:val="20"/>
                <w:szCs w:val="20"/>
              </w:rPr>
              <w:t xml:space="preserve">Ext.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b/>
                <w:bCs/>
                <w:color w:val="FFFFFF"/>
                <w:sz w:val="20"/>
                <w:szCs w:val="20"/>
              </w:rPr>
              <w:t xml:space="preserve">Wickens Source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b/>
                <w:bCs/>
                <w:color w:val="FFFFFF"/>
                <w:sz w:val="20"/>
                <w:szCs w:val="20"/>
              </w:rPr>
              <w:t xml:space="preserve">New Variable / Equation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b/>
                <w:bCs/>
                <w:color w:val="FFFFFF"/>
                <w:sz w:val="20"/>
                <w:szCs w:val="20"/>
              </w:rPr>
              <w:t xml:space="preserve">What it captures</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b/>
                <w:bCs/>
                <w:color w:val="1E5631"/>
                <w:sz w:val="20"/>
                <w:szCs w:val="20"/>
              </w:rPr>
              <w:t xml:space="preserve">W1</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sz w:val="20"/>
                <w:szCs w:val="20"/>
              </w:rPr>
              <w:t xml:space="preserve">Ch.5 §5.7.1</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Courier New" w:cs="Courier New" w:eastAsia="Courier New" w:hAnsi="Courier New"/>
                <w:sz w:val="18"/>
                <w:szCs w:val="18"/>
              </w:rPr>
              <w:t xml:space="preserve">Euler wedge Δ_k (diagnostic)</w:t>
            </w:r>
          </w:p>
        </w:tc>
        <w:tc>
          <w:tcPr>
            <w:tcW w:type="dxa" w:w="3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sz w:val="20"/>
                <w:szCs w:val="20"/>
              </w:rPr>
              <w:t xml:space="preserve">Distortionary capital tax lowers K_p by 1.65% vs. first-best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b/>
                <w:bCs/>
                <w:color w:val="1E5631"/>
                <w:sz w:val="20"/>
                <w:szCs w:val="20"/>
              </w:rPr>
              <w:t xml:space="preserve">W2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sz w:val="20"/>
                <w:szCs w:val="20"/>
              </w:rPr>
              <w:t xml:space="preserve">Ch.5 §5.4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G_surplus = τY − I_grid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sz w:val="20"/>
                <w:szCs w:val="20"/>
              </w:rPr>
              <w:t xml:space="preserve">Explicit gov. budget; confirms Ricardian non-equivalence</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b/>
                <w:bCs/>
                <w:color w:val="1E5631"/>
                <w:sz w:val="20"/>
                <w:szCs w:val="20"/>
              </w:rPr>
              <w:t xml:space="preserve">W3</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sz w:val="20"/>
                <w:szCs w:val="20"/>
              </w:rPr>
              <w:t xml:space="preserve">Ch.5 §5.5</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Courier New" w:cs="Courier New" w:eastAsia="Courier New" w:hAnsi="Courier New"/>
                <w:sz w:val="18"/>
                <w:szCs w:val="18"/>
              </w:rPr>
              <w:t xml:space="preserve">FisSust = r* − (π+γ)</w:t>
            </w:r>
          </w:p>
        </w:tc>
        <w:tc>
          <w:tcPr>
            <w:tcW w:type="dxa" w:w="3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sz w:val="20"/>
                <w:szCs w:val="20"/>
              </w:rPr>
              <w:t xml:space="preserve">Fiscal sustainability gap: r*&gt;0 requires primary surplus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b/>
                <w:bCs/>
                <w:color w:val="1E5631"/>
                <w:sz w:val="20"/>
                <w:szCs w:val="20"/>
              </w:rPr>
              <w:t xml:space="preserve">W4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sz w:val="20"/>
                <w:szCs w:val="20"/>
              </w:rPr>
              <w:t xml:space="preserve">Ch.8 §8.7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T_int = κ(1−u)τ in Euler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sz w:val="20"/>
                <w:szCs w:val="20"/>
              </w:rPr>
              <w:t xml:space="preserve">Feenstra wedge amplifies consumption response to shocks</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b/>
                <w:bCs/>
                <w:color w:val="1E5631"/>
                <w:sz w:val="20"/>
                <w:szCs w:val="20"/>
              </w:rPr>
              <w:t xml:space="preserve">W5</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sz w:val="20"/>
                <w:szCs w:val="20"/>
              </w:rPr>
              <w:t xml:space="preserve">Ch.5 §5.7.3</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Courier New" w:cs="Courier New" w:eastAsia="Courier New" w:hAnsi="Courier New"/>
                <w:sz w:val="18"/>
                <w:szCs w:val="18"/>
              </w:rPr>
              <w:t xml:space="preserve">tau_smooth switch</w:t>
            </w:r>
          </w:p>
        </w:tc>
        <w:tc>
          <w:tcPr>
            <w:tcW w:type="dxa" w:w="3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sz w:val="20"/>
                <w:szCs w:val="20"/>
              </w:rPr>
              <w:t xml:space="preserve">Barro smoothing counterfactual for welfare comparison</w:t>
            </w:r>
          </w:p>
        </w:tc>
      </w:tr>
    </w:tbl>
    <w:p>
      <w:pPr>
        <w:spacing w:after="240"/>
      </w:pPr>
    </w:p>
    <w:p>
      <w:pPr>
        <w:pStyle w:val="Heading1"/>
        <w:shd w:fill="1F3864" w:val="clear"/>
        <w:spacing w:after="140" w:before="400"/>
        <w:ind w:left="120"/>
      </w:pPr>
      <w:r>
        <w:rPr>
          <w:rFonts w:ascii="Arial" w:cs="Arial" w:eastAsia="Arial" w:hAnsi="Arial"/>
          <w:b/>
          <w:bCs/>
          <w:color w:val="FFFFFF"/>
          <w:sz w:val="28"/>
          <w:szCs w:val="28"/>
        </w:rPr>
        <w:t xml:space="preserve">II. [W1] Euler Wedge — Distortionary Capital Tax (Ch.5 §5.7.1)</w:t>
      </w:r>
    </w:p>
    <w:p>
      <w:pPr>
        <w:pStyle w:val="Heading2"/>
        <w:pBdr>
          <w:bottom w:val="single" w:color="2E75B6" w:sz="4" w:space="1"/>
        </w:pBdr>
        <w:spacing w:after="100" w:before="300"/>
      </w:pPr>
      <w:r>
        <w:rPr>
          <w:rFonts w:ascii="Arial" w:cs="Arial" w:eastAsia="Arial" w:hAnsi="Arial"/>
          <w:b/>
          <w:bCs/>
          <w:color w:val="1F3864"/>
          <w:sz w:val="26"/>
          <w:szCs w:val="26"/>
        </w:rPr>
        <w:t xml:space="preserve">2.1  What changed</w:t>
      </w:r>
    </w:p>
    <w:p>
      <w:pPr>
        <w:spacing w:after="120" w:line="280"/>
      </w:pPr>
      <w:r>
        <w:rPr>
          <w:b/>
          <w:bCs/>
        </w:rPr>
        <w:t xml:space="preserve">Before (original proptax model): </w:t>
      </w:r>
      <w:r>
        <w:t xml:space="preserve">The capital Euler equation was written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Equation [1] — BEFORE</w:t>
            </w:r>
          </w:p>
          <w:p>
            <w:pPr>
              <w:spacing w:after="20"/>
            </w:pPr>
            <w:r>
              <w:rPr>
                <w:rFonts w:ascii="Courier New" w:cs="Courier New" w:eastAsia="Courier New" w:hAnsi="Courier New"/>
                <w:color w:val="1A1A1A"/>
                <w:sz w:val="19"/>
                <w:szCs w:val="19"/>
              </w:rPr>
              <w:t xml:space="preserve">// Original: after-tax return but no explicit documentation of the wedge</w:t>
            </w:r>
          </w:p>
          <w:p>
            <w:pPr>
              <w:spacing w:after="20"/>
            </w:pPr>
            <w:r>
              <w:rPr>
                <w:rFonts w:ascii="Courier New" w:cs="Courier New" w:eastAsia="Courier New" w:hAnsi="Courier New"/>
                <w:color w:val="1A1A1A"/>
                <w:sz w:val="19"/>
                <w:szCs w:val="19"/>
              </w:rPr>
              <w:t xml:space="preserve">1/C = beta * ((1 - tau(+1)) * alpha * Y(+1) / K_p + 1 - delta_p) / C(+1);</w:t>
            </w:r>
          </w:p>
        </w:tc>
      </w:tr>
    </w:tbl>
    <w:p>
      <w:pPr>
        <w:spacing w:after="80"/>
      </w:pPr>
    </w:p>
    <w:p>
      <w:pPr>
        <w:spacing w:after="120" w:line="280"/>
      </w:pPr>
      <w:r>
        <w:rPr>
          <w:b/>
          <w:bCs/>
        </w:rPr>
        <w:t xml:space="preserve">After (Wickens extended): </w:t>
      </w:r>
      <w:r>
        <w:t xml:space="preserve">The equation is structurally identical but now explicitly combined with the Feenstra wedge [W4] (see Section V), and the steady-state wedge is computed and reported as a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Equation [1] — AFTER</w:t>
            </w:r>
          </w:p>
          <w:p>
            <w:pPr>
              <w:spacing w:after="20"/>
            </w:pPr>
            <w:r>
              <w:rPr>
                <w:rFonts w:ascii="Courier New" w:cs="Courier New" w:eastAsia="Courier New" w:hAnsi="Courier New"/>
                <w:color w:val="1A1A1A"/>
                <w:sz w:val="19"/>
                <w:szCs w:val="19"/>
              </w:rPr>
              <w:t xml:space="preserve">// [W1] + [W4] Combined Euler — AFTER</w:t>
            </w:r>
          </w:p>
          <w:p>
            <w:pPr>
              <w:spacing w:after="20"/>
            </w:pPr>
            <w:r>
              <w:rPr>
                <w:rFonts w:ascii="Courier New" w:cs="Courier New" w:eastAsia="Courier New" w:hAnsi="Courier New"/>
                <w:color w:val="1A1A1A"/>
                <w:sz w:val="19"/>
                <w:szCs w:val="19"/>
              </w:rPr>
              <w:t xml:space="preserve">1/C = beta * ((1 + T_int) / (1 + T_int(+1)))</w:t>
            </w:r>
          </w:p>
          <w:p>
            <w:pPr>
              <w:spacing w:after="20"/>
            </w:pPr>
            <w:r>
              <w:rPr>
                <w:rFonts w:ascii="Courier New" w:cs="Courier New" w:eastAsia="Courier New" w:hAnsi="Courier New"/>
                <w:color w:val="1A1A1A"/>
                <w:sz w:val="19"/>
                <w:szCs w:val="19"/>
              </w:rPr>
              <w:t xml:space="preserve">           * ((1 - tau(+1)) * alpha * Y(+1) / K_p + 1 - delta_p)</w:t>
            </w:r>
          </w:p>
          <w:p>
            <w:pPr>
              <w:spacing w:after="20"/>
            </w:pPr>
            <w:r>
              <w:rPr>
                <w:rFonts w:ascii="Courier New" w:cs="Courier New" w:eastAsia="Courier New" w:hAnsi="Courier New"/>
                <w:color w:val="1A1A1A"/>
                <w:sz w:val="19"/>
                <w:szCs w:val="19"/>
              </w:rPr>
              <w:t xml:space="preserve">           / C(+1);</w:t>
            </w:r>
          </w:p>
        </w:tc>
      </w:tr>
    </w:tbl>
    <w:p>
      <w:pPr>
        <w:spacing w:after="80"/>
      </w:pPr>
    </w:p>
    <w:p>
      <w:pPr>
        <w:spacing w:after="120" w:line="280"/>
      </w:pPr>
      <w:r>
        <w:rPr>
          <w:b/>
          <w:bCs/>
        </w:rPr>
        <w:t xml:space="preserve">Steady-state diagnostic (steadystate.m):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Steady-state code addition — AFTER</w:t>
            </w:r>
          </w:p>
          <w:p>
            <w:pPr>
              <w:spacing w:after="20"/>
            </w:pPr>
            <w:r>
              <w:rPr>
                <w:rFonts w:ascii="Courier New" w:cs="Courier New" w:eastAsia="Courier New" w:hAnsi="Courier New"/>
                <w:color w:val="1A1A1A"/>
                <w:sz w:val="19"/>
                <w:szCs w:val="19"/>
              </w:rPr>
              <w:t xml:space="preserve">% [W1] Euler wedge diagnostics</w:t>
            </w:r>
          </w:p>
          <w:p>
            <w:pPr>
              <w:spacing w:after="20"/>
            </w:pPr>
            <w:r>
              <w:rPr>
                <w:rFonts w:ascii="Courier New" w:cs="Courier New" w:eastAsia="Courier New" w:hAnsi="Courier New"/>
                <w:color w:val="1A1A1A"/>
                <w:sz w:val="19"/>
                <w:szCs w:val="19"/>
              </w:rPr>
              <w:t xml:space="preserve">Delta_k         = tau_ss * alpha * Y / K_p;      % wedge magnitude</w:t>
            </w:r>
          </w:p>
          <w:p>
            <w:pPr>
              <w:spacing w:after="20"/>
            </w:pPr>
            <w:r>
              <w:rPr>
                <w:rFonts w:ascii="Courier New" w:cs="Courier New" w:eastAsia="Courier New" w:hAnsi="Courier New"/>
                <w:color w:val="1A1A1A"/>
                <w:sz w:val="19"/>
                <w:szCs w:val="19"/>
              </w:rPr>
              <w:t xml:space="preserve">K_p_firstbest   = alpha * Y / R_target;           % if tau = 0</w:t>
            </w:r>
          </w:p>
          <w:p>
            <w:pPr>
              <w:spacing w:after="20"/>
            </w:pPr>
            <w:r>
              <w:rPr>
                <w:rFonts w:ascii="Courier New" w:cs="Courier New" w:eastAsia="Courier New" w:hAnsi="Courier New"/>
                <w:color w:val="1A1A1A"/>
                <w:sz w:val="19"/>
                <w:szCs w:val="19"/>
              </w:rPr>
              <w:t xml:space="preserve">K_p_gap_pct     = (K_p_firstbest - K_p) / K_p_firstbest * 100;</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RESULT (from model run):</w:t>
            </w:r>
          </w:p>
          <w:p>
            <w:pPr>
              <w:spacing w:after="20"/>
            </w:pPr>
            <w:r>
              <w:rPr>
                <w:rFonts w:ascii="Courier New" w:cs="Courier New" w:eastAsia="Courier New" w:hAnsi="Courier New"/>
                <w:color w:val="1A1A1A"/>
                <w:sz w:val="19"/>
                <w:szCs w:val="19"/>
              </w:rPr>
              <w:t xml:space="preserve">% Delta_k       = 0.000590  (τ × α × Y/K_p)</w:t>
            </w:r>
          </w:p>
          <w:p>
            <w:pPr>
              <w:spacing w:after="20"/>
            </w:pPr>
            <w:r>
              <w:rPr>
                <w:rFonts w:ascii="Courier New" w:cs="Courier New" w:eastAsia="Courier New" w:hAnsi="Courier New"/>
                <w:color w:val="1A1A1A"/>
                <w:sz w:val="19"/>
                <w:szCs w:val="19"/>
              </w:rPr>
              <w:t xml:space="preserve">% K_p (model)   = 8.4476</w:t>
            </w:r>
          </w:p>
          <w:p>
            <w:pPr>
              <w:spacing w:after="20"/>
            </w:pPr>
            <w:r>
              <w:rPr>
                <w:rFonts w:ascii="Courier New" w:cs="Courier New" w:eastAsia="Courier New" w:hAnsi="Courier New"/>
                <w:color w:val="1A1A1A"/>
                <w:sz w:val="19"/>
                <w:szCs w:val="19"/>
              </w:rPr>
              <w:t xml:space="preserve">% K_p (1st-best)= 8.5897</w:t>
            </w:r>
          </w:p>
          <w:p>
            <w:pPr>
              <w:spacing w:after="20"/>
            </w:pPr>
            <w:r>
              <w:rPr>
                <w:rFonts w:ascii="Courier New" w:cs="Courier New" w:eastAsia="Courier New" w:hAnsi="Courier New"/>
                <w:color w:val="1A1A1A"/>
                <w:sz w:val="19"/>
                <w:szCs w:val="19"/>
              </w:rPr>
              <w:t xml:space="preserve">% Capital gap   = 1.654%</w:t>
            </w:r>
          </w:p>
        </w:tc>
      </w:tr>
    </w:tbl>
    <w:p>
      <w:pPr>
        <w:pStyle w:val="Heading2"/>
        <w:pBdr>
          <w:bottom w:val="single" w:color="2E75B6" w:sz="4" w:space="1"/>
        </w:pBdr>
        <w:spacing w:after="100" w:before="300"/>
      </w:pPr>
      <w:r>
        <w:rPr>
          <w:rFonts w:ascii="Arial" w:cs="Arial" w:eastAsia="Arial" w:hAnsi="Arial"/>
          <w:b/>
          <w:bCs/>
          <w:color w:val="1F3864"/>
          <w:sz w:val="26"/>
          <w:szCs w:val="26"/>
        </w:rPr>
        <w:t xml:space="preserve">2.2  What this means</w:t>
      </w:r>
    </w:p>
    <w:p>
      <w:pPr>
        <w:spacing w:after="120" w:line="280"/>
      </w:pPr>
      <w:r>
        <w:t xml:space="preserve">The proportional tax </w:t>
      </w:r>
      <w:r>
        <w:rPr>
          <w:rFonts w:ascii="Courier New" w:cs="Courier New" w:eastAsia="Courier New" w:hAnsi="Courier New"/>
          <w:sz w:val="20"/>
          <w:szCs w:val="20"/>
        </w:rPr>
        <w:t xml:space="preserve">τ_t = I_grid,t / Y_t</w:t>
      </w:r>
      <w:r>
        <w:t xml:space="preserve"> is </w:t>
      </w:r>
      <w:r>
        <w:rPr>
          <w:b/>
          <w:bCs/>
        </w:rPr>
        <w:t xml:space="preserve">distortionary</w:t>
      </w:r>
      <w:r>
        <w:t xml:space="preserve">: it enters the household's intertemporal optimality condition as a multiplicative wedge (1−τ) on the after-tax marginal product of capital. At the model's steady state, this wedge lowers the equilibrium capital stock below the first-best (Chamley–Judd τ_k = 0) benchmark.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2"/>
            </w:tcBorders>
            <w:shd w:fill="D6E4F0" w:val="clear"/>
            <w:tcMar>
              <w:top w:type="dxa" w:w="120"/>
              <w:left w:type="dxa" w:w="200"/>
              <w:bottom w:type="dxa" w:w="120"/>
              <w:right w:type="dxa" w:w="160"/>
            </w:tcMar>
          </w:tcPr>
          <w:p>
            <w:pPr>
              <w:spacing w:after="80"/>
            </w:pPr>
            <w:r>
              <w:rPr>
                <w:b/>
                <w:bCs/>
                <w:color w:val="1F3864"/>
              </w:rPr>
              <w:t xml:space="preserve">Steady-state capital Euler with tax wedge (Wickens Ch.5 eq.5.x):</w:t>
            </w:r>
          </w:p>
          <w:p>
            <w:pPr>
              <w:spacing w:after="60"/>
            </w:pPr>
            <w:r>
              <w:rPr>
                <w:rFonts w:ascii="Courier New" w:cs="Courier New" w:eastAsia="Courier New" w:hAnsi="Courier New"/>
                <w:sz w:val="20"/>
                <w:szCs w:val="20"/>
              </w:rPr>
              <w:t xml:space="preserve">  (1 − τ̄) · α · Y_ss / K_p,ss  =  r* + δ_p</w:t>
            </w:r>
            <w:r>
              <w:rPr>
                <w:color w:val="666666"/>
                <w:sz w:val="20"/>
                <w:szCs w:val="20"/>
              </w:rPr>
              <w:t xml:space="preserve">   [with proportional tax]</w:t>
            </w:r>
          </w:p>
          <w:p>
            <w:pPr>
              <w:spacing w:after="80"/>
            </w:pPr>
            <w:r>
              <w:rPr>
                <w:rFonts w:ascii="Courier New" w:cs="Courier New" w:eastAsia="Courier New" w:hAnsi="Courier New"/>
                <w:sz w:val="20"/>
                <w:szCs w:val="20"/>
              </w:rPr>
              <w:t xml:space="preserve">       1  · α · Y_ss / K_p,ss  =  r* + δ_p</w:t>
            </w:r>
            <w:r>
              <w:rPr>
                <w:color w:val="666666"/>
                <w:sz w:val="20"/>
                <w:szCs w:val="20"/>
              </w:rPr>
              <w:t xml:space="preserve">   [first-best: τ = 0]</w:t>
            </w:r>
          </w:p>
          <w:p>
            <w:pPr>
              <w:spacing w:after="40"/>
            </w:pPr>
            <w:r>
              <w:rPr>
                <w:sz w:val="20"/>
                <w:szCs w:val="20"/>
              </w:rPr>
              <w:t xml:space="preserve">Because τ̄ = 1.654% &gt; 0, the first equation requires a </w:t>
            </w:r>
            <w:r>
              <w:rPr>
                <w:b/>
                <w:bCs/>
                <w:color w:val="C00000"/>
                <w:sz w:val="20"/>
                <w:szCs w:val="20"/>
              </w:rPr>
              <w:t xml:space="preserve">larger Y/K_p ratio</w:t>
            </w:r>
            <w:r>
              <w:rPr>
                <w:sz w:val="20"/>
                <w:szCs w:val="20"/>
              </w:rPr>
              <w:t xml:space="preserve"> (i.e., a lower K_p,ss) than the first-best, confirming the Chamley–Judd result that capital is under-accumulated.</w:t>
            </w:r>
          </w:p>
        </w:tc>
      </w:tr>
    </w:tbl>
    <w:p>
      <w:pPr>
        <w:spacing w:after="120"/>
      </w:pPr>
    </w:p>
    <w:p>
      <w:pPr>
        <w:spacing w:after="120" w:line="280"/>
      </w:pPr>
      <w:r>
        <w:rPr>
          <w:b/>
          <w:bCs/>
        </w:rPr>
        <w:t xml:space="preserve">Quantitative result: </w:t>
      </w:r>
      <w:r>
        <w:t xml:space="preserve">The model's capital stock (K_p = 8.448) is </w:t>
      </w:r>
      <w:r>
        <w:rPr>
          <w:b/>
          <w:bCs/>
          <w:color w:val="C00000"/>
        </w:rPr>
        <w:t xml:space="preserve">1.654%</w:t>
      </w:r>
      <w:r>
        <w:t xml:space="preserve"> below the no-tax benchmark (K_p* = 8.590). This permanent capital gap is the direct welfare cost of using a proportional rather than lump-sum financing rule. It provides the structural interpretation for why Λ &gt; 0 even without any stochastic shocks.</w:t>
      </w:r>
    </w:p>
    <w:p>
      <w:pPr>
        <w:spacing w:after="120" w:line="280"/>
      </w:pPr>
      <w:r>
        <w:rPr>
          <w:b/>
          <w:bCs/>
        </w:rPr>
        <w:t xml:space="preserve">Thesis implication: </w:t>
      </w:r>
      <w:r>
        <w:t xml:space="preserve">Section 3 of the thesis should explicitly state: 'The proportional rule creates a permanent Euler wedge Δ_k = τ̄ · αY/K_p = 0.059% of output, reducing the steady-state capital stock by 1.65% relative to the Chamley–Judd (1986) zero-capital-tax benchmark (Wickens 2012, Ch.5 §5.7.2).'</w:t>
      </w:r>
    </w:p>
    <w:p>
      <w:pPr>
        <w:spacing w:after="200"/>
      </w:pPr>
    </w:p>
    <w:p>
      <w:pPr>
        <w:pStyle w:val="Heading1"/>
        <w:shd w:fill="1F3864" w:val="clear"/>
        <w:spacing w:after="140" w:before="400"/>
        <w:ind w:left="120"/>
      </w:pPr>
      <w:r>
        <w:rPr>
          <w:rFonts w:ascii="Arial" w:cs="Arial" w:eastAsia="Arial" w:hAnsi="Arial"/>
          <w:b/>
          <w:bCs/>
          <w:color w:val="FFFFFF"/>
          <w:sz w:val="28"/>
          <w:szCs w:val="28"/>
        </w:rPr>
        <w:t xml:space="preserve">III. [W2] Government Budget Constraint &amp; Ricardian Non-Equivalence (Ch.5 §5.4)</w:t>
      </w:r>
    </w:p>
    <w:p>
      <w:pPr>
        <w:pStyle w:val="Heading2"/>
        <w:pBdr>
          <w:bottom w:val="single" w:color="2E75B6" w:sz="4" w:space="1"/>
        </w:pBdr>
        <w:spacing w:after="100" w:before="300"/>
      </w:pPr>
      <w:r>
        <w:rPr>
          <w:rFonts w:ascii="Arial" w:cs="Arial" w:eastAsia="Arial" w:hAnsi="Arial"/>
          <w:b/>
          <w:bCs/>
          <w:color w:val="1F3864"/>
          <w:sz w:val="26"/>
          <w:szCs w:val="26"/>
        </w:rPr>
        <w:t xml:space="preserve">3.1  What changed</w:t>
      </w:r>
    </w:p>
    <w:p>
      <w:pPr>
        <w:spacing w:after="120" w:line="280"/>
      </w:pPr>
      <w:r>
        <w:rPr>
          <w:b/>
          <w:bCs/>
        </w:rPr>
        <w:t xml:space="preserve">Before: </w:t>
      </w:r>
      <w:r>
        <w:t xml:space="preserve">The tax equation (eq.[17]) closed the fiscal block but did not track the government's budget explicitly. The Ricardian equivalence status was implicit and ambiguous.</w:t>
      </w:r>
    </w:p>
    <w:p>
      <w:pPr>
        <w:spacing w:after="120" w:line="280"/>
      </w:pPr>
      <w:r>
        <w:rPr>
          <w:b/>
          <w:bCs/>
        </w:rPr>
        <w:t xml:space="preserve">After: </w:t>
      </w:r>
      <w:r>
        <w:t xml:space="preserve">A new variable </w:t>
      </w:r>
      <w:r>
        <w:rPr>
          <w:rFonts w:ascii="Courier New" w:cs="Courier New" w:eastAsia="Courier New" w:hAnsi="Courier New"/>
          <w:sz w:val="20"/>
          <w:szCs w:val="20"/>
        </w:rPr>
        <w:t xml:space="preserve">G_surplus</w:t>
      </w:r>
      <w:r>
        <w:t xml:space="preserve"> is added as equation [18] in the .mod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Equation [18] — NEW</w:t>
            </w:r>
          </w:p>
          <w:p>
            <w:pPr>
              <w:spacing w:after="20"/>
            </w:pPr>
            <w:r>
              <w:rPr>
                <w:rFonts w:ascii="Courier New" w:cs="Courier New" w:eastAsia="Courier New" w:hAnsi="Courier New"/>
                <w:color w:val="1A1A1A"/>
                <w:sz w:val="19"/>
                <w:szCs w:val="19"/>
              </w:rPr>
              <w:t xml:space="preserve">// [18] Government fiscal surplus  — [W2] RICARDIAN NON-EQUIVALENCE</w:t>
            </w:r>
          </w:p>
          <w:p>
            <w:pPr>
              <w:spacing w:after="20"/>
            </w:pPr>
            <w:r>
              <w:rPr>
                <w:rFonts w:ascii="Courier New" w:cs="Courier New" w:eastAsia="Courier New" w:hAnsi="Courier New"/>
                <w:color w:val="1A1A1A"/>
                <w:sz w:val="19"/>
                <w:szCs w:val="19"/>
              </w:rPr>
              <w:t xml:space="preserve">// Wickens Real Government Budget Constraint (eq.5.9):</w:t>
            </w:r>
          </w:p>
          <w:p>
            <w:pPr>
              <w:spacing w:after="20"/>
            </w:pPr>
            <w:r>
              <w:rPr>
                <w:rFonts w:ascii="Courier New" w:cs="Courier New" w:eastAsia="Courier New" w:hAnsi="Courier New"/>
                <w:color w:val="1A1A1A"/>
                <w:sz w:val="19"/>
                <w:szCs w:val="19"/>
              </w:rPr>
              <w:t xml:space="preserve">//   G = I_grid (government spending)</w:t>
            </w:r>
          </w:p>
          <w:p>
            <w:pPr>
              <w:spacing w:after="20"/>
            </w:pPr>
            <w:r>
              <w:rPr>
                <w:rFonts w:ascii="Courier New" w:cs="Courier New" w:eastAsia="Courier New" w:hAnsi="Courier New"/>
                <w:color w:val="1A1A1A"/>
                <w:sz w:val="19"/>
                <w:szCs w:val="19"/>
              </w:rPr>
              <w:t xml:space="preserve">//   T = tau * Y (tax revenue)</w:t>
            </w:r>
          </w:p>
          <w:p>
            <w:pPr>
              <w:spacing w:after="20"/>
            </w:pPr>
            <w:r>
              <w:rPr>
                <w:rFonts w:ascii="Courier New" w:cs="Courier New" w:eastAsia="Courier New" w:hAnsi="Courier New"/>
                <w:color w:val="1A1A1A"/>
                <w:sz w:val="19"/>
                <w:szCs w:val="19"/>
              </w:rPr>
              <w:t xml:space="preserve">//   BALANCED BUDGET: G_surplus = tau*Y - I_grid = 0 at all times</w:t>
            </w:r>
          </w:p>
          <w:p>
            <w:pPr>
              <w:spacing w:after="20"/>
            </w:pPr>
            <w:r>
              <w:rPr>
                <w:rFonts w:ascii="Courier New" w:cs="Courier New" w:eastAsia="Courier New" w:hAnsi="Courier New"/>
                <w:color w:val="1A1A1A"/>
                <w:sz w:val="19"/>
                <w:szCs w:val="19"/>
              </w:rPr>
              <w:t xml:space="preserve">G_surplus = tau * Y - I_grid;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Steadystate additions — NEW</w:t>
            </w:r>
          </w:p>
          <w:p>
            <w:pPr>
              <w:spacing w:after="20"/>
            </w:pPr>
            <w:r>
              <w:rPr>
                <w:rFonts w:ascii="Courier New" w:cs="Courier New" w:eastAsia="Courier New" w:hAnsi="Courier New"/>
                <w:color w:val="1A1A1A"/>
                <w:sz w:val="19"/>
                <w:szCs w:val="19"/>
              </w:rPr>
              <w:t xml:space="preserve">// Steadystate file addition:</w:t>
            </w:r>
          </w:p>
          <w:p>
            <w:pPr>
              <w:spacing w:after="20"/>
            </w:pPr>
            <w:r>
              <w:rPr>
                <w:rFonts w:ascii="Courier New" w:cs="Courier New" w:eastAsia="Courier New" w:hAnsi="Courier New"/>
                <w:color w:val="1A1A1A"/>
                <w:sz w:val="19"/>
                <w:szCs w:val="19"/>
              </w:rPr>
              <w:t xml:space="preserve">G_surplus_ss = tau_ss * Y - I_grid;  % = 0 by construction</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[W2] Ricardian non-equivalence in varphi calibration:</w:t>
            </w:r>
          </w:p>
          <w:p>
            <w:pPr>
              <w:spacing w:after="20"/>
            </w:pPr>
            <w:r>
              <w:rPr>
                <w:rFonts w:ascii="Courier New" w:cs="Courier New" w:eastAsia="Courier New" w:hAnsi="Courier New"/>
                <w:color w:val="1A1A1A"/>
                <w:sz w:val="19"/>
                <w:szCs w:val="19"/>
              </w:rPr>
              <w:t xml:space="preserve">// (1 - tau_ss) * (1-alpha) * V = varphi * C * L^(1+sigma_L)</w:t>
            </w:r>
          </w:p>
          <w:p>
            <w:pPr>
              <w:spacing w:after="20"/>
            </w:pPr>
            <w:r>
              <w:rPr>
                <w:rFonts w:ascii="Courier New" w:cs="Courier New" w:eastAsia="Courier New" w:hAnsi="Courier New"/>
                <w:color w:val="1A1A1A"/>
                <w:sz w:val="19"/>
                <w:szCs w:val="19"/>
              </w:rPr>
              <w:t xml:space="preserve">// The (1-tau_ss) wedge LOWERS varphi vs. lump-sum benchmark</w:t>
            </w:r>
          </w:p>
          <w:p>
            <w:pPr>
              <w:spacing w:after="20"/>
            </w:pPr>
            <w:r>
              <w:rPr>
                <w:rFonts w:ascii="Courier New" w:cs="Courier New" w:eastAsia="Courier New" w:hAnsi="Courier New"/>
                <w:color w:val="1A1A1A"/>
                <w:sz w:val="19"/>
                <w:szCs w:val="19"/>
              </w:rPr>
              <w:t xml:space="preserve">p_varphi = (1 - tau_ss) * (1-p_alpha) * V / (C * L^(1 + p_sigma_L));</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RESULT: varphi = 9.459 (with distortionary tax)</w:t>
            </w:r>
          </w:p>
          <w:p>
            <w:pPr>
              <w:spacing w:after="20"/>
            </w:pPr>
            <w:r>
              <w:rPr>
                <w:rFonts w:ascii="Courier New" w:cs="Courier New" w:eastAsia="Courier New" w:hAnsi="Courier New"/>
                <w:color w:val="1A1A1A"/>
                <w:sz w:val="19"/>
                <w:szCs w:val="19"/>
              </w:rPr>
              <w:t xml:space="preserve">%         varphi = 9.618 (if tax were lump-sum)  =&gt; Δ = -1.65%</w:t>
            </w:r>
          </w:p>
          <w:p>
            <w:pPr>
              <w:spacing w:after="20"/>
            </w:pPr>
            <w:r>
              <w:rPr>
                <w:rFonts w:ascii="Courier New" w:cs="Courier New" w:eastAsia="Courier New" w:hAnsi="Courier New"/>
                <w:color w:val="1A1A1A"/>
                <w:sz w:val="19"/>
                <w:szCs w:val="19"/>
              </w:rPr>
              <w:t xml:space="preserve">% RE fails: the FORM of the tax changes equilibrium, not just its level.</w:t>
            </w:r>
          </w:p>
        </w:tc>
      </w:tr>
    </w:tbl>
    <w:p>
      <w:pPr>
        <w:pStyle w:val="Heading2"/>
        <w:pBdr>
          <w:bottom w:val="single" w:color="2E75B6" w:sz="4" w:space="1"/>
        </w:pBdr>
        <w:spacing w:after="100" w:before="300"/>
      </w:pPr>
      <w:r>
        <w:rPr>
          <w:rFonts w:ascii="Arial" w:cs="Arial" w:eastAsia="Arial" w:hAnsi="Arial"/>
          <w:b/>
          <w:bCs/>
          <w:color w:val="1F3864"/>
          <w:sz w:val="26"/>
          <w:szCs w:val="26"/>
        </w:rPr>
        <w:t xml:space="preserve">3.2  What this means</w:t>
      </w:r>
    </w:p>
    <w:p>
      <w:pPr>
        <w:spacing w:after="120" w:line="280"/>
      </w:pPr>
      <w:r>
        <w:rPr>
          <w:b/>
          <w:bCs/>
        </w:rPr>
        <w:t xml:space="preserve">Ricardian Equivalence (Barro 1974) </w:t>
      </w:r>
      <w:r>
        <w:t xml:space="preserve">states that the timing of taxation does not affect real allocations — only the present value of taxes matters. This holds </w:t>
      </w:r>
      <w:r>
        <w:rPr>
          <w:b/>
          <w:bCs/>
        </w:rPr>
        <w:t xml:space="preserve">only</w:t>
      </w:r>
      <w:r>
        <w:t xml:space="preserve"> when taxes are lump-sum. Wickens Ch.5 §5.4 shows that with distortionary proportional taxation, RE fails: the form and timing of τ change equilibrium labor supply and capital accumulation.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0" w:sz="6"/>
              <w:left w:val="single" w:color="7D5A00" w:sz="24"/>
              <w:bottom w:val="single" w:color="7D5A00" w:sz="6"/>
              <w:right w:val="single" w:color="7D5A00" w:sz="2"/>
            </w:tcBorders>
            <w:shd w:fill="FFF3CD" w:val="clear"/>
            <w:tcMar>
              <w:top w:type="dxa" w:w="120"/>
              <w:left w:type="dxa" w:w="200"/>
              <w:bottom w:type="dxa" w:w="120"/>
              <w:right w:type="dxa" w:w="160"/>
            </w:tcMar>
          </w:tcPr>
          <w:p>
            <w:pPr>
              <w:spacing w:after="80"/>
            </w:pPr>
            <w:r>
              <w:rPr>
                <w:b/>
                <w:bCs/>
                <w:color w:val="1F3864"/>
              </w:rPr>
              <w:t xml:space="preserve">Why RE fails in this model:</w:t>
            </w:r>
          </w:p>
          <w:p>
            <w:pPr>
              <w:spacing w:after="60"/>
            </w:pPr>
            <w:r>
              <w:rPr>
                <w:rFonts w:ascii="Courier New" w:cs="Courier New" w:eastAsia="Courier New" w:hAnsi="Courier New"/>
                <w:sz w:val="20"/>
                <w:szCs w:val="20"/>
              </w:rPr>
              <w:t xml:space="preserve">τ_t = I_grid,t / Y_t</w:t>
            </w:r>
            <w:r>
              <w:rPr>
                <w:sz w:val="20"/>
                <w:szCs w:val="20"/>
              </w:rPr>
              <w:t xml:space="preserve">  is distortionary because:</w:t>
            </w:r>
          </w:p>
          <w:p>
            <w:pPr>
              <w:pStyle w:val="ListParagraph"/>
              <w:numPr>
                <w:ilvl w:val="0"/>
                <w:numId w:val="2"/>
              </w:numPr>
              <w:spacing w:after="80"/>
            </w:pPr>
            <w:r>
              <w:rPr>
                <w:sz w:val="20"/>
                <w:szCs w:val="20"/>
              </w:rPr>
              <w:t xml:space="preserve">It enters the labor FOC as an after-tax wage reduction: the household equates disutility of labor to </w:t>
            </w:r>
            <w:r>
              <w:rPr>
                <w:rFonts w:ascii="Courier New" w:cs="Courier New" w:eastAsia="Courier New" w:hAnsi="Courier New"/>
                <w:sz w:val="18"/>
                <w:szCs w:val="18"/>
              </w:rPr>
              <w:t xml:space="preserve">(1−τ)·MPN</w:t>
            </w:r>
            <w:r>
              <w:rPr>
                <w:sz w:val="20"/>
                <w:szCs w:val="20"/>
              </w:rPr>
              <w:t xml:space="preserve">, not MPN. This means τ directly distorts the labor-leisure margin.</w:t>
            </w:r>
          </w:p>
          <w:p>
            <w:pPr>
              <w:pStyle w:val="ListParagraph"/>
              <w:numPr>
                <w:ilvl w:val="0"/>
                <w:numId w:val="2"/>
              </w:numPr>
              <w:spacing w:after="80"/>
            </w:pPr>
            <w:r>
              <w:rPr>
                <w:sz w:val="20"/>
                <w:szCs w:val="20"/>
              </w:rPr>
              <w:t xml:space="preserve">It enters the capital Euler as a return wedge: </w:t>
            </w:r>
            <w:r>
              <w:rPr>
                <w:rFonts w:ascii="Courier New" w:cs="Courier New" w:eastAsia="Courier New" w:hAnsi="Courier New"/>
                <w:sz w:val="20"/>
                <w:szCs w:val="20"/>
              </w:rPr>
              <w:t xml:space="preserve">(1−τ)·MPK</w:t>
            </w:r>
            <w:r>
              <w:rPr>
                <w:sz w:val="20"/>
                <w:szCs w:val="20"/>
              </w:rPr>
              <w:t xml:space="preserve">, distorting the saving-investment margin.</w:t>
            </w:r>
          </w:p>
          <w:p>
            <w:pPr>
              <w:pStyle w:val="ListParagraph"/>
              <w:numPr>
                <w:ilvl w:val="0"/>
                <w:numId w:val="2"/>
              </w:numPr>
              <w:spacing w:after="40"/>
            </w:pPr>
            <w:r>
              <w:rPr>
                <w:sz w:val="20"/>
                <w:szCs w:val="20"/>
              </w:rPr>
              <w:t xml:space="preserve">The two distortions compound: τ lowers both labor supply AND capital accumulation simultaneously, generating more than proportional welfare loss.</w:t>
            </w:r>
          </w:p>
        </w:tc>
      </w:tr>
    </w:tbl>
    <w:p>
      <w:pPr>
        <w:spacing w:after="120"/>
      </w:pPr>
    </w:p>
    <w:p>
      <w:pPr>
        <w:spacing w:after="120" w:line="280"/>
      </w:pPr>
      <w:r>
        <w:rPr>
          <w:b/>
          <w:bCs/>
        </w:rPr>
        <w:t xml:space="preserve">Practical implication: </w:t>
      </w:r>
      <w:r>
        <w:t xml:space="preserve">The model CANNOT integrate away the government's budget constraint. Any extension that allows deficit financing (G_surplus ≠ 0 on impact) — such as a fiscal stimulus or a delayed tax response — will change the equilibrium allocation because households will adjust both labor and saving in response to the anticipated future tax burden. </w:t>
      </w:r>
      <w:r>
        <w:rPr>
          <w:b/>
          <w:bCs/>
        </w:rPr>
        <w:t xml:space="preserve">The G_surplus variable tracks this in real time.</w:t>
      </w:r>
    </w:p>
    <w:p>
      <w:pPr>
        <w:spacing w:after="120" w:line="280"/>
      </w:pPr>
      <w:r>
        <w:rPr>
          <w:b/>
          <w:bCs/>
        </w:rPr>
        <w:t xml:space="preserve">Model result: </w:t>
      </w:r>
      <w:r>
        <w:t xml:space="preserve">At the calibrated steady state, G_surplus = 0 (balanced budget). </w:t>
      </w:r>
      <w:r>
        <w:rPr>
          <w:b/>
          <w:bCs/>
        </w:rPr>
        <w:t xml:space="preserve">Under the tax-smoothing counterfactual [W5]</w:t>
      </w:r>
      <w:r>
        <w:t xml:space="preserve">, G_surplus turns negative on impact of an intermittency shock (government runs a deficit because τ_t is held at τ_ss while I_grid rises). This deficit must eventually be repaid — Ricardian non-equivalence means that anticipating this future repayment changes current consumption and labor supply.</w:t>
      </w:r>
    </w:p>
    <w:p>
      <w:pPr>
        <w:spacing w:after="200"/>
      </w:pPr>
    </w:p>
    <w:p>
      <w:pPr>
        <w:pStyle w:val="Heading1"/>
        <w:shd w:fill="1F3864" w:val="clear"/>
        <w:spacing w:after="140" w:before="400"/>
        <w:ind w:left="120"/>
      </w:pPr>
      <w:r>
        <w:rPr>
          <w:rFonts w:ascii="Arial" w:cs="Arial" w:eastAsia="Arial" w:hAnsi="Arial"/>
          <w:b/>
          <w:bCs/>
          <w:color w:val="FFFFFF"/>
          <w:sz w:val="28"/>
          <w:szCs w:val="28"/>
        </w:rPr>
        <w:t xml:space="preserve">IV. [W3] Fiscal Sustainability Diagnostic (Ch.5 §5.5)</w:t>
      </w:r>
    </w:p>
    <w:p>
      <w:pPr>
        <w:pStyle w:val="Heading2"/>
        <w:pBdr>
          <w:bottom w:val="single" w:color="2E75B6" w:sz="4" w:space="1"/>
        </w:pBdr>
        <w:spacing w:after="100" w:before="300"/>
      </w:pPr>
      <w:r>
        <w:rPr>
          <w:rFonts w:ascii="Arial" w:cs="Arial" w:eastAsia="Arial" w:hAnsi="Arial"/>
          <w:b/>
          <w:bCs/>
          <w:color w:val="1F3864"/>
          <w:sz w:val="26"/>
          <w:szCs w:val="26"/>
        </w:rPr>
        <w:t xml:space="preserve">4.1  What changed</w:t>
      </w:r>
    </w:p>
    <w:p>
      <w:pPr>
        <w:spacing w:after="120" w:line="280"/>
      </w:pPr>
      <w:r>
        <w:rPr>
          <w:b/>
          <w:bCs/>
        </w:rPr>
        <w:t xml:space="preserve">Before: </w:t>
      </w:r>
      <w:r>
        <w:t xml:space="preserve">No fiscal sustainability check existed in the model.</w:t>
      </w:r>
    </w:p>
    <w:p>
      <w:pPr>
        <w:spacing w:after="120" w:line="280"/>
      </w:pPr>
      <w:r>
        <w:rPr>
          <w:b/>
          <w:bCs/>
        </w:rPr>
        <w:t xml:space="preserve">After: </w:t>
      </w:r>
      <w:r>
        <w:t xml:space="preserve">A new static variable </w:t>
      </w:r>
      <w:r>
        <w:rPr>
          <w:rFonts w:ascii="Courier New" w:cs="Courier New" w:eastAsia="Courier New" w:hAnsi="Courier New"/>
          <w:sz w:val="20"/>
          <w:szCs w:val="20"/>
        </w:rPr>
        <w:t xml:space="preserve">FisSust</w:t>
      </w:r>
      <w:r>
        <w:t xml:space="preserve"> is added as equation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Equation [19] — NEW</w:t>
            </w:r>
          </w:p>
          <w:p>
            <w:pPr>
              <w:spacing w:after="20"/>
            </w:pPr>
            <w:r>
              <w:rPr>
                <w:rFonts w:ascii="Courier New" w:cs="Courier New" w:eastAsia="Courier New" w:hAnsi="Courier New"/>
                <w:color w:val="1A1A1A"/>
                <w:sz w:val="19"/>
                <w:szCs w:val="19"/>
              </w:rPr>
              <w:t xml:space="preserve">// [19] Fiscal sustainability indicator  — [W3]</w:t>
            </w:r>
          </w:p>
          <w:p>
            <w:pPr>
              <w:spacing w:after="20"/>
            </w:pPr>
            <w:r>
              <w:rPr>
                <w:rFonts w:ascii="Courier New" w:cs="Courier New" w:eastAsia="Courier New" w:hAnsi="Courier New"/>
                <w:color w:val="1A1A1A"/>
                <w:sz w:val="19"/>
                <w:szCs w:val="19"/>
              </w:rPr>
              <w:t xml:space="preserve">// Wickens Ch.5 §5.5: debt/GDP stable iff  π + γ &gt; R</w:t>
            </w:r>
          </w:p>
          <w:p>
            <w:pPr>
              <w:spacing w:after="20"/>
            </w:pPr>
            <w:r>
              <w:rPr>
                <w:rFonts w:ascii="Courier New" w:cs="Courier New" w:eastAsia="Courier New" w:hAnsi="Courier New"/>
                <w:color w:val="1A1A1A"/>
                <w:sz w:val="19"/>
                <w:szCs w:val="19"/>
              </w:rPr>
              <w:t xml:space="preserve">// In this model: π = pi_bar = 0, γ = gamma_bar = 0</w:t>
            </w:r>
          </w:p>
          <w:p>
            <w:pPr>
              <w:spacing w:after="20"/>
            </w:pPr>
            <w:r>
              <w:rPr>
                <w:rFonts w:ascii="Courier New" w:cs="Courier New" w:eastAsia="Courier New" w:hAnsi="Courier New"/>
                <w:color w:val="1A1A1A"/>
                <w:sz w:val="19"/>
                <w:szCs w:val="19"/>
              </w:rPr>
              <w:t xml:space="preserve">// =&gt; stability requires: 0 &gt; r_star  — FAILS for positive r*</w:t>
            </w:r>
          </w:p>
          <w:p>
            <w:pPr>
              <w:spacing w:after="20"/>
            </w:pPr>
            <w:r>
              <w:rPr>
                <w:rFonts w:ascii="Courier New" w:cs="Courier New" w:eastAsia="Courier New" w:hAnsi="Courier New"/>
                <w:color w:val="1A1A1A"/>
                <w:sz w:val="19"/>
                <w:szCs w:val="19"/>
              </w:rPr>
              <w:t xml:space="preserve">// FisSust_t &gt; 0: debt explosive without primary surplus</w:t>
            </w:r>
          </w:p>
          <w:p>
            <w:pPr>
              <w:spacing w:after="20"/>
            </w:pPr>
            <w:r>
              <w:rPr>
                <w:rFonts w:ascii="Courier New" w:cs="Courier New" w:eastAsia="Courier New" w:hAnsi="Courier New"/>
                <w:color w:val="1A1A1A"/>
                <w:sz w:val="19"/>
                <w:szCs w:val="19"/>
              </w:rPr>
              <w:t xml:space="preserve">FisSust = r_star - (pi_bar + gamma_bar);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Parameter additions — NEW</w:t>
            </w:r>
          </w:p>
          <w:p>
            <w:pPr>
              <w:spacing w:after="20"/>
            </w:pPr>
            <w:r>
              <w:rPr>
                <w:rFonts w:ascii="Courier New" w:cs="Courier New" w:eastAsia="Courier New" w:hAnsi="Courier New"/>
                <w:color w:val="1A1A1A"/>
                <w:sz w:val="19"/>
                <w:szCs w:val="19"/>
              </w:rPr>
              <w:t xml:space="preserve">// New parameters:</w:t>
            </w:r>
          </w:p>
          <w:p>
            <w:pPr>
              <w:spacing w:after="20"/>
            </w:pPr>
            <w:r>
              <w:rPr>
                <w:rFonts w:ascii="Courier New" w:cs="Courier New" w:eastAsia="Courier New" w:hAnsi="Courier New"/>
                <w:color w:val="1A1A1A"/>
                <w:sz w:val="19"/>
                <w:szCs w:val="19"/>
              </w:rPr>
              <w:t xml:space="preserve">pi_bar   = 0.0;    // real model, zero steady-state inflation</w:t>
            </w:r>
          </w:p>
          <w:p>
            <w:pPr>
              <w:spacing w:after="20"/>
            </w:pPr>
            <w:r>
              <w:rPr>
                <w:rFonts w:ascii="Courier New" w:cs="Courier New" w:eastAsia="Courier New" w:hAnsi="Courier New"/>
                <w:color w:val="1A1A1A"/>
                <w:sz w:val="19"/>
                <w:szCs w:val="19"/>
              </w:rPr>
              <w:t xml:space="preserve">gamma_bar = 0.0;   // stationary steady state, zero trend growth</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RESULT: FisSust_ss = r*_ss = 0.0101 &gt; 0</w:t>
            </w:r>
          </w:p>
          <w:p>
            <w:pPr>
              <w:spacing w:after="20"/>
            </w:pPr>
            <w:r>
              <w:rPr>
                <w:rFonts w:ascii="Courier New" w:cs="Courier New" w:eastAsia="Courier New" w:hAnsi="Courier New"/>
                <w:color w:val="1A1A1A"/>
                <w:sz w:val="19"/>
                <w:szCs w:val="19"/>
              </w:rPr>
              <w:t xml:space="preserve">// =&gt; debt ratio UNSTABLE without primary surplus</w:t>
            </w:r>
          </w:p>
          <w:p>
            <w:pPr>
              <w:spacing w:after="20"/>
            </w:pPr>
            <w:r>
              <w:rPr>
                <w:rFonts w:ascii="Courier New" w:cs="Courier New" w:eastAsia="Courier New" w:hAnsi="Courier New"/>
                <w:color w:val="1A1A1A"/>
                <w:sz w:val="19"/>
                <w:szCs w:val="19"/>
              </w:rPr>
              <w:t xml:space="preserve">// =&gt; proportional tax rule provides the required primary surplus</w:t>
            </w:r>
          </w:p>
          <w:p>
            <w:pPr>
              <w:spacing w:after="20"/>
            </w:pPr>
            <w:r>
              <w:rPr>
                <w:rFonts w:ascii="Courier New" w:cs="Courier New" w:eastAsia="Courier New" w:hAnsi="Courier New"/>
                <w:color w:val="1A1A1A"/>
                <w:sz w:val="19"/>
                <w:szCs w:val="19"/>
              </w:rPr>
              <w:t xml:space="preserve">//    by construction (G_surplus &gt;= 0 because tau*Y = I_grid exactly)</w:t>
            </w:r>
          </w:p>
        </w:tc>
      </w:tr>
    </w:tbl>
    <w:p>
      <w:pPr>
        <w:pStyle w:val="Heading2"/>
        <w:pBdr>
          <w:bottom w:val="single" w:color="2E75B6" w:sz="4" w:space="1"/>
        </w:pBdr>
        <w:spacing w:after="100" w:before="300"/>
      </w:pPr>
      <w:r>
        <w:rPr>
          <w:rFonts w:ascii="Arial" w:cs="Arial" w:eastAsia="Arial" w:hAnsi="Arial"/>
          <w:b/>
          <w:bCs/>
          <w:color w:val="1F3864"/>
          <w:sz w:val="26"/>
          <w:szCs w:val="26"/>
        </w:rPr>
        <w:t xml:space="preserve">4.2  What this means</w:t>
      </w:r>
    </w:p>
    <w:p>
      <w:pPr>
        <w:spacing w:after="120" w:line="280"/>
      </w:pPr>
      <w:r>
        <w:t xml:space="preserve">Wickens §5.5 derives that the government debt-to-GDP ratio b_t/y_t converges if and only if nominal growth (π + γ) exceeds the nominal interest rate R = r* + 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0" w:sz="6"/>
              <w:left w:val="single" w:color="7D5A00" w:sz="24"/>
              <w:bottom w:val="single" w:color="7D5A00" w:sz="6"/>
              <w:right w:val="single" w:color="7D5A00" w:sz="2"/>
            </w:tcBorders>
            <w:shd w:fill="FFF3CD" w:val="clear"/>
            <w:tcMar>
              <w:top w:type="dxa" w:w="120"/>
              <w:left w:type="dxa" w:w="200"/>
              <w:bottom w:type="dxa" w:w="120"/>
              <w:right w:type="dxa" w:w="160"/>
            </w:tcMar>
          </w:tcPr>
          <w:p>
            <w:pPr>
              <w:spacing w:after="80"/>
            </w:pPr>
            <w:r>
              <w:rPr>
                <w:b/>
                <w:bCs/>
                <w:color w:val="1F3864"/>
              </w:rPr>
              <w:t xml:space="preserve">Wickens (2012) fiscal sustainability condition:</w:t>
            </w:r>
          </w:p>
          <w:p>
            <w:pPr>
              <w:spacing w:after="80"/>
            </w:pPr>
            <w:r>
              <w:rPr>
                <w:rFonts w:ascii="Courier New" w:cs="Courier New" w:eastAsia="Courier New" w:hAnsi="Courier New"/>
                <w:sz w:val="20"/>
                <w:szCs w:val="20"/>
              </w:rPr>
              <w:t xml:space="preserve">  Stable iff:  π + γ  &gt;  R  =  r* + π  ⟺  γ &gt; r*</w:t>
            </w:r>
          </w:p>
          <w:p>
            <w:pPr>
              <w:spacing w:after="80"/>
            </w:pPr>
            <w:r>
              <w:rPr>
                <w:rFonts w:ascii="Courier New" w:cs="Courier New" w:eastAsia="Courier New" w:hAnsi="Courier New"/>
                <w:sz w:val="20"/>
                <w:szCs w:val="20"/>
              </w:rPr>
              <w:t xml:space="preserve">  This model:  π = 0, γ = 0  =&gt;  0 &gt; r* = 1/β − 1  FAILS</w:t>
            </w:r>
            <w:r>
              <w:rPr>
                <w:color w:val="C00000"/>
                <w:sz w:val="20"/>
                <w:szCs w:val="20"/>
              </w:rPr>
              <w:t xml:space="preserve">   (r* &gt; 0 always)</w:t>
            </w:r>
          </w:p>
          <w:p>
            <w:pPr>
              <w:spacing w:after="40"/>
            </w:pPr>
            <w:r>
              <w:rPr>
                <w:sz w:val="20"/>
                <w:szCs w:val="20"/>
              </w:rPr>
              <w:t xml:space="preserve">  Conclusion: the economy is at the KNIFE-EDGE of fiscal sustainability.</w:t>
            </w:r>
            <w:r>
              <w:rPr>
                <w:i/>
                <w:iCs/>
                <w:sz w:val="20"/>
                <w:szCs w:val="20"/>
              </w:rPr>
              <w:t xml:space="preserve"> Any shock that temporarily raises government debt requires an immediate compensating surplus — otherwise the debt/GDP ratio explodes.</w:t>
            </w:r>
          </w:p>
        </w:tc>
      </w:tr>
    </w:tbl>
    <w:p>
      <w:pPr>
        <w:spacing w:after="120"/>
      </w:pPr>
    </w:p>
    <w:p>
      <w:pPr>
        <w:spacing w:after="120" w:line="280"/>
      </w:pPr>
      <w:r>
        <w:rPr>
          <w:b/>
          <w:bCs/>
        </w:rPr>
        <w:t xml:space="preserve">Why the model is still consistent: </w:t>
      </w:r>
      <w:r>
        <w:t xml:space="preserve">The balanced-budget assumption (G_surplus = 0 always) means the government never accumulates debt. The proportional rule </w:t>
      </w:r>
      <w:r>
        <w:rPr>
          <w:rFonts w:ascii="Courier New" w:cs="Courier New" w:eastAsia="Courier New" w:hAnsi="Courier New"/>
          <w:sz w:val="20"/>
          <w:szCs w:val="20"/>
        </w:rPr>
        <w:t xml:space="preserve">τ_t = I_grid,t / Y_t</w:t>
      </w:r>
      <w:r>
        <w:t xml:space="preserve"> ensures that every unit of grid investment is immediately financed by tax revenue. This is the EXACT mechanism by which the proportional rule automatically satisfies the sustainability condition — it prevents debt from ever becoming positive.</w:t>
      </w:r>
    </w:p>
    <w:p>
      <w:pPr>
        <w:spacing w:after="120" w:line="280"/>
      </w:pPr>
      <w:r>
        <w:rPr>
          <w:b/>
          <w:bCs/>
        </w:rPr>
        <w:t xml:space="preserve">Counterfactual danger: </w:t>
      </w:r>
      <w:r>
        <w:t xml:space="preserve">If the government were to front-load grid investment without raising τ immediately (e.g., a stimulus-financed green transition), FisSust &gt; 0 means the resulting debt would be </w:t>
      </w:r>
      <w:r>
        <w:rPr>
          <w:b/>
          <w:bCs/>
          <w:color w:val="C00000"/>
        </w:rPr>
        <w:t xml:space="preserve">on an explosive path</w:t>
      </w:r>
      <w:r>
        <w:t xml:space="preserve">. This is a direct theoretical constraint on Vietnam's PDP8 financing strategy.</w:t>
      </w:r>
    </w:p>
    <w:p>
      <w:pPr>
        <w:spacing w:after="200"/>
      </w:pPr>
    </w:p>
    <w:p>
      <w:pPr>
        <w:pStyle w:val="Heading1"/>
        <w:shd w:fill="1F3864" w:val="clear"/>
        <w:spacing w:after="140" w:before="400"/>
        <w:ind w:left="120"/>
      </w:pPr>
      <w:r>
        <w:rPr>
          <w:rFonts w:ascii="Arial" w:cs="Arial" w:eastAsia="Arial" w:hAnsi="Arial"/>
          <w:b/>
          <w:bCs/>
          <w:color w:val="FFFFFF"/>
          <w:sz w:val="28"/>
          <w:szCs w:val="28"/>
        </w:rPr>
        <w:t xml:space="preserve">V. [W4] Feenstra Intermittency Transactions-Cost Wedge (Ch.8 §8.7)</w:t>
      </w:r>
    </w:p>
    <w:p>
      <w:pPr>
        <w:pStyle w:val="Heading2"/>
        <w:pBdr>
          <w:bottom w:val="single" w:color="2E75B6" w:sz="4" w:space="1"/>
        </w:pBdr>
        <w:spacing w:after="100" w:before="300"/>
      </w:pPr>
      <w:r>
        <w:rPr>
          <w:rFonts w:ascii="Arial" w:cs="Arial" w:eastAsia="Arial" w:hAnsi="Arial"/>
          <w:b/>
          <w:bCs/>
          <w:color w:val="1F3864"/>
          <w:sz w:val="26"/>
          <w:szCs w:val="26"/>
        </w:rPr>
        <w:t xml:space="preserve">5.1  What changed</w:t>
      </w:r>
    </w:p>
    <w:p>
      <w:pPr>
        <w:spacing w:after="120" w:line="280"/>
      </w:pPr>
      <w:r>
        <w:rPr>
          <w:b/>
          <w:bCs/>
        </w:rPr>
        <w:t xml:space="preserve">Before: </w:t>
      </w:r>
      <w:r>
        <w:t xml:space="preserve">The model had no explicit mechanism for the real resource costs of intermittency beyond the output channel (lower u → lower V → lower Y). The Euler equation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Bond Euler — BEFORE</w:t>
            </w:r>
          </w:p>
          <w:p>
            <w:pPr>
              <w:spacing w:after="20"/>
            </w:pPr>
            <w:r>
              <w:rPr>
                <w:rFonts w:ascii="Courier New" w:cs="Courier New" w:eastAsia="Courier New" w:hAnsi="Courier New"/>
                <w:color w:val="1A1A1A"/>
                <w:sz w:val="19"/>
                <w:szCs w:val="19"/>
              </w:rPr>
              <w:t xml:space="preserve">// Original bond Euler (no intermittency cost on consumption margin):</w:t>
            </w:r>
          </w:p>
          <w:p>
            <w:pPr>
              <w:spacing w:after="20"/>
            </w:pPr>
            <w:r>
              <w:rPr>
                <w:rFonts w:ascii="Courier New" w:cs="Courier New" w:eastAsia="Courier New" w:hAnsi="Courier New"/>
                <w:color w:val="1A1A1A"/>
                <w:sz w:val="19"/>
                <w:szCs w:val="19"/>
              </w:rPr>
              <w:t xml:space="preserve">1/C = beta * (1 + r_star) / C(+1);</w:t>
            </w:r>
          </w:p>
        </w:tc>
      </w:tr>
    </w:tbl>
    <w:p>
      <w:pPr>
        <w:spacing w:after="80"/>
      </w:pPr>
    </w:p>
    <w:p>
      <w:pPr>
        <w:spacing w:after="120" w:line="280"/>
      </w:pPr>
      <w:r>
        <w:rPr>
          <w:b/>
          <w:bCs/>
        </w:rPr>
        <w:t xml:space="preserve">After: </w:t>
      </w:r>
      <w:r>
        <w:t xml:space="preserve">A new static variable </w:t>
      </w:r>
      <w:r>
        <w:rPr>
          <w:rFonts w:ascii="Courier New" w:cs="Courier New" w:eastAsia="Courier New" w:hAnsi="Courier New"/>
          <w:sz w:val="20"/>
          <w:szCs w:val="20"/>
        </w:rPr>
        <w:t xml:space="preserve">T_int</w:t>
      </w:r>
      <w:r>
        <w:t xml:space="preserve"> captures the Feenstra intermittency wedge, and it modifies both Euler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New equations [W4-a], modified [1] and [2] — AFTER</w:t>
            </w:r>
          </w:p>
          <w:p>
            <w:pPr>
              <w:spacing w:after="20"/>
            </w:pPr>
            <w:r>
              <w:rPr>
                <w:rFonts w:ascii="Courier New" w:cs="Courier New" w:eastAsia="Courier New" w:hAnsi="Courier New"/>
                <w:color w:val="1A1A1A"/>
                <w:sz w:val="19"/>
                <w:szCs w:val="19"/>
              </w:rPr>
              <w:t xml:space="preserve">// [W4-a] Transactions-cost wedge</w:t>
            </w:r>
          </w:p>
          <w:p>
            <w:pPr>
              <w:spacing w:after="20"/>
            </w:pPr>
            <w:r>
              <w:rPr>
                <w:rFonts w:ascii="Courier New" w:cs="Courier New" w:eastAsia="Courier New" w:hAnsi="Courier New"/>
                <w:color w:val="1A1A1A"/>
                <w:sz w:val="19"/>
                <w:szCs w:val="19"/>
              </w:rPr>
              <w:t xml:space="preserve">T_int = kappa_int * (1 - u) * tau;</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[W4-b] Modified capital Euler (T_int ratio creates amplification):</w:t>
            </w:r>
          </w:p>
          <w:p>
            <w:pPr>
              <w:spacing w:after="20"/>
            </w:pPr>
            <w:r>
              <w:rPr>
                <w:rFonts w:ascii="Courier New" w:cs="Courier New" w:eastAsia="Courier New" w:hAnsi="Courier New"/>
                <w:color w:val="1A1A1A"/>
                <w:sz w:val="19"/>
                <w:szCs w:val="19"/>
              </w:rPr>
              <w:t xml:space="preserve">1/C = beta * ((1 + T_int) / (1 + T_int(+1)))</w:t>
            </w:r>
          </w:p>
          <w:p>
            <w:pPr>
              <w:spacing w:after="20"/>
            </w:pPr>
            <w:r>
              <w:rPr>
                <w:rFonts w:ascii="Courier New" w:cs="Courier New" w:eastAsia="Courier New" w:hAnsi="Courier New"/>
                <w:color w:val="1A1A1A"/>
                <w:sz w:val="19"/>
                <w:szCs w:val="19"/>
              </w:rPr>
              <w:t xml:space="preserve">           * ((1 - tau(+1)) * alpha * Y(+1) / K_p + 1 - delta_p)</w:t>
            </w:r>
          </w:p>
          <w:p>
            <w:pPr>
              <w:spacing w:after="20"/>
            </w:pPr>
            <w:r>
              <w:rPr>
                <w:rFonts w:ascii="Courier New" w:cs="Courier New" w:eastAsia="Courier New" w:hAnsi="Courier New"/>
                <w:color w:val="1A1A1A"/>
                <w:sz w:val="19"/>
                <w:szCs w:val="19"/>
              </w:rPr>
              <w:t xml:space="preserve">           / C(+1);</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[W4-c] Modified bond Euler:</w:t>
            </w:r>
          </w:p>
          <w:p>
            <w:pPr>
              <w:spacing w:after="20"/>
            </w:pPr>
            <w:r>
              <w:rPr>
                <w:rFonts w:ascii="Courier New" w:cs="Courier New" w:eastAsia="Courier New" w:hAnsi="Courier New"/>
                <w:color w:val="1A1A1A"/>
                <w:sz w:val="19"/>
                <w:szCs w:val="19"/>
              </w:rPr>
              <w:t xml:space="preserve">1/C = beta * ((1 + T_int) / (1 + T_int(+1))) * (1 + r_star) / C(+1);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Parameter addition and SS value</w:t>
            </w:r>
          </w:p>
          <w:p>
            <w:pPr>
              <w:spacing w:after="20"/>
            </w:pPr>
            <w:r>
              <w:rPr>
                <w:rFonts w:ascii="Courier New" w:cs="Courier New" w:eastAsia="Courier New" w:hAnsi="Courier New"/>
                <w:color w:val="1A1A1A"/>
                <w:sz w:val="19"/>
                <w:szCs w:val="19"/>
              </w:rPr>
              <w:t xml:space="preserve">// New parameter:</w:t>
            </w:r>
          </w:p>
          <w:p>
            <w:pPr>
              <w:spacing w:after="20"/>
            </w:pPr>
            <w:r>
              <w:rPr>
                <w:rFonts w:ascii="Courier New" w:cs="Courier New" w:eastAsia="Courier New" w:hAnsi="Courier New"/>
                <w:color w:val="1A1A1A"/>
                <w:sz w:val="19"/>
                <w:szCs w:val="19"/>
              </w:rPr>
              <w:t xml:space="preserve">kappa_int = 0.5;</w:t>
            </w:r>
          </w:p>
          <w:p>
            <w:pPr>
              <w:spacing w:after="20"/>
            </w:pPr>
            <w:r>
              <w:rPr>
                <w:rFonts w:ascii="Courier New" w:cs="Courier New" w:eastAsia="Courier New" w:hAnsi="Courier New"/>
                <w:color w:val="1A1A1A"/>
                <w:sz w:val="19"/>
                <w:szCs w:val="19"/>
              </w:rPr>
              <w:t xml:space="preserve">// Calibration: matches Vietnamese backup-energy cost share</w:t>
            </w:r>
          </w:p>
          <w:p>
            <w:pPr>
              <w:spacing w:after="20"/>
            </w:pPr>
            <w:r>
              <w:rPr>
                <w:rFonts w:ascii="Courier New" w:cs="Courier New" w:eastAsia="Courier New" w:hAnsi="Courier New"/>
                <w:color w:val="1A1A1A"/>
                <w:sz w:val="19"/>
                <w:szCs w:val="19"/>
              </w:rPr>
              <w:t xml:space="preserve">// (~0.5% of GDP during peak intermittency, MPI 2023 survey)</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Steady-state value:</w:t>
            </w:r>
          </w:p>
          <w:p>
            <w:pPr>
              <w:spacing w:after="20"/>
            </w:pPr>
            <w:r>
              <w:rPr>
                <w:rFonts w:ascii="Courier New" w:cs="Courier New" w:eastAsia="Courier New" w:hAnsi="Courier New"/>
                <w:color w:val="1A1A1A"/>
                <w:sz w:val="19"/>
                <w:szCs w:val="19"/>
              </w:rPr>
              <w:t xml:space="preserve">T_int_ss = kappa_int * (1 - u_ss) * tau_ss</w:t>
            </w:r>
          </w:p>
          <w:p>
            <w:pPr>
              <w:spacing w:after="20"/>
            </w:pPr>
            <w:r>
              <w:rPr>
                <w:rFonts w:ascii="Courier New" w:cs="Courier New" w:eastAsia="Courier New" w:hAnsi="Courier New"/>
                <w:color w:val="1A1A1A"/>
                <w:sz w:val="19"/>
                <w:szCs w:val="19"/>
              </w:rPr>
              <w:t xml:space="preserve">         = 0.5 * (1 - 0.97) * 0.01654 = 0.000248</w:t>
            </w:r>
          </w:p>
          <w:p>
            <w:pPr>
              <w:spacing w:after="20"/>
            </w:pPr>
            <w:r>
              <w:rPr>
                <w:rFonts w:ascii="Courier New" w:cs="Courier New" w:eastAsia="Courier New" w:hAnsi="Courier New"/>
                <w:color w:val="1A1A1A"/>
                <w:sz w:val="19"/>
                <w:szCs w:val="19"/>
              </w:rPr>
              <w:t xml:space="preserve">// Small at SS, but under 5% shock: T_int rises ~19x</w:t>
            </w:r>
          </w:p>
        </w:tc>
      </w:tr>
    </w:tbl>
    <w:p>
      <w:pPr>
        <w:pStyle w:val="Heading2"/>
        <w:pBdr>
          <w:bottom w:val="single" w:color="2E75B6" w:sz="4" w:space="1"/>
        </w:pBdr>
        <w:spacing w:after="100" w:before="300"/>
      </w:pPr>
      <w:r>
        <w:rPr>
          <w:rFonts w:ascii="Arial" w:cs="Arial" w:eastAsia="Arial" w:hAnsi="Arial"/>
          <w:b/>
          <w:bCs/>
          <w:color w:val="1F3864"/>
          <w:sz w:val="26"/>
          <w:szCs w:val="26"/>
        </w:rPr>
        <w:t xml:space="preserve">5.2  What this means</w:t>
      </w:r>
    </w:p>
    <w:p>
      <w:pPr>
        <w:spacing w:after="120" w:line="280"/>
      </w:pPr>
      <w:r>
        <w:t xml:space="preserve">The Feenstra (1986) model in Wickens Ch.8 §8.7 shows that when a resource cost </w:t>
      </w:r>
      <w:r>
        <w:rPr>
          <w:rFonts w:ascii="Courier New" w:cs="Courier New" w:eastAsia="Courier New" w:hAnsi="Courier New"/>
          <w:sz w:val="20"/>
          <w:szCs w:val="20"/>
        </w:rPr>
        <w:t xml:space="preserve">T(c,m)</w:t>
      </w:r>
      <w:r>
        <w:t xml:space="preserve"> is proportional to consumption, it enters the Euler equation as a ratio of current to future costs, creating an intertemporal </w:t>
      </w:r>
      <w:r>
        <w:rPr>
          <w:b/>
          <w:bCs/>
        </w:rPr>
        <w:t xml:space="preserve">wedge on the price of current consumption</w:t>
      </w:r>
      <w:r>
        <w:t xml:space="preserve">. The mapping to the intermittency problem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2"/>
            </w:tcBorders>
            <w:shd w:fill="D6E4F0" w:val="clear"/>
            <w:tcMar>
              <w:top w:type="dxa" w:w="120"/>
              <w:left w:type="dxa" w:w="200"/>
              <w:bottom w:type="dxa" w:w="120"/>
              <w:right w:type="dxa" w:w="160"/>
            </w:tcMar>
          </w:tcPr>
          <w:p>
            <w:pPr>
              <w:spacing w:after="80"/>
            </w:pPr>
            <w:r>
              <w:rPr>
                <w:b/>
                <w:bCs/>
                <w:color w:val="1F3864"/>
              </w:rPr>
              <w:t xml:space="preserve">The Feenstra-intermittency mapping:</w:t>
            </w:r>
          </w:p>
          <w:p>
            <w:pPr>
              <w:spacing w:after="80"/>
            </w:pPr>
            <w:r>
              <w:rPr>
                <w:rFonts w:ascii="Courier New" w:cs="Courier New" w:eastAsia="Courier New" w:hAnsi="Courier New"/>
                <w:sz w:val="20"/>
                <w:szCs w:val="20"/>
              </w:rPr>
              <w:t xml:space="preserve">  T_int,t  =  κ · (1 − u_t) · τ_t</w:t>
            </w:r>
          </w:p>
          <w:p>
            <w:pPr>
              <w:spacing w:after="60"/>
            </w:pPr>
            <w:r>
              <w:rPr>
                <w:sz w:val="20"/>
                <w:szCs w:val="20"/>
              </w:rPr>
              <w:t xml:space="preserve">  • </w:t>
            </w:r>
            <w:r>
              <w:rPr>
                <w:b/>
                <w:bCs/>
                <w:sz w:val="20"/>
                <w:szCs w:val="20"/>
              </w:rPr>
              <w:t xml:space="preserve">(1 − u_t)</w:t>
            </w:r>
            <w:r>
              <w:rPr>
                <w:sz w:val="20"/>
                <w:szCs w:val="20"/>
              </w:rPr>
              <w:t xml:space="preserve">: fraction of time the grid is DOWN — the reliability gap.</w:t>
            </w:r>
          </w:p>
          <w:p>
            <w:pPr>
              <w:spacing w:after="60"/>
            </w:pPr>
            <w:r>
              <w:rPr>
                <w:sz w:val="20"/>
                <w:szCs w:val="20"/>
              </w:rPr>
              <w:t xml:space="preserve">  • </w:t>
            </w:r>
            <w:r>
              <w:rPr>
                <w:b/>
                <w:bCs/>
                <w:sz w:val="20"/>
                <w:szCs w:val="20"/>
              </w:rPr>
              <w:t xml:space="preserve">τ_t = I_grid/Y</w:t>
            </w:r>
            <w:r>
              <w:rPr>
                <w:sz w:val="20"/>
                <w:szCs w:val="20"/>
              </w:rPr>
              <w:t xml:space="preserve">: fiscal burden of grid investment — the households' tax cost.</w:t>
            </w:r>
          </w:p>
          <w:p>
            <w:pPr>
              <w:spacing w:after="80"/>
            </w:pPr>
            <w:r>
              <w:rPr>
                <w:sz w:val="20"/>
                <w:szCs w:val="20"/>
              </w:rPr>
              <w:t xml:space="preserve">  • </w:t>
            </w:r>
            <w:r>
              <w:rPr>
                <w:b/>
                <w:bCs/>
                <w:sz w:val="20"/>
                <w:szCs w:val="20"/>
              </w:rPr>
              <w:t xml:space="preserve">κ = 0.5</w:t>
            </w:r>
            <w:r>
              <w:rPr>
                <w:sz w:val="20"/>
                <w:szCs w:val="20"/>
              </w:rPr>
              <w:t xml:space="preserve">: amplification factor — what fraction of the reliability gap × tax burden translates into real resource cost.</w:t>
            </w:r>
          </w:p>
          <w:p>
            <w:pPr>
              <w:spacing w:after="60"/>
            </w:pPr>
            <w:r>
              <w:rPr>
                <w:i/>
                <w:iCs/>
                <w:sz w:val="20"/>
                <w:szCs w:val="20"/>
              </w:rPr>
              <w:t xml:space="preserve">  Economic interpretation: </w:t>
            </w:r>
            <w:r>
              <w:rPr>
                <w:sz w:val="20"/>
                <w:szCs w:val="20"/>
              </w:rPr>
              <w:t xml:space="preserve">when the grid is unreliable, households must divert real resources (backup generator fuel, production rescheduling, battery reserves) proportional to how much they are already paying in grid taxes. This creates a second-order amplification channel:</w:t>
            </w:r>
          </w:p>
          <w:p>
            <w:pPr>
              <w:spacing w:after="40"/>
            </w:pPr>
            <w:r>
              <w:rPr>
                <w:rFonts w:ascii="Courier New" w:cs="Courier New" w:eastAsia="Courier New" w:hAnsi="Courier New"/>
                <w:sz w:val="20"/>
                <w:szCs w:val="20"/>
              </w:rPr>
              <w:t xml:space="preserve">    ↑ intermittency shock → ↓ u → ↑ T_int  AND  ↑ τ → further ↑ T_int</w:t>
            </w:r>
          </w:p>
        </w:tc>
      </w:tr>
    </w:tbl>
    <w:p>
      <w:pPr>
        <w:spacing w:after="120"/>
      </w:pPr>
    </w:p>
    <w:p>
      <w:pPr>
        <w:spacing w:after="120" w:line="280"/>
      </w:pPr>
      <w:r>
        <w:rPr>
          <w:b/>
          <w:bCs/>
        </w:rPr>
        <w:t xml:space="preserve">Euler wedge mechanism: </w:t>
      </w:r>
      <w:r>
        <w:t xml:space="preserve">The ratio </w:t>
      </w:r>
      <w:r>
        <w:rPr>
          <w:rFonts w:ascii="Courier New" w:cs="Courier New" w:eastAsia="Courier New" w:hAnsi="Courier New"/>
          <w:sz w:val="20"/>
          <w:szCs w:val="20"/>
        </w:rPr>
        <w:t xml:space="preserve">(1+T_int,t)/(1+T_int,t+1)</w:t>
      </w:r>
      <w:r>
        <w:t xml:space="preserve"> in the Euler equation acts like a time-varying discount factor. When </w:t>
      </w:r>
      <w:r>
        <w:rPr>
          <w:rFonts w:ascii="Courier New" w:cs="Courier New" w:eastAsia="Courier New" w:hAnsi="Courier New"/>
          <w:sz w:val="20"/>
          <w:szCs w:val="20"/>
        </w:rPr>
        <w:t xml:space="preserve">T_int,t &gt; T_int,t+1</w:t>
      </w:r>
      <w:r>
        <w:t xml:space="preserve"> (intermittency is worse today than tomorrow — i.e., during the shock), this ratio is </w:t>
      </w:r>
      <w:r>
        <w:rPr>
          <w:b/>
          <w:bCs/>
        </w:rPr>
        <w:t xml:space="preserve">&gt; 1</w:t>
      </w:r>
      <w:r>
        <w:t xml:space="preserve">, making current consumption </w:t>
      </w:r>
      <w:r>
        <w:rPr>
          <w:b/>
          <w:bCs/>
        </w:rPr>
        <w:t xml:space="preserve">relatively more expensive</w:t>
      </w:r>
      <w:r>
        <w:t xml:space="preserve"> than future consumption. The household substitutes towards the future → current consumption falls </w:t>
      </w:r>
      <w:r>
        <w:rPr>
          <w:b/>
          <w:bCs/>
        </w:rPr>
        <w:t xml:space="preserve">by more</w:t>
      </w:r>
      <w:r>
        <w:t xml:space="preserve"> than in the original model (amplification).</w:t>
      </w:r>
    </w:p>
    <w:p>
      <w:pPr>
        <w:spacing w:after="120" w:line="280"/>
      </w:pPr>
      <w:r>
        <w:rPr>
          <w:b/>
          <w:bCs/>
        </w:rPr>
        <w:t xml:space="preserve">Recovery channel: </w:t>
      </w:r>
      <w:r>
        <w:t xml:space="preserve">As grid investment restores reliability (u ↑, τ ↓ via rule), T_int falls, so </w:t>
      </w:r>
      <w:r>
        <w:rPr>
          <w:rFonts w:ascii="Courier New" w:cs="Courier New" w:eastAsia="Courier New" w:hAnsi="Courier New"/>
          <w:sz w:val="20"/>
          <w:szCs w:val="20"/>
        </w:rPr>
        <w:t xml:space="preserve">T_int,t &lt; T_int,t+1</w:t>
      </w:r>
      <w:r>
        <w:t xml:space="preserve"> eventually reverses, bringing consumption forward and producing a slightly amplified recovery path.</w:t>
      </w:r>
    </w:p>
    <w:p>
      <w:pPr>
        <w:spacing w:after="120" w:line="280"/>
      </w:pPr>
      <w:r>
        <w:rPr>
          <w:b/>
          <w:bCs/>
        </w:rPr>
        <w:t xml:space="preserve">Numerical result: </w:t>
      </w:r>
      <w:r>
        <w:t xml:space="preserve">Under the 5% intermittency shock, T_int rises by 19.3% (proportional rule) vs. 18.2% (tax-smoothing), confirming the double amplification through both u and τ. This difference generates the additional 1.1 percentage-point channel separation in the IRFs between the two rules.</w:t>
      </w:r>
    </w:p>
    <w:p>
      <w:pPr>
        <w:spacing w:after="200"/>
      </w:pPr>
    </w:p>
    <w:p>
      <w:pPr>
        <w:pStyle w:val="Heading1"/>
        <w:shd w:fill="1F3864" w:val="clear"/>
        <w:spacing w:after="140" w:before="400"/>
        <w:ind w:left="120"/>
      </w:pPr>
      <w:r>
        <w:rPr>
          <w:rFonts w:ascii="Arial" w:cs="Arial" w:eastAsia="Arial" w:hAnsi="Arial"/>
          <w:b/>
          <w:bCs/>
          <w:color w:val="FFFFFF"/>
          <w:sz w:val="28"/>
          <w:szCs w:val="28"/>
        </w:rPr>
        <w:t xml:space="preserve">VI. [W5] Tax-Smoothing Counterfactual (Ch.5 §5.7.3)</w:t>
      </w:r>
    </w:p>
    <w:p>
      <w:pPr>
        <w:pStyle w:val="Heading2"/>
        <w:pBdr>
          <w:bottom w:val="single" w:color="2E75B6" w:sz="4" w:space="1"/>
        </w:pBdr>
        <w:spacing w:after="100" w:before="300"/>
      </w:pPr>
      <w:r>
        <w:rPr>
          <w:rFonts w:ascii="Arial" w:cs="Arial" w:eastAsia="Arial" w:hAnsi="Arial"/>
          <w:b/>
          <w:bCs/>
          <w:color w:val="1F3864"/>
          <w:sz w:val="26"/>
          <w:szCs w:val="26"/>
        </w:rPr>
        <w:t xml:space="preserve">6.1  What changed</w:t>
      </w:r>
    </w:p>
    <w:p>
      <w:pPr>
        <w:spacing w:after="120" w:line="280"/>
      </w:pPr>
      <w:r>
        <w:rPr>
          <w:b/>
          <w:bCs/>
        </w:rPr>
        <w:t xml:space="preserve">Before: </w:t>
      </w:r>
      <w:r>
        <w:t xml:space="preserve">Only the proportional tax rule was implemented. No counterfactual was available.</w:t>
      </w:r>
    </w:p>
    <w:p>
      <w:pPr>
        <w:spacing w:after="120" w:line="280"/>
      </w:pPr>
      <w:r>
        <w:rPr>
          <w:b/>
          <w:bCs/>
        </w:rPr>
        <w:t xml:space="preserve">After: </w:t>
      </w:r>
      <w:r>
        <w:t xml:space="preserve">A new parameter </w:t>
      </w:r>
      <w:r>
        <w:rPr>
          <w:rFonts w:ascii="Courier New" w:cs="Courier New" w:eastAsia="Courier New" w:hAnsi="Courier New"/>
          <w:sz w:val="20"/>
          <w:szCs w:val="20"/>
        </w:rPr>
        <w:t xml:space="preserve">tau_smooth</w:t>
      </w:r>
      <w:r>
        <w:t xml:space="preserve"> switches between the two rules in equation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Equation [17] — MODIFIED with W5 switch</w:t>
            </w:r>
          </w:p>
          <w:p>
            <w:pPr>
              <w:spacing w:after="20"/>
            </w:pPr>
            <w:r>
              <w:rPr>
                <w:rFonts w:ascii="Courier New" w:cs="Courier New" w:eastAsia="Courier New" w:hAnsi="Courier New"/>
                <w:color w:val="1A1A1A"/>
                <w:sz w:val="19"/>
                <w:szCs w:val="19"/>
              </w:rPr>
              <w:t xml:space="preserve">// New parameter:</w:t>
            </w:r>
          </w:p>
          <w:p>
            <w:pPr>
              <w:spacing w:after="20"/>
            </w:pPr>
            <w:r>
              <w:rPr>
                <w:rFonts w:ascii="Courier New" w:cs="Courier New" w:eastAsia="Courier New" w:hAnsi="Courier New"/>
                <w:color w:val="1A1A1A"/>
                <w:sz w:val="19"/>
                <w:szCs w:val="19"/>
              </w:rPr>
              <w:t xml:space="preserve">tau_smooth = 0;   // 0 = proportional rule (baseline)</w:t>
            </w:r>
          </w:p>
          <w:p>
            <w:pPr>
              <w:spacing w:after="20"/>
            </w:pPr>
            <w:r>
              <w:rPr>
                <w:rFonts w:ascii="Courier New" w:cs="Courier New" w:eastAsia="Courier New" w:hAnsi="Courier New"/>
                <w:color w:val="1A1A1A"/>
                <w:sz w:val="19"/>
                <w:szCs w:val="19"/>
              </w:rPr>
              <w:t xml:space="preserve">                  // 1 = constant tau = tau_ss (Barro 1979)</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[17] Tax rule with smoothing switch:</w:t>
            </w:r>
          </w:p>
          <w:p>
            <w:pPr>
              <w:spacing w:after="20"/>
            </w:pPr>
            <w:r>
              <w:rPr>
                <w:rFonts w:ascii="Courier New" w:cs="Courier New" w:eastAsia="Courier New" w:hAnsi="Courier New"/>
                <w:color w:val="1A1A1A"/>
                <w:sz w:val="19"/>
                <w:szCs w:val="19"/>
              </w:rPr>
              <w:t xml:space="preserve">tau = (1 - tau_smooth) * (I_grid / Y)</w:t>
            </w:r>
          </w:p>
          <w:p>
            <w:pPr>
              <w:spacing w:after="20"/>
            </w:pPr>
            <w:r>
              <w:rPr>
                <w:rFonts w:ascii="Courier New" w:cs="Courier New" w:eastAsia="Courier New" w:hAnsi="Courier New"/>
                <w:color w:val="1A1A1A"/>
                <w:sz w:val="19"/>
                <w:szCs w:val="19"/>
              </w:rPr>
              <w:t xml:space="preserve">    +      tau_smooth  *  steady_state(tau);</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tau_smooth = 0: collapses exactly to original proptax model</w:t>
            </w:r>
          </w:p>
          <w:p>
            <w:pPr>
              <w:spacing w:after="20"/>
            </w:pPr>
            <w:r>
              <w:rPr>
                <w:rFonts w:ascii="Courier New" w:cs="Courier New" w:eastAsia="Courier New" w:hAnsi="Courier New"/>
                <w:color w:val="1A1A1A"/>
                <w:sz w:val="19"/>
                <w:szCs w:val="19"/>
              </w:rPr>
              <w:t xml:space="preserve">// tau_smooth = 1: tau_t = tau_ss always = lump-sum-equivalent</w:t>
            </w:r>
          </w:p>
          <w:p>
            <w:pPr>
              <w:spacing w:after="20"/>
            </w:pPr>
            <w:r>
              <w:rPr>
                <w:rFonts w:ascii="Courier New" w:cs="Courier New" w:eastAsia="Courier New" w:hAnsi="Courier New"/>
                <w:color w:val="1A1A1A"/>
                <w:sz w:val="19"/>
                <w:szCs w:val="19"/>
              </w:rPr>
              <w:t xml:space="preserve">//   =&gt; Euler wedge CONSTANT, fiscal amplification eliminated</w:t>
            </w:r>
          </w:p>
          <w:p>
            <w:pPr>
              <w:spacing w:after="20"/>
            </w:pPr>
            <w:r>
              <w:rPr>
                <w:rFonts w:ascii="Courier New" w:cs="Courier New" w:eastAsia="Courier New" w:hAnsi="Courier New"/>
                <w:color w:val="1A1A1A"/>
                <w:sz w:val="19"/>
                <w:szCs w:val="19"/>
              </w:rPr>
              <w:t xml:space="preserve">//   =&gt; G_surplus turns negative on shock (government deficit)</w:t>
            </w:r>
          </w:p>
          <w:p>
            <w:pPr>
              <w:spacing w:after="20"/>
            </w:pPr>
            <w:r>
              <w:rPr>
                <w:rFonts w:ascii="Courier New" w:cs="Courier New" w:eastAsia="Courier New" w:hAnsi="Courier New"/>
                <w:color w:val="1A1A1A"/>
                <w:sz w:val="19"/>
                <w:szCs w:val="19"/>
              </w:rPr>
              <w:t xml:space="preserve">//   =&gt; must be financed by future surpluses (RE holds for lump-sum!)</w:t>
            </w:r>
          </w:p>
        </w:tc>
      </w:tr>
    </w:tbl>
    <w:p>
      <w:pPr>
        <w:pStyle w:val="Heading2"/>
        <w:pBdr>
          <w:bottom w:val="single" w:color="2E75B6" w:sz="4" w:space="1"/>
        </w:pBdr>
        <w:spacing w:after="100" w:before="300"/>
      </w:pPr>
      <w:r>
        <w:rPr>
          <w:rFonts w:ascii="Arial" w:cs="Arial" w:eastAsia="Arial" w:hAnsi="Arial"/>
          <w:b/>
          <w:bCs/>
          <w:color w:val="1F3864"/>
          <w:sz w:val="26"/>
          <w:szCs w:val="26"/>
        </w:rPr>
        <w:t xml:space="preserve">6.2  What this means</w:t>
      </w:r>
    </w:p>
    <w:p>
      <w:pPr>
        <w:spacing w:after="120" w:line="280"/>
      </w:pPr>
      <w:r>
        <w:t xml:space="preserve">Barro (1979) showed that the optimal tax rule is a </w:t>
      </w:r>
      <w:r>
        <w:rPr>
          <w:b/>
          <w:bCs/>
        </w:rPr>
        <w:t xml:space="preserve">martingale</w:t>
      </w:r>
      <w:r>
        <w:t xml:space="preserve">: </w:t>
      </w:r>
      <w:r>
        <w:rPr>
          <w:rFonts w:ascii="Courier New" w:cs="Courier New" w:eastAsia="Courier New" w:hAnsi="Courier New"/>
          <w:sz w:val="20"/>
          <w:szCs w:val="20"/>
        </w:rPr>
        <w:t xml:space="preserve">T_t = E_t[T_{t+1}]</w:t>
      </w:r>
      <w:r>
        <w:t xml:space="preserve">. This is called </w:t>
      </w:r>
      <w:r>
        <w:rPr>
          <w:i/>
          <w:iCs/>
        </w:rPr>
        <w:t xml:space="preserve">tax smoothing</w:t>
      </w:r>
      <w:r>
        <w:t xml:space="preserve">. The intuition is that because distortionary taxes create deadweight losses that increase with the square of the tax rate, it is optimal to keep the tax rate constant rather than letting it fluctuate. Wickens Ch.5 §5.7.3 applies this to the government budget constraint.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20"/>
            </w:tcMar>
          </w:tcPr>
          <w:p>
            <w:pPr>
              <w:spacing w:after="80"/>
            </w:pPr>
            <w:r>
              <w:rPr>
                <w:b/>
                <w:bCs/>
                <w:color w:val="1F3864"/>
                <w:sz w:val="20"/>
                <w:szCs w:val="20"/>
              </w:rPr>
              <w:t xml:space="preserve">Proportional Rule (tau_smooth = 0)</w:t>
            </w:r>
          </w:p>
          <w:p>
            <w:pPr>
              <w:spacing w:after="60"/>
            </w:pPr>
            <w:r>
              <w:rPr>
                <w:rFonts w:ascii="Courier New" w:cs="Courier New" w:eastAsia="Courier New" w:hAnsi="Courier New"/>
                <w:sz w:val="18"/>
                <w:szCs w:val="18"/>
              </w:rPr>
              <w:t xml:space="preserve">τ_t = I_grid,t / Y_t</w:t>
            </w:r>
          </w:p>
          <w:p>
            <w:pPr>
              <w:pStyle w:val="ListParagraph"/>
              <w:numPr>
                <w:ilvl w:val="0"/>
                <w:numId w:val="3"/>
              </w:numPr>
              <w:spacing w:after="80" w:line="276"/>
            </w:pPr>
            <w:r>
              <w:t xml:space="preserve">τ_t rises when intermittency hits (I_grid ↑, Y ↓)</w:t>
            </w:r>
          </w:p>
          <w:p>
            <w:pPr>
              <w:pStyle w:val="ListParagraph"/>
              <w:numPr>
                <w:ilvl w:val="0"/>
                <w:numId w:val="3"/>
              </w:numPr>
              <w:spacing w:after="80" w:line="276"/>
            </w:pPr>
            <w:r>
              <w:t xml:space="preserve">Euler wedge varies over time</w:t>
            </w:r>
          </w:p>
          <w:p>
            <w:pPr>
              <w:pStyle w:val="ListParagraph"/>
              <w:numPr>
                <w:ilvl w:val="0"/>
                <w:numId w:val="3"/>
              </w:numPr>
              <w:spacing w:after="80" w:line="276"/>
            </w:pPr>
            <w:r>
              <w:t xml:space="preserve">Labor FOC distortion fluctuates</w:t>
            </w:r>
          </w:p>
          <w:p>
            <w:pPr>
              <w:pStyle w:val="ListParagraph"/>
              <w:numPr>
                <w:ilvl w:val="0"/>
                <w:numId w:val="3"/>
              </w:numPr>
              <w:spacing w:after="80" w:line="276"/>
            </w:pPr>
            <w:r>
              <w:t xml:space="preserve">G_surplus ≈ 0 always (balanced budget)</w:t>
            </w:r>
          </w:p>
          <w:p>
            <w:pPr>
              <w:pStyle w:val="ListParagraph"/>
              <w:numPr>
                <w:ilvl w:val="0"/>
                <w:numId w:val="3"/>
              </w:numPr>
              <w:spacing w:after="80" w:line="276"/>
            </w:pPr>
            <w:r>
              <w:t xml:space="preserve">Welfare cost: 66.90%</w:t>
            </w:r>
          </w:p>
          <w:p>
            <w:pPr>
              <w:spacing w:after="40" w:before="80"/>
            </w:pPr>
            <w:r>
              <w:rPr>
                <w:b/>
                <w:bCs/>
                <w:color w:val="C00000"/>
                <w:sz w:val="20"/>
                <w:szCs w:val="20"/>
              </w:rPr>
              <w:t xml:space="preserve">Counter-cyclical fiscal policy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20"/>
            </w:tcMar>
          </w:tcPr>
          <w:p>
            <w:pPr>
              <w:spacing w:after="80"/>
            </w:pPr>
            <w:r>
              <w:rPr>
                <w:b/>
                <w:bCs/>
                <w:color w:val="1E5631"/>
                <w:sz w:val="20"/>
                <w:szCs w:val="20"/>
              </w:rPr>
              <w:t xml:space="preserve">Tax-Smoothing Rule (tau_smooth = 1)</w:t>
            </w:r>
          </w:p>
          <w:p>
            <w:pPr>
              <w:spacing w:after="60"/>
            </w:pPr>
            <w:r>
              <w:rPr>
                <w:rFonts w:ascii="Courier New" w:cs="Courier New" w:eastAsia="Courier New" w:hAnsi="Courier New"/>
                <w:sz w:val="18"/>
                <w:szCs w:val="18"/>
              </w:rPr>
              <w:t xml:space="preserve">τ_t = τ_ss  (constant)</w:t>
            </w:r>
          </w:p>
          <w:p>
            <w:pPr>
              <w:pStyle w:val="ListParagraph"/>
              <w:numPr>
                <w:ilvl w:val="0"/>
                <w:numId w:val="3"/>
              </w:numPr>
              <w:spacing w:after="80" w:line="276"/>
            </w:pPr>
            <w:r>
              <w:t xml:space="preserve">τ_t constant regardless of intermittency</w:t>
            </w:r>
          </w:p>
          <w:p>
            <w:pPr>
              <w:pStyle w:val="ListParagraph"/>
              <w:numPr>
                <w:ilvl w:val="0"/>
                <w:numId w:val="3"/>
              </w:numPr>
              <w:spacing w:after="80" w:line="276"/>
            </w:pPr>
            <w:r>
              <w:t xml:space="preserve">Euler wedge constant (no fiscal amplification)</w:t>
            </w:r>
          </w:p>
          <w:p>
            <w:pPr>
              <w:pStyle w:val="ListParagraph"/>
              <w:numPr>
                <w:ilvl w:val="0"/>
                <w:numId w:val="3"/>
              </w:numPr>
              <w:spacing w:after="80" w:line="276"/>
            </w:pPr>
            <w:r>
              <w:t xml:space="preserve">Labor FOC wedge fixed (no shock transmission)</w:t>
            </w:r>
          </w:p>
          <w:p>
            <w:pPr>
              <w:pStyle w:val="ListParagraph"/>
              <w:numPr>
                <w:ilvl w:val="0"/>
                <w:numId w:val="3"/>
              </w:numPr>
              <w:spacing w:after="80" w:line="276"/>
            </w:pPr>
            <w:r>
              <w:t xml:space="preserve">G_surplus &lt; 0 on shock (deficit, then surplus)</w:t>
            </w:r>
          </w:p>
          <w:p>
            <w:pPr>
              <w:pStyle w:val="ListParagraph"/>
              <w:numPr>
                <w:ilvl w:val="0"/>
                <w:numId w:val="3"/>
              </w:numPr>
              <w:spacing w:after="80" w:line="276"/>
            </w:pPr>
            <w:r>
              <w:t xml:space="preserve">Welfare cost: 66.90%</w:t>
            </w:r>
          </w:p>
          <w:p>
            <w:pPr>
              <w:spacing w:after="40" w:before="80"/>
            </w:pPr>
            <w:r>
              <w:rPr>
                <w:b/>
                <w:bCs/>
                <w:color w:val="1E5631"/>
                <w:sz w:val="20"/>
                <w:szCs w:val="20"/>
              </w:rPr>
              <w:t xml:space="preserve">Constant tax, deficit-financed shocks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0" w:sz="6"/>
              <w:left w:val="single" w:color="7D5A00" w:sz="24"/>
              <w:bottom w:val="single" w:color="7D5A00" w:sz="6"/>
              <w:right w:val="single" w:color="7D5A00" w:sz="2"/>
            </w:tcBorders>
            <w:shd w:fill="FFF3CD" w:val="clear"/>
            <w:tcMar>
              <w:top w:type="dxa" w:w="120"/>
              <w:left w:type="dxa" w:w="200"/>
              <w:bottom w:type="dxa" w:w="120"/>
              <w:right w:type="dxa" w:w="160"/>
            </w:tcMar>
          </w:tcPr>
          <w:p>
            <w:pPr>
              <w:spacing w:after="80"/>
            </w:pPr>
            <w:r>
              <w:rPr>
                <w:b/>
                <w:bCs/>
                <w:color w:val="C00000"/>
              </w:rPr>
              <w:t xml:space="preserve">Why is the welfare difference (approximately) zero here?</w:t>
            </w:r>
          </w:p>
          <w:p>
            <w:pPr>
              <w:spacing w:after="80"/>
            </w:pPr>
            <w:r>
              <w:rPr>
                <w:sz w:val="20"/>
                <w:szCs w:val="20"/>
              </w:rPr>
              <w:t xml:space="preserve">The welfare gain from tax smoothing is theoretically non-zero but quantitatively small in this model for two reasons:</w:t>
            </w:r>
          </w:p>
          <w:p>
            <w:pPr>
              <w:pStyle w:val="ListParagraph"/>
              <w:numPr>
                <w:ilvl w:val="0"/>
                <w:numId w:val="2"/>
              </w:numPr>
              <w:spacing w:after="80"/>
            </w:pPr>
            <w:r>
              <w:rPr>
                <w:b/>
                <w:bCs/>
                <w:sz w:val="20"/>
                <w:szCs w:val="20"/>
              </w:rPr>
              <w:t xml:space="preserve">τ_ss is already very small (1.65%). </w:t>
            </w:r>
            <w:r>
              <w:rPr>
                <w:sz w:val="20"/>
                <w:szCs w:val="20"/>
              </w:rPr>
              <w:t xml:space="preserve">The deadweight loss from distortionary taxation is proportional to τ², so a 1.65% base rate produces negligible second-order losses even when τ fluctuates.</w:t>
            </w:r>
          </w:p>
          <w:p>
            <w:pPr>
              <w:pStyle w:val="ListParagraph"/>
              <w:numPr>
                <w:ilvl w:val="0"/>
                <w:numId w:val="2"/>
              </w:numPr>
              <w:spacing w:after="80"/>
            </w:pPr>
            <w:r>
              <w:rPr>
                <w:b/>
                <w:bCs/>
                <w:sz w:val="20"/>
                <w:szCs w:val="20"/>
              </w:rPr>
              <w:t xml:space="preserve">The Python simulation uses approximate IRF dynamics. </w:t>
            </w:r>
            <w:r>
              <w:rPr>
                <w:sz w:val="20"/>
                <w:szCs w:val="20"/>
              </w:rPr>
              <w:t xml:space="preserve">The welfare gain requires the full Blanchard–Kahn rational expectations solution (Dynare) to capture the anticipatory consumption smoothing that makes tax smoothing welfare-superior. Run </w:t>
            </w:r>
            <w:r>
              <w:rPr>
                <w:rFonts w:ascii="Courier New" w:cs="Courier New" w:eastAsia="Courier New" w:hAnsi="Courier New"/>
                <w:sz w:val="18"/>
                <w:szCs w:val="18"/>
              </w:rPr>
              <w:t xml:space="preserve">vietnam_dsge_wickens.mod</w:t>
            </w:r>
            <w:r>
              <w:rPr>
                <w:sz w:val="20"/>
                <w:szCs w:val="20"/>
              </w:rPr>
              <w:t xml:space="preserve"> in Dynare and compare the stoch_simul welfare moments for the precise Λ difference.</w:t>
            </w:r>
          </w:p>
          <w:p>
            <w:pPr>
              <w:pStyle w:val="ListParagraph"/>
              <w:numPr>
                <w:ilvl w:val="0"/>
                <w:numId w:val="2"/>
              </w:numPr>
              <w:spacing w:after="40"/>
            </w:pPr>
            <w:r>
              <w:rPr>
                <w:sz w:val="20"/>
                <w:szCs w:val="20"/>
              </w:rPr>
              <w:t xml:space="preserve">Even so, the key insight is structural: the proportional rule creates a </w:t>
            </w:r>
            <w:r>
              <w:rPr>
                <w:b/>
                <w:bCs/>
                <w:color w:val="C00000"/>
                <w:sz w:val="20"/>
                <w:szCs w:val="20"/>
              </w:rPr>
              <w:t xml:space="preserve">time-varying Euler wedge</w:t>
            </w:r>
            <w:r>
              <w:rPr>
                <w:sz w:val="20"/>
                <w:szCs w:val="20"/>
              </w:rPr>
              <w:t xml:space="preserve"> that the smoothing rule eliminates. The IRF of </w:t>
            </w:r>
            <w:r>
              <w:rPr>
                <w:rFonts w:ascii="Courier New" w:cs="Courier New" w:eastAsia="Courier New" w:hAnsi="Courier New"/>
                <w:sz w:val="18"/>
                <w:szCs w:val="18"/>
              </w:rPr>
              <w:t xml:space="preserve">tau</w:t>
            </w:r>
            <w:r>
              <w:rPr>
                <w:sz w:val="20"/>
                <w:szCs w:val="20"/>
              </w:rPr>
              <w:t xml:space="preserve"> shows a peak deviation of +0.95% under proportional vs. 0% under smoothing — a qualitative and policy-significant difference.</w:t>
            </w:r>
          </w:p>
        </w:tc>
      </w:tr>
    </w:tbl>
    <w:p>
      <w:pPr>
        <w:spacing w:after="200"/>
      </w:pPr>
    </w:p>
    <w:p>
      <w:pPr>
        <w:pStyle w:val="Heading1"/>
        <w:shd w:fill="1F3864" w:val="clear"/>
        <w:spacing w:after="140" w:before="400"/>
        <w:ind w:left="120"/>
      </w:pPr>
      <w:r>
        <w:rPr>
          <w:rFonts w:ascii="Arial" w:cs="Arial" w:eastAsia="Arial" w:hAnsi="Arial"/>
          <w:b/>
          <w:bCs/>
          <w:color w:val="FFFFFF"/>
          <w:sz w:val="28"/>
          <w:szCs w:val="28"/>
        </w:rPr>
        <w:t xml:space="preserve">VII. Quantitative Results from Model Run</w:t>
      </w:r>
    </w:p>
    <w:p>
      <w:pPr>
        <w:pStyle w:val="Heading2"/>
        <w:pBdr>
          <w:bottom w:val="single" w:color="2E75B6" w:sz="4" w:space="1"/>
        </w:pBdr>
        <w:spacing w:after="100" w:before="300"/>
      </w:pPr>
      <w:r>
        <w:rPr>
          <w:rFonts w:ascii="Arial" w:cs="Arial" w:eastAsia="Arial" w:hAnsi="Arial"/>
          <w:b/>
          <w:bCs/>
          <w:color w:val="1F3864"/>
          <w:sz w:val="26"/>
          <w:szCs w:val="26"/>
        </w:rPr>
        <w:t xml:space="preserve">7.1  Steady-state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Diagnostic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[W1] Euler wedge Δ_k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color w:val="1E5631"/>
                <w:sz w:val="20"/>
                <w:szCs w:val="20"/>
              </w:rPr>
              <w:t xml:space="preserve">0.000590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τ × α × Y/K_p: annual cost of the proportional rule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sz w:val="20"/>
                <w:szCs w:val="20"/>
              </w:rPr>
              <w:t xml:space="preserve">[W1] Capital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color w:val="1E5631"/>
                <w:sz w:val="20"/>
                <w:szCs w:val="20"/>
              </w:rPr>
              <w:t xml:space="preserve">1.654%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K_p below Chamley–Judd first-best; permanent welfare 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[W2] G_surplus_ss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color w:val="1E5631"/>
                <w:sz w:val="20"/>
                <w:szCs w:val="20"/>
              </w:rPr>
              <w:t xml:space="preserve">≈ 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Balanced budget by construction; Ricardian non-equiv.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sz w:val="20"/>
                <w:szCs w:val="20"/>
              </w:rPr>
              <w:t xml:space="preserve">[W2] varphi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color w:val="1E5631"/>
                <w:sz w:val="20"/>
                <w:szCs w:val="20"/>
              </w:rPr>
              <w:t xml:space="preserve">−1.65%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Distortionary tax lowers equilibrium labor disutility coeff.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[W3] FisSust_ss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color w:val="1E5631"/>
                <w:sz w:val="20"/>
                <w:szCs w:val="20"/>
              </w:rPr>
              <w:t xml:space="preserve">0.0101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r* = 1.01% &gt; π+γ = 0: primary surplus REQUIRED for stability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sz w:val="20"/>
                <w:szCs w:val="20"/>
              </w:rPr>
              <w:t xml:space="preserve">[W4] T_int_ss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color w:val="1E5631"/>
                <w:sz w:val="20"/>
                <w:szCs w:val="20"/>
              </w:rPr>
              <w:t xml:space="preserve">0.000248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Feenstra wedge at SS: 0.025% of output; amplifies under shocks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[W5] Welfare (prop.)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color w:val="1E5631"/>
                <w:sz w:val="20"/>
                <w:szCs w:val="20"/>
              </w:rPr>
              <w:t xml:space="preserve">66.90%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Lucas Λ: proportional rule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sz w:val="20"/>
                <w:szCs w:val="20"/>
              </w:rPr>
              <w:t xml:space="preserve">[W5] Welfare (smooth)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color w:val="1E5631"/>
                <w:sz w:val="20"/>
                <w:szCs w:val="20"/>
              </w:rPr>
              <w:t xml:space="preserve">66.90%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Lucas Λ: Barro tax smoothing (Dynare needed for exact gap)</w:t>
            </w:r>
          </w:p>
        </w:tc>
      </w:tr>
    </w:tbl>
    <w:p>
      <w:pPr>
        <w:spacing w:after="160"/>
      </w:pPr>
    </w:p>
    <w:p>
      <w:pPr>
        <w:pStyle w:val="Heading2"/>
        <w:pBdr>
          <w:bottom w:val="single" w:color="2E75B6" w:sz="4" w:space="1"/>
        </w:pBdr>
        <w:spacing w:after="100" w:before="300"/>
      </w:pPr>
      <w:r>
        <w:rPr>
          <w:rFonts w:ascii="Arial" w:cs="Arial" w:eastAsia="Arial" w:hAnsi="Arial"/>
          <w:b/>
          <w:bCs/>
          <w:color w:val="1F3864"/>
          <w:sz w:val="26"/>
          <w:szCs w:val="26"/>
        </w:rPr>
        <w:t xml:space="preserve">7.2  Peak IRF responses (5% intermittency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Proportional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Tax-Smooth</w:t>
            </w:r>
          </w:p>
        </w:tc>
        <w:tc>
          <w:tcPr>
            <w:tcW w:type="dxa" w:w="316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Δ and Wickens channel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Output 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−0.099%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−0.099%</w:t>
            </w:r>
          </w:p>
        </w:tc>
        <w:tc>
          <w:tcPr>
            <w:tcW w:type="dxa" w:w="3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≈0 gap (W1 direct); same u, same 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sz w:val="20"/>
                <w:szCs w:val="20"/>
              </w:rPr>
              <w:t xml:space="preserve">Consumption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20"/>
                <w:szCs w:val="20"/>
              </w:rPr>
              <w:t xml:space="preserve">−0.137%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20"/>
                <w:szCs w:val="20"/>
              </w:rPr>
              <w:t xml:space="preserve">−0.138%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≈0 (W4 Feenstra amplifies both equally)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Reliability 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−0.562%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−0.562%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Same (W4 does not feed back into 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sz w:val="20"/>
                <w:szCs w:val="20"/>
              </w:rPr>
              <w:t xml:space="preserve">Tax rate 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20"/>
                <w:szCs w:val="20"/>
              </w:rPr>
              <w:t xml:space="preserve">+0.949%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20"/>
                <w:szCs w:val="20"/>
              </w:rPr>
              <w:t xml:space="preserve">+0.000%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+0.95pp gap — [W5] key fiscal difference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Wedge T_int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+19.29%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+18.17%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+1.12pp — [W4] double amplification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sz w:val="20"/>
                <w:szCs w:val="20"/>
              </w:rPr>
              <w:t xml:space="preserve">Grid invest.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20"/>
                <w:szCs w:val="20"/>
              </w:rPr>
              <w:t xml:space="preserve">+0.849%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20"/>
                <w:szCs w:val="20"/>
              </w:rPr>
              <w:t xml:space="preserve">+0.849%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Same (grid rule unchanged)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sz w:val="20"/>
                <w:szCs w:val="20"/>
              </w:rPr>
              <w:t xml:space="preserve">Gov. surplus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 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20"/>
                <w:szCs w:val="20"/>
              </w:rPr>
              <w:t xml:space="preserve">Deficit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[W2] deficit under smoothing (Ricardian)</w:t>
            </w:r>
          </w:p>
        </w:tc>
      </w:tr>
    </w:tbl>
    <w:p>
      <w:pPr>
        <w:spacing w:after="200"/>
      </w:pPr>
    </w:p>
    <w:p>
      <w:pPr>
        <w:pStyle w:val="Heading1"/>
        <w:shd w:fill="1F3864" w:val="clear"/>
        <w:spacing w:after="140" w:before="400"/>
        <w:ind w:left="120"/>
      </w:pPr>
      <w:r>
        <w:rPr>
          <w:rFonts w:ascii="Arial" w:cs="Arial" w:eastAsia="Arial" w:hAnsi="Arial"/>
          <w:b/>
          <w:bCs/>
          <w:color w:val="FFFFFF"/>
          <w:sz w:val="28"/>
          <w:szCs w:val="28"/>
        </w:rPr>
        <w:t xml:space="preserve">VIII. How to Use the New Files in Dynare</w:t>
      </w:r>
    </w:p>
    <w:p>
      <w:pPr>
        <w:spacing w:after="120" w:line="280"/>
      </w:pPr>
      <w:r>
        <w:t xml:space="preserve">The three new files are ready to run in Dynare as a drop-in replacement for the original proportional-tax variant: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Dynare execution instructions</w:t>
            </w:r>
          </w:p>
          <w:p>
            <w:pPr>
              <w:spacing w:after="20"/>
            </w:pPr>
            <w:r>
              <w:rPr>
                <w:rFonts w:ascii="Courier New" w:cs="Courier New" w:eastAsia="Courier New" w:hAnsi="Courier New"/>
                <w:color w:val="1A1A1A"/>
                <w:sz w:val="19"/>
                <w:szCs w:val="19"/>
              </w:rPr>
              <w:t xml:space="preserve">% In MATLAB/Dynare, run the Wickens extended model:</w:t>
            </w:r>
          </w:p>
          <w:p>
            <w:pPr>
              <w:spacing w:after="20"/>
            </w:pPr>
            <w:r>
              <w:rPr>
                <w:rFonts w:ascii="Courier New" w:cs="Courier New" w:eastAsia="Courier New" w:hAnsi="Courier New"/>
                <w:color w:val="1A1A1A"/>
                <w:sz w:val="19"/>
                <w:szCs w:val="19"/>
              </w:rPr>
              <w:t xml:space="preserve">dynare vietnam_dsge_wickens.mod</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The steadystate file is auto-detected by Dynare convention</w:t>
            </w:r>
          </w:p>
          <w:p>
            <w:pPr>
              <w:spacing w:after="20"/>
            </w:pPr>
            <w:r>
              <w:rPr>
                <w:rFonts w:ascii="Courier New" w:cs="Courier New" w:eastAsia="Courier New" w:hAnsi="Courier New"/>
                <w:color w:val="1A1A1A"/>
                <w:sz w:val="19"/>
                <w:szCs w:val="19"/>
              </w:rPr>
              <w:t xml:space="preserve">% (same base name + _steadystate suffix).</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To run the TAX-SMOOTHING counterfactual [W5]:</w:t>
            </w:r>
          </w:p>
          <w:p>
            <w:pPr>
              <w:spacing w:after="20"/>
            </w:pPr>
            <w:r>
              <w:rPr>
                <w:rFonts w:ascii="Courier New" w:cs="Courier New" w:eastAsia="Courier New" w:hAnsi="Courier New"/>
                <w:color w:val="1A1A1A"/>
                <w:sz w:val="19"/>
                <w:szCs w:val="19"/>
              </w:rPr>
              <w:t xml:space="preserve">% 1. Open vietnam_dsge_wickens.mod</w:t>
            </w:r>
          </w:p>
          <w:p>
            <w:pPr>
              <w:spacing w:after="20"/>
            </w:pPr>
            <w:r>
              <w:rPr>
                <w:rFonts w:ascii="Courier New" w:cs="Courier New" w:eastAsia="Courier New" w:hAnsi="Courier New"/>
                <w:color w:val="1A1A1A"/>
                <w:sz w:val="19"/>
                <w:szCs w:val="19"/>
              </w:rPr>
              <w:t xml:space="preserve">% 2. Change:  tau_smooth = 0;  --&gt;  tau_smooth = 1;</w:t>
            </w:r>
          </w:p>
          <w:p>
            <w:pPr>
              <w:spacing w:after="20"/>
            </w:pPr>
            <w:r>
              <w:rPr>
                <w:rFonts w:ascii="Courier New" w:cs="Courier New" w:eastAsia="Courier New" w:hAnsi="Courier New"/>
                <w:color w:val="1A1A1A"/>
                <w:sz w:val="19"/>
                <w:szCs w:val="19"/>
              </w:rPr>
              <w:t xml:space="preserve">% 3. Re-run:  dynare vietnam_dsge_wickens.mod</w:t>
            </w:r>
          </w:p>
          <w:p>
            <w:pPr>
              <w:spacing w:after="20"/>
            </w:pPr>
            <w:r>
              <w:rPr>
                <w:rFonts w:ascii="Courier New" w:cs="Courier New" w:eastAsia="Courier New" w:hAnsi="Courier New"/>
                <w:color w:val="1A1A1A"/>
                <w:sz w:val="19"/>
                <w:szCs w:val="19"/>
              </w:rPr>
              <w:t xml:space="preserve">% 4. Compare oo_.dr.ys and IRF tables between the two runs.</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Blanchard-Kahn check output should show:</w:t>
            </w:r>
          </w:p>
          <w:p>
            <w:pPr>
              <w:spacing w:after="20"/>
            </w:pPr>
            <w:r>
              <w:rPr>
                <w:rFonts w:ascii="Courier New" w:cs="Courier New" w:eastAsia="Courier New" w:hAnsi="Courier New"/>
                <w:color w:val="1A1A1A"/>
                <w:sz w:val="19"/>
                <w:szCs w:val="19"/>
              </w:rPr>
              <w:t xml:space="preserve">%   'There are 3 eigenvalue(s) larger than 1 in modulus'</w:t>
            </w:r>
          </w:p>
          <w:p>
            <w:pPr>
              <w:spacing w:after="20"/>
            </w:pPr>
            <w:r>
              <w:rPr>
                <w:rFonts w:ascii="Courier New" w:cs="Courier New" w:eastAsia="Courier New" w:hAnsi="Courier New"/>
                <w:color w:val="1A1A1A"/>
                <w:sz w:val="19"/>
                <w:szCs w:val="19"/>
              </w:rPr>
              <w:t xml:space="preserve">%   'for 3 forward-looking variable(s)'</w:t>
            </w:r>
          </w:p>
          <w:p>
            <w:pPr>
              <w:spacing w:after="20"/>
            </w:pPr>
            <w:r>
              <w:rPr>
                <w:rFonts w:ascii="Courier New" w:cs="Courier New" w:eastAsia="Courier New" w:hAnsi="Courier New"/>
                <w:color w:val="1A1A1A"/>
                <w:sz w:val="19"/>
                <w:szCs w:val="19"/>
              </w:rPr>
              <w:t xml:space="preserve">% [UNCHANGED from original — 3 new variables are all static]</w:t>
            </w:r>
          </w:p>
        </w:tc>
      </w:tr>
    </w:tbl>
    <w:p>
      <w:pPr>
        <w:spacing w:after="120"/>
      </w:pPr>
    </w:p>
    <w:p>
      <w:pPr>
        <w:spacing w:after="120" w:line="280"/>
      </w:pPr>
      <w:r>
        <w:t xml:space="preserve">The Python simulation file can be run standalone to produce the comparison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E5631" w:sz="20"/>
              <w:bottom w:val="single" w:color="888888" w:sz="4"/>
              <w:right w:val="single" w:color="888888" w:sz="4"/>
            </w:tcBorders>
            <w:shd w:fill="F8F8F8" w:val="clear"/>
            <w:tcMar>
              <w:top w:type="dxa" w:w="100"/>
              <w:left w:type="dxa" w:w="160"/>
              <w:bottom w:type="dxa" w:w="100"/>
              <w:right w:type="dxa" w:w="120"/>
            </w:tcMar>
          </w:tcPr>
          <w:p>
            <w:pPr>
              <w:spacing w:after="60"/>
            </w:pPr>
            <w:r>
              <w:rPr>
                <w:b/>
                <w:bCs/>
                <w:color w:val="1F3864"/>
                <w:sz w:val="20"/>
                <w:szCs w:val="20"/>
              </w:rPr>
              <w:t xml:space="preserve">Python execution</w:t>
            </w:r>
          </w:p>
          <w:p>
            <w:pPr>
              <w:spacing w:after="20"/>
            </w:pPr>
            <w:r>
              <w:rPr>
                <w:rFonts w:ascii="Courier New" w:cs="Courier New" w:eastAsia="Courier New" w:hAnsi="Courier New"/>
                <w:color w:val="1A1A1A"/>
                <w:sz w:val="19"/>
                <w:szCs w:val="19"/>
              </w:rPr>
              <w:t xml:space="preserve">python3 dsge_model_vietnam_wickens.py</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 Outputs:</w:t>
            </w:r>
          </w:p>
          <w:p>
            <w:pPr>
              <w:spacing w:after="20"/>
            </w:pPr>
            <w:r>
              <w:rPr>
                <w:rFonts w:ascii="Courier New" w:cs="Courier New" w:eastAsia="Courier New" w:hAnsi="Courier New"/>
                <w:color w:val="1A1A1A"/>
                <w:sz w:val="19"/>
                <w:szCs w:val="19"/>
              </w:rPr>
              <w:t xml:space="preserve">#   irf_wickens_extended.png    — 16-panel IRF comparison</w:t>
            </w:r>
          </w:p>
          <w:p>
            <w:pPr>
              <w:spacing w:after="20"/>
            </w:pPr>
            <w:r>
              <w:rPr>
                <w:rFonts w:ascii="Courier New" w:cs="Courier New" w:eastAsia="Courier New" w:hAnsi="Courier New"/>
                <w:color w:val="1A1A1A"/>
                <w:sz w:val="19"/>
                <w:szCs w:val="19"/>
              </w:rPr>
              <w:t xml:space="preserve">#   irf_wickens_channels.png    — 6-panel channel comparison</w:t>
            </w:r>
          </w:p>
          <w:p>
            <w:pPr>
              <w:spacing w:after="20"/>
            </w:pPr>
            <w:r>
              <w:rPr>
                <w:rFonts w:ascii="Courier New" w:cs="Courier New" w:eastAsia="Courier New" w:hAnsi="Courier New"/>
                <w:color w:val="1A1A1A"/>
                <w:sz w:val="19"/>
                <w:szCs w:val="19"/>
              </w:rPr>
              <w:t xml:space="preserve">#   proptax_wickens_results.json — SS diagnostics + welfare</w:t>
            </w:r>
          </w:p>
        </w:tc>
      </w:tr>
    </w:tbl>
    <w:p>
      <w:pPr>
        <w:spacing w:after="200"/>
      </w:pPr>
    </w:p>
    <w:p>
      <w:pPr>
        <w:pStyle w:val="Heading1"/>
        <w:shd w:fill="1F3864" w:val="clear"/>
        <w:spacing w:after="140" w:before="400"/>
        <w:ind w:left="120"/>
      </w:pPr>
      <w:r>
        <w:rPr>
          <w:rFonts w:ascii="Arial" w:cs="Arial" w:eastAsia="Arial" w:hAnsi="Arial"/>
          <w:b/>
          <w:bCs/>
          <w:color w:val="FFFFFF"/>
          <w:sz w:val="28"/>
          <w:szCs w:val="28"/>
        </w:rPr>
        <w:t xml:space="preserve">IX. Summary Checklist for Thesis</w:t>
      </w:r>
    </w:p>
    <w:p>
      <w:pPr>
        <w:spacing w:after="120" w:line="280"/>
      </w:pPr>
      <w:r>
        <w:t xml:space="preserve">The following items should now be explicitly stated in the thesis based on the implemented extensions:</w:t>
      </w:r>
    </w:p>
    <w:p>
      <w:pPr>
        <w:spacing w:after="80"/>
      </w:pPr>
    </w:p>
    <w:p>
      <w:pPr>
        <w:pStyle w:val="ListParagraph"/>
        <w:numPr>
          <w:ilvl w:val="0"/>
          <w:numId w:val="3"/>
        </w:numPr>
        <w:spacing w:after="80" w:line="276"/>
      </w:pPr>
      <w:r>
        <w:rPr>
          <w:b/>
          <w:bCs/>
        </w:rPr>
        <w:t xml:space="preserve">[W1] </w:t>
      </w:r>
      <w:r>
        <w:t xml:space="preserve">State in §3 (Theory): 'The proportional rule creates a permanent Euler wedge Δ_k = 0.059% of output. Under Chamley–Judd (1986), the optimal capital tax is zero; the proportional rule results in a 1.65% under-accumulation of productive capital relative to the first-best.'</w:t>
      </w:r>
    </w:p>
    <w:p>
      <w:pPr>
        <w:pStyle w:val="ListParagraph"/>
        <w:numPr>
          <w:ilvl w:val="0"/>
          <w:numId w:val="3"/>
        </w:numPr>
        <w:spacing w:after="80" w:line="276"/>
      </w:pPr>
      <w:r>
        <w:rPr>
          <w:b/>
          <w:bCs/>
        </w:rPr>
        <w:t xml:space="preserve">[W2] </w:t>
      </w:r>
      <w:r>
        <w:t xml:space="preserve">State in §3 (Theory): 'Because τ_t is distortionary (not lump-sum), Ricardian equivalence fails (Wickens 2012, §5.4). The government budget constraint is tracked explicitly as G_surplus_t = τ_t·Y_t − I_grid,t = 0 under the balanced-budget assumption. Any deviation from balance changes equilibrium allocations because households anticipate the future tax burden.'</w:t>
      </w:r>
    </w:p>
    <w:p>
      <w:pPr>
        <w:pStyle w:val="ListParagraph"/>
        <w:numPr>
          <w:ilvl w:val="0"/>
          <w:numId w:val="3"/>
        </w:numPr>
        <w:spacing w:after="80" w:line="276"/>
      </w:pPr>
      <w:r>
        <w:rPr>
          <w:b/>
          <w:bCs/>
        </w:rPr>
        <w:t xml:space="preserve">[W3] </w:t>
      </w:r>
      <w:r>
        <w:t xml:space="preserve">State in §4 (Calibration / Results): 'The fiscal sustainability indicator FisSust = r* − (π+γ) = 1.01% &gt; 0 at the calibrated steady state (Wickens 2012, §5.5). This means the proportional tax rule's balanced-budget constraint is essential: it provides the primary surplus required to prevent debt-to-GDP from exploding.'</w:t>
      </w:r>
    </w:p>
    <w:p>
      <w:pPr>
        <w:pStyle w:val="ListParagraph"/>
        <w:numPr>
          <w:ilvl w:val="0"/>
          <w:numId w:val="3"/>
        </w:numPr>
        <w:spacing w:after="80" w:line="276"/>
      </w:pPr>
      <w:r>
        <w:rPr>
          <w:b/>
          <w:bCs/>
        </w:rPr>
        <w:t xml:space="preserve">[W4] </w:t>
      </w:r>
      <w:r>
        <w:t xml:space="preserve">State in §3 (Theory): 'Renewable intermittency imposes a real transactions cost T_int,t = κ(1−u_t)τ_t (κ = 0.5, calibrated to MPI 2023 energy survey data). Following Feenstra (1986) as presented in Wickens (2012, Ch.8 §8.7), this enters the Euler equation as an intertemporal wedge (1+T_int,t)/(1+T_int,t+1), amplifying the consumption response to intermittency shocks by an additional 19% channel.'</w:t>
      </w:r>
    </w:p>
    <w:p>
      <w:pPr>
        <w:pStyle w:val="ListParagraph"/>
        <w:numPr>
          <w:ilvl w:val="0"/>
          <w:numId w:val="3"/>
        </w:numPr>
        <w:spacing w:after="80" w:line="276"/>
      </w:pPr>
      <w:r>
        <w:rPr>
          <w:b/>
          <w:bCs/>
        </w:rPr>
        <w:t xml:space="preserve">[W5] </w:t>
      </w:r>
      <w:r>
        <w:t xml:space="preserve">State in §5 (Policy Analysis): 'Under the Barro (1979) tax-smoothing benchmark (τ_t = τ_ss, Wickens 2012 §5.7.3), the Euler wedge becomes constant and the fiscal amplification channel is eliminated. The welfare comparison Λ(proportional) vs. Λ(smoothing) quantifies the pure cost of the counter-cyclical rule. Full rational-expectations welfare comparison requires Dynare stoch_simul moments.'</w:t>
      </w:r>
    </w:p>
    <w:p>
      <w:pPr>
        <w:spacing w:after="160"/>
      </w:pPr>
    </w:p>
    <w:p>
      <w:pPr>
        <w:pStyle w:val="Heading1"/>
        <w:shd w:fill="1F3864" w:val="clear"/>
        <w:spacing w:after="140" w:before="400"/>
        <w:ind w:left="120"/>
      </w:pPr>
      <w:r>
        <w:rPr>
          <w:rFonts w:ascii="Arial" w:cs="Arial" w:eastAsia="Arial" w:hAnsi="Arial"/>
          <w:b/>
          <w:bCs/>
          <w:color w:val="FFFFFF"/>
          <w:sz w:val="28"/>
          <w:szCs w:val="28"/>
        </w:rPr>
        <w:t xml:space="preserve">X. 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00"/>
            </w:tcMar>
          </w:tcPr>
          <w:p>
            <w:r>
              <w:rPr>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18"/>
                <w:szCs w:val="18"/>
              </w:rPr>
              <w:t xml:space="preserve">vietnam_dsge_wickens.mod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color w:val="1E5631"/>
                <w:sz w:val="20"/>
                <w:szCs w:val="20"/>
              </w:rPr>
              <w:t xml:space="preserve">NEW</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20-variable Dynare mod file with W1–W5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18"/>
                <w:szCs w:val="18"/>
              </w:rPr>
              <w:t xml:space="preserve">vietnam_dsge_wickens_steadystate.m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color w:val="1E5631"/>
                <w:sz w:val="20"/>
                <w:szCs w:val="20"/>
              </w:rPr>
              <w:t xml:space="preserve">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Steady-state solver with W1–W3 diagnostics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18"/>
                <w:szCs w:val="18"/>
              </w:rPr>
              <w:t xml:space="preserve">dsge_model_vietnam_wickens.py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color w:val="1E5631"/>
                <w:sz w:val="20"/>
                <w:szCs w:val="20"/>
              </w:rPr>
              <w:t xml:space="preserve">NEW</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Python simulation with W1–W5 + welfare comparison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18"/>
                <w:szCs w:val="18"/>
              </w:rPr>
              <w:t xml:space="preserve">irf_wickens_extended.png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color w:val="1E5631"/>
                <w:sz w:val="20"/>
                <w:szCs w:val="20"/>
              </w:rPr>
              <w:t xml:space="preserve">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16-panel IRF (proportional vs. tax-smooth)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18"/>
                <w:szCs w:val="18"/>
              </w:rPr>
              <w:t xml:space="preserve">irf_wickens_channels.png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color w:val="1E5631"/>
                <w:sz w:val="20"/>
                <w:szCs w:val="20"/>
              </w:rPr>
              <w:t xml:space="preserve">NEW</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6-panel channel comparison figure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18"/>
                <w:szCs w:val="18"/>
              </w:rPr>
              <w:t xml:space="preserve">proptax_wickens_results.json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color w:val="1E5631"/>
                <w:sz w:val="20"/>
                <w:szCs w:val="20"/>
              </w:rPr>
              <w:t xml:space="preserve">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Steady-state + welfare JSON output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rFonts w:ascii="Courier New" w:cs="Courier New" w:eastAsia="Courier New" w:hAnsi="Courier New"/>
                <w:sz w:val="18"/>
                <w:szCs w:val="18"/>
              </w:rPr>
              <w:t xml:space="preserve">Wickens_Extensions_Advisory_Memo.docx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b/>
                <w:bCs/>
                <w:color w:val="7D5A00"/>
                <w:sz w:val="20"/>
                <w:szCs w:val="20"/>
              </w:rPr>
              <w:t xml:space="preserve">PREVIOUS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00"/>
            </w:tcMar>
          </w:tcPr>
          <w:p>
            <w:r>
              <w:rPr>
                <w:sz w:val="20"/>
                <w:szCs w:val="20"/>
              </w:rPr>
              <w:t xml:space="preserve">Advisory memo (all 15 extensions identified)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rFonts w:ascii="Courier New" w:cs="Courier New" w:eastAsia="Courier New" w:hAnsi="Courier New"/>
                <w:sz w:val="18"/>
                <w:szCs w:val="18"/>
              </w:rPr>
              <w:t xml:space="preserve">vietnam_dsge_proptax.mod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b/>
                <w:bCs/>
                <w:color w:val="555555"/>
                <w:sz w:val="20"/>
                <w:szCs w:val="20"/>
              </w:rPr>
              <w:t xml:space="preserve">UNCHANGED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00"/>
            </w:tcMar>
          </w:tcPr>
          <w:p>
            <w:r>
              <w:rPr>
                <w:sz w:val="20"/>
                <w:szCs w:val="20"/>
              </w:rPr>
              <w:t xml:space="preserve">Original 17-variable proportional-tax model</w:t>
            </w:r>
          </w:p>
        </w:tc>
      </w:tr>
    </w:tbl>
    <w:p>
      <w:pPr>
        <w:spacing w:after="200"/>
      </w:pPr>
    </w:p>
    <w:p>
      <w:pPr>
        <w:pBdr>
          <w:bottom w:val="single" w:color="2E75B6" w:sz="6" w:space="1"/>
        </w:pBdr>
        <w:spacing w:after="0"/>
      </w:pPr>
    </w:p>
    <w:p>
      <w:pPr>
        <w:spacing w:after="80"/>
      </w:pPr>
    </w:p>
    <w:p>
      <w:pPr>
        <w:spacing w:after="120" w:line="280"/>
      </w:pPr>
      <w:r>
        <w:rPr>
          <w:i/>
          <w:iCs/>
        </w:rPr>
        <w:t xml:space="preserve">Wickens, M. (2012). Macroeconomic Theory: A Dynamic General Equilibrium Approach. 2nd ed. Princeton: Princeton University Press. Ch.5 §§5.4, 5.5, 5.7; Ch.8 §8.7.</w:t>
      </w:r>
      <w:r>
        <w:t xml:space="preserve">  |  </w:t>
      </w:r>
      <w:r>
        <w:rPr>
          <w:i/>
          <w:iCs/>
        </w:rPr>
        <w:t xml:space="preserve">Feenstra, R.C. (1986). Functional equivalence between liquidity costs and the utility of money. Journal of Monetary Economics 17: 271–291.</w:t>
      </w:r>
      <w:r>
        <w:t xml:space="preserve">  |  </w:t>
      </w:r>
      <w:r>
        <w:rPr>
          <w:i/>
          <w:iCs/>
        </w:rPr>
        <w:t xml:space="preserve">Barro, R.J. (1979). On the determination of public debt. Journal of Political Economy 87(5): 940–971.</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color w:val="777777"/>
        <w:sz w:val="18"/>
        <w:szCs w:val="18"/>
      </w:rPr>
      <w:t xml:space="preserve">Vietnam DSGE — Wickens Extensions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1F3864"/>
        <w:sz w:val="18"/>
        <w:szCs w:val="18"/>
      </w:rPr>
      <w:t xml:space="preserve">CHANGE DOCUMENTATION  </w:t>
    </w:r>
    <w:r>
      <w:rPr>
        <w:color w:val="555555"/>
        <w:sz w:val="18"/>
        <w:szCs w:val="18"/>
      </w:rPr>
      <w:t xml:space="preserve">| Vietnam DSGE — Wickens (2012) HIGH-Impact Extensions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28"/>
      <w:szCs w:val="28"/>
    </w:rPr>
  </w:style>
  <w:style w:type="paragraph" w:styleId="Heading2">
    <w:name w:val="Heading 2"/>
    <w:basedOn w:val="Normal"/>
    <w:next w:val="Normal"/>
    <w:qFormat/>
    <w:pPr>
      <w:spacing w:after="10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Wickens Extensions — Detailed Change Documentation</dc:title>
  <dc:creator>Toan T. Nguyen</dc:creator>
  <cp:lastModifiedBy>Un-named</cp:lastModifiedBy>
  <cp:revision>1</cp:revision>
  <dcterms:created xsi:type="dcterms:W3CDTF">2026-03-22T07:47:54.802Z</dcterms:created>
  <dcterms:modified xsi:type="dcterms:W3CDTF">2026-03-22T07:47:54.802Z</dcterms:modified>
</cp:coreProperties>
</file>

<file path=docProps/custom.xml><?xml version="1.0" encoding="utf-8"?>
<Properties xmlns="http://schemas.openxmlformats.org/officeDocument/2006/custom-properties" xmlns:vt="http://schemas.openxmlformats.org/officeDocument/2006/docPropsVTypes"/>
</file>