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DCAF" w14:textId="77777777" w:rsidR="009C5414" w:rsidRDefault="009C5414">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CB4" w14:textId="77777777">
        <w:tblPrEx>
          <w:tblCellMar>
            <w:top w:w="0" w:type="dxa"/>
            <w:bottom w:w="0" w:type="dxa"/>
          </w:tblCellMar>
        </w:tblPrEx>
        <w:tc>
          <w:tcPr>
            <w:tcW w:w="9360" w:type="dxa"/>
            <w:tcBorders>
              <w:top w:val="nil"/>
              <w:left w:val="nil"/>
              <w:bottom w:val="nil"/>
              <w:right w:val="nil"/>
            </w:tcBorders>
            <w:shd w:val="clear" w:color="auto" w:fill="1F3864"/>
            <w:tcMar>
              <w:top w:w="360" w:type="dxa"/>
              <w:left w:w="480" w:type="dxa"/>
              <w:bottom w:w="360" w:type="dxa"/>
              <w:right w:w="480" w:type="dxa"/>
            </w:tcMar>
          </w:tcPr>
          <w:p w14:paraId="078BDCB0" w14:textId="77777777" w:rsidR="009C5414" w:rsidRDefault="00000000">
            <w:pPr>
              <w:spacing w:after="120"/>
              <w:jc w:val="center"/>
            </w:pPr>
            <w:r>
              <w:rPr>
                <w:b/>
                <w:bCs/>
                <w:color w:val="FFFFFF"/>
                <w:sz w:val="36"/>
                <w:szCs w:val="36"/>
              </w:rPr>
              <w:t>ADVISORY SYNTHESIS MEMORANDUM</w:t>
            </w:r>
          </w:p>
          <w:p w14:paraId="078BDCB1" w14:textId="77777777" w:rsidR="009C5414" w:rsidRDefault="00000000">
            <w:pPr>
              <w:spacing w:after="60"/>
              <w:jc w:val="center"/>
            </w:pPr>
            <w:r>
              <w:rPr>
                <w:color w:val="AACCEE"/>
                <w:sz w:val="24"/>
                <w:szCs w:val="24"/>
              </w:rPr>
              <w:t>Wickens (2012) Macroeconomic Theory: Extensions for the</w:t>
            </w:r>
          </w:p>
          <w:p w14:paraId="078BDCB2" w14:textId="77777777" w:rsidR="009C5414" w:rsidRDefault="00000000">
            <w:pPr>
              <w:spacing w:after="200"/>
              <w:jc w:val="center"/>
            </w:pPr>
            <w:r>
              <w:rPr>
                <w:b/>
                <w:bCs/>
                <w:color w:val="D6E4F0"/>
                <w:sz w:val="26"/>
                <w:szCs w:val="26"/>
              </w:rPr>
              <w:t>Vietnam Renewable Energy DSGE Capstone Model</w:t>
            </w:r>
          </w:p>
          <w:p w14:paraId="078BDCB3" w14:textId="77777777" w:rsidR="009C5414" w:rsidRDefault="00000000">
            <w:pPr>
              <w:jc w:val="center"/>
            </w:pPr>
            <w:r>
              <w:rPr>
                <w:i/>
                <w:iCs/>
                <w:color w:val="AACCEE"/>
                <w:sz w:val="20"/>
                <w:szCs w:val="20"/>
              </w:rPr>
              <w:t xml:space="preserve">Prepared for: Capstone Research </w:t>
            </w:r>
            <w:proofErr w:type="gramStart"/>
            <w:r>
              <w:rPr>
                <w:i/>
                <w:iCs/>
                <w:color w:val="AACCEE"/>
                <w:sz w:val="20"/>
                <w:szCs w:val="20"/>
              </w:rPr>
              <w:t>Advisory  |</w:t>
            </w:r>
            <w:proofErr w:type="gramEnd"/>
            <w:r>
              <w:rPr>
                <w:i/>
                <w:iCs/>
                <w:color w:val="AACCEE"/>
                <w:sz w:val="20"/>
                <w:szCs w:val="20"/>
              </w:rPr>
              <w:t xml:space="preserve">  Date: March 2026</w:t>
            </w:r>
          </w:p>
        </w:tc>
      </w:tr>
    </w:tbl>
    <w:p w14:paraId="078BDCB5" w14:textId="77777777" w:rsidR="009C5414" w:rsidRDefault="009C541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C5414" w14:paraId="078BDC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20" w:type="dxa"/>
            </w:tcMar>
          </w:tcPr>
          <w:p w14:paraId="078BDCB6" w14:textId="77777777" w:rsidR="009C5414" w:rsidRDefault="00000000">
            <w:r>
              <w:rPr>
                <w:b/>
                <w:bCs/>
                <w:sz w:val="20"/>
                <w:szCs w:val="20"/>
              </w:rPr>
              <w:t>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78BDCB7" w14:textId="77777777" w:rsidR="009C5414" w:rsidRDefault="00000000">
            <w:r>
              <w:rPr>
                <w:sz w:val="20"/>
                <w:szCs w:val="20"/>
              </w:rPr>
              <w:t>Capstone Candidate (Vietnam DSGE Project)</w:t>
            </w:r>
          </w:p>
        </w:tc>
      </w:tr>
      <w:tr w:rsidR="009C5414" w14:paraId="078BDC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20" w:type="dxa"/>
            </w:tcMar>
          </w:tcPr>
          <w:p w14:paraId="078BDCB9" w14:textId="77777777" w:rsidR="009C5414" w:rsidRDefault="00000000">
            <w:r>
              <w:rPr>
                <w:b/>
                <w:bCs/>
                <w:sz w:val="20"/>
                <w:szCs w:val="20"/>
              </w:rPr>
              <w:t>FROM: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78BDCBA" w14:textId="77777777" w:rsidR="009C5414" w:rsidRDefault="00000000">
            <w:r>
              <w:rPr>
                <w:sz w:val="20"/>
                <w:szCs w:val="20"/>
              </w:rPr>
              <w:t>Research Advisory Office</w:t>
            </w:r>
          </w:p>
        </w:tc>
      </w:tr>
      <w:tr w:rsidR="009C5414" w14:paraId="078BDC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20" w:type="dxa"/>
            </w:tcMar>
          </w:tcPr>
          <w:p w14:paraId="078BDCBC" w14:textId="77777777" w:rsidR="009C5414" w:rsidRDefault="00000000">
            <w:r>
              <w:rPr>
                <w:b/>
                <w:bCs/>
                <w:sz w:val="20"/>
                <w:szCs w:val="20"/>
              </w:rPr>
              <w:t>RE: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78BDCBD" w14:textId="77777777" w:rsidR="009C5414" w:rsidRDefault="00000000">
            <w:r>
              <w:rPr>
                <w:sz w:val="20"/>
                <w:szCs w:val="20"/>
              </w:rPr>
              <w:t>Systematic Survey of Wickens (2012) Extensions Applicable to the 17-Variable Vietnam SOE DSGE Model with Proportional Grid-Investment Tax Rule</w:t>
            </w:r>
          </w:p>
        </w:tc>
      </w:tr>
      <w:tr w:rsidR="009C5414" w14:paraId="078BDC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20" w:type="dxa"/>
            </w:tcMar>
          </w:tcPr>
          <w:p w14:paraId="078BDCBF" w14:textId="77777777" w:rsidR="009C5414" w:rsidRDefault="00000000">
            <w:r>
              <w:rPr>
                <w:b/>
                <w:bCs/>
                <w:sz w:val="20"/>
                <w:szCs w:val="20"/>
              </w:rPr>
              <w:t>DATE: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78BDCC0" w14:textId="77777777" w:rsidR="009C5414" w:rsidRDefault="00000000">
            <w:r>
              <w:rPr>
                <w:sz w:val="20"/>
                <w:szCs w:val="20"/>
              </w:rPr>
              <w:t>March 21, 2026</w:t>
            </w:r>
          </w:p>
        </w:tc>
      </w:tr>
      <w:tr w:rsidR="009C5414" w14:paraId="078BDC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20" w:type="dxa"/>
            </w:tcMar>
          </w:tcPr>
          <w:p w14:paraId="078BDCC2" w14:textId="77777777" w:rsidR="009C5414" w:rsidRDefault="00000000">
            <w:r>
              <w:rPr>
                <w:b/>
                <w:bCs/>
                <w:sz w:val="20"/>
                <w:szCs w:val="20"/>
              </w:rPr>
              <w:t>PRIORITY: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78BDCC3" w14:textId="77777777" w:rsidR="009C5414" w:rsidRDefault="00000000">
            <w:r>
              <w:rPr>
                <w:b/>
                <w:bCs/>
                <w:color w:val="C00000"/>
                <w:sz w:val="20"/>
                <w:szCs w:val="20"/>
              </w:rPr>
              <w:t>URGENT — Final capstone deliverable review</w:t>
            </w:r>
          </w:p>
        </w:tc>
      </w:tr>
    </w:tbl>
    <w:p w14:paraId="078BDCC5" w14:textId="77777777" w:rsidR="009C5414" w:rsidRDefault="009C5414">
      <w:pPr>
        <w:spacing w:after="240"/>
      </w:pPr>
    </w:p>
    <w:p w14:paraId="078BDCC6" w14:textId="77777777" w:rsidR="009C5414" w:rsidRDefault="00000000">
      <w:pPr>
        <w:pStyle w:val="Heading1"/>
        <w:shd w:val="clear" w:color="auto" w:fill="1F3864"/>
        <w:ind w:left="120"/>
      </w:pPr>
      <w:r>
        <w:rPr>
          <w:color w:val="FFFFFF"/>
        </w:rPr>
        <w:t>I. Executive Summary</w:t>
      </w:r>
    </w:p>
    <w:p w14:paraId="078BDCC7" w14:textId="77777777" w:rsidR="009C5414" w:rsidRDefault="00000000">
      <w:pPr>
        <w:spacing w:after="120" w:line="276" w:lineRule="auto"/>
      </w:pPr>
      <w:r>
        <w:t xml:space="preserve">This memorandum presents a complete advisory synthesis of </w:t>
      </w:r>
      <w:r>
        <w:rPr>
          <w:i/>
          <w:iCs/>
        </w:rPr>
        <w:t>Macroeconomic Theory: A Dynamic General Equilibrium Approach</w:t>
      </w:r>
      <w:r>
        <w:t xml:space="preserve">, 2nd ed. (Wickens, 2012), identifying every substantive theoretical framework and equation that can credibly be incorporated into or used to critique the Vietnam renewable energy DSGE capstone model. That model is a 17-variable log-linear small open economy (SOE) system cast in state-space form </w:t>
      </w:r>
      <w:r>
        <w:rPr>
          <w:b/>
          <w:bCs/>
        </w:rPr>
        <w:t>Ax</w:t>
      </w:r>
      <w:r>
        <w:rPr>
          <w:i/>
          <w:iCs/>
        </w:rPr>
        <w:t>t</w:t>
      </w:r>
      <w:r>
        <w:t xml:space="preserve"> = </w:t>
      </w:r>
      <w:r>
        <w:rPr>
          <w:b/>
          <w:bCs/>
        </w:rPr>
        <w:t>Bx</w:t>
      </w:r>
      <w:r>
        <w:rPr>
          <w:i/>
          <w:iCs/>
        </w:rPr>
        <w:t>t−1</w:t>
      </w:r>
      <w:r>
        <w:t xml:space="preserve"> + </w:t>
      </w:r>
      <w:proofErr w:type="spellStart"/>
      <w:r>
        <w:t>Cε</w:t>
      </w:r>
      <w:r>
        <w:rPr>
          <w:i/>
          <w:iCs/>
        </w:rPr>
        <w:t>t</w:t>
      </w:r>
      <w:proofErr w:type="spellEnd"/>
      <w:r>
        <w:t xml:space="preserve">, featuring renewable energy intermittency, a proportional grid-investment tax rule </w:t>
      </w:r>
      <w:proofErr w:type="spellStart"/>
      <w:r>
        <w:t>τ</w:t>
      </w:r>
      <w:r>
        <w:rPr>
          <w:i/>
          <w:iCs/>
        </w:rPr>
        <w:t>t</w:t>
      </w:r>
      <w:proofErr w:type="spellEnd"/>
      <w:r>
        <w:t xml:space="preserve"> = </w:t>
      </w:r>
      <w:proofErr w:type="spellStart"/>
      <w:proofErr w:type="gramStart"/>
      <w:r>
        <w:t>I</w:t>
      </w:r>
      <w:r>
        <w:rPr>
          <w:i/>
          <w:iCs/>
        </w:rPr>
        <w:t>grid,t</w:t>
      </w:r>
      <w:proofErr w:type="spellEnd"/>
      <w:proofErr w:type="gramEnd"/>
      <w:r>
        <w:t>/</w:t>
      </w:r>
      <w:proofErr w:type="spellStart"/>
      <w:r>
        <w:t>Y</w:t>
      </w:r>
      <w:r>
        <w:rPr>
          <w:i/>
          <w:iCs/>
        </w:rPr>
        <w:t>t</w:t>
      </w:r>
      <w:proofErr w:type="spellEnd"/>
      <w:r>
        <w:t>, Blanchard–Kahn saddle-path stability (two unstable eigenvalues), and a welfare cost measured via the Lucas compensating variation Λ.</w:t>
      </w:r>
    </w:p>
    <w:p w14:paraId="078BDCC8" w14:textId="77777777" w:rsidR="009C5414" w:rsidRDefault="009C5414">
      <w:pPr>
        <w:spacing w:after="80"/>
      </w:pPr>
    </w:p>
    <w:p w14:paraId="078BDCC9" w14:textId="77777777" w:rsidR="009C5414" w:rsidRDefault="00000000">
      <w:pPr>
        <w:spacing w:after="120" w:line="276" w:lineRule="auto"/>
      </w:pPr>
      <w:r>
        <w:t xml:space="preserve">Reading covered Chapters 3 through 11 in their entirety, with </w:t>
      </w:r>
      <w:proofErr w:type="gramStart"/>
      <w:r>
        <w:t>particular depth</w:t>
      </w:r>
      <w:proofErr w:type="gramEnd"/>
      <w:r>
        <w:t xml:space="preserve"> in the open-economy (Ch.7), fiscal (Ch.5–6), monetary (Ch.8), and asset-pricing (Ch.11) material most directly relevant to the capstone. The synthesized extensions are organized below into six thematic clusters: (1) Growth and Technology, (2) Fiscal Policy and Taxation, (3) Open Economy Structure, (4) Monetary and Financial Frictions, (5) Asset Pricing and Risk, and (6) Welfare and Model Validation. For each cluster we state the specific Wickens reference, provide the key equation(s), and explain precisely how the extension connects to the existing capstone equations.</w:t>
      </w:r>
    </w:p>
    <w:p w14:paraId="078BDCCA" w14:textId="77777777" w:rsidR="009C5414" w:rsidRDefault="009C5414">
      <w:pPr>
        <w:spacing w:after="200"/>
      </w:pPr>
    </w:p>
    <w:p w14:paraId="078BDCCB" w14:textId="77777777" w:rsidR="009C5414" w:rsidRDefault="00000000">
      <w:pPr>
        <w:pStyle w:val="Heading1"/>
        <w:shd w:val="clear" w:color="auto" w:fill="1F3864"/>
        <w:ind w:left="120"/>
      </w:pPr>
      <w:r>
        <w:rPr>
          <w:color w:val="FFFFFF"/>
        </w:rPr>
        <w:t>II. Capstone Model Architecture — Quick Reference</w:t>
      </w:r>
    </w:p>
    <w:p w14:paraId="078BDCCC" w14:textId="77777777" w:rsidR="009C5414" w:rsidRDefault="00000000">
      <w:pPr>
        <w:spacing w:after="120" w:line="276" w:lineRule="auto"/>
      </w:pPr>
      <w:r>
        <w:t>Before mapping extensions, we briefly recapitulate the capstone’s key structural equations to make the relevance of each Wickens chapter transparent.</w:t>
      </w:r>
    </w:p>
    <w:p w14:paraId="078BDCCD" w14:textId="77777777" w:rsidR="009C5414" w:rsidRDefault="009C54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CD6"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D6E4F0"/>
            <w:tcMar>
              <w:top w:w="120" w:type="dxa"/>
              <w:left w:w="200" w:type="dxa"/>
              <w:bottom w:w="120" w:type="dxa"/>
              <w:right w:w="160" w:type="dxa"/>
            </w:tcMar>
          </w:tcPr>
          <w:p w14:paraId="078BDCCE" w14:textId="77777777" w:rsidR="009C5414" w:rsidRDefault="00000000">
            <w:pPr>
              <w:spacing w:after="60"/>
            </w:pPr>
            <w:r>
              <w:rPr>
                <w:b/>
                <w:bCs/>
                <w:color w:val="1F3864"/>
              </w:rPr>
              <w:lastRenderedPageBreak/>
              <w:t xml:space="preserve">State-space system: </w:t>
            </w:r>
          </w:p>
          <w:p w14:paraId="078BDCCF" w14:textId="77777777" w:rsidR="009C5414" w:rsidRDefault="00000000">
            <w:pPr>
              <w:spacing w:after="80"/>
            </w:pPr>
            <w:r>
              <w:rPr>
                <w:rFonts w:ascii="Courier New" w:eastAsia="Courier New" w:hAnsi="Courier New" w:cs="Courier New"/>
              </w:rPr>
              <w:t xml:space="preserve">Axₜ = Bxₜ₋₁ + </w:t>
            </w:r>
            <w:proofErr w:type="spellStart"/>
            <w:r>
              <w:rPr>
                <w:rFonts w:ascii="Courier New" w:eastAsia="Courier New" w:hAnsi="Courier New" w:cs="Courier New"/>
              </w:rPr>
              <w:t>C</w:t>
            </w:r>
            <w:proofErr w:type="gramStart"/>
            <w:r>
              <w:rPr>
                <w:rFonts w:ascii="Courier New" w:eastAsia="Courier New" w:hAnsi="Courier New" w:cs="Courier New"/>
              </w:rPr>
              <w:t>ε</w:t>
            </w:r>
            <w:proofErr w:type="spellEnd"/>
            <w:r>
              <w:rPr>
                <w:rFonts w:ascii="Courier New" w:eastAsia="Courier New" w:hAnsi="Courier New" w:cs="Courier New"/>
              </w:rPr>
              <w:t>ₜ</w:t>
            </w:r>
            <w:r>
              <w:rPr>
                <w:sz w:val="20"/>
                <w:szCs w:val="20"/>
              </w:rPr>
              <w:t xml:space="preserve">  (</w:t>
            </w:r>
            <w:proofErr w:type="gramEnd"/>
            <w:r>
              <w:rPr>
                <w:sz w:val="20"/>
                <w:szCs w:val="20"/>
              </w:rPr>
              <w:t>17 × 1 variable vector; 2 unstable eigenvalues ⇒ BK satisfied)</w:t>
            </w:r>
          </w:p>
          <w:p w14:paraId="078BDCD0" w14:textId="77777777" w:rsidR="009C5414" w:rsidRDefault="00000000">
            <w:pPr>
              <w:spacing w:after="60"/>
            </w:pPr>
            <w:r>
              <w:rPr>
                <w:b/>
                <w:bCs/>
                <w:color w:val="1F3864"/>
              </w:rPr>
              <w:t xml:space="preserve">Tax rule: </w:t>
            </w:r>
          </w:p>
          <w:p w14:paraId="078BDCD1" w14:textId="77777777" w:rsidR="009C5414" w:rsidRDefault="00000000">
            <w:pPr>
              <w:spacing w:after="80"/>
            </w:pPr>
            <w:r>
              <w:rPr>
                <w:rFonts w:ascii="Courier New" w:eastAsia="Courier New" w:hAnsi="Courier New" w:cs="Courier New"/>
              </w:rPr>
              <w:t xml:space="preserve">τₜ = I₟ᵣᵢᵈ,ₜ / </w:t>
            </w:r>
            <w:proofErr w:type="gramStart"/>
            <w:r>
              <w:rPr>
                <w:rFonts w:ascii="Courier New" w:eastAsia="Courier New" w:hAnsi="Courier New" w:cs="Courier New"/>
              </w:rPr>
              <w:t>Yₜ</w:t>
            </w:r>
            <w:r>
              <w:rPr>
                <w:sz w:val="20"/>
                <w:szCs w:val="20"/>
              </w:rPr>
              <w:t xml:space="preserve">  (</w:t>
            </w:r>
            <w:proofErr w:type="gramEnd"/>
            <w:r>
              <w:rPr>
                <w:sz w:val="20"/>
                <w:szCs w:val="20"/>
              </w:rPr>
              <w:t>proportional share of grid investment in output)</w:t>
            </w:r>
          </w:p>
          <w:p w14:paraId="078BDCD2" w14:textId="77777777" w:rsidR="009C5414" w:rsidRDefault="00000000">
            <w:pPr>
              <w:spacing w:after="60"/>
            </w:pPr>
            <w:r>
              <w:rPr>
                <w:b/>
                <w:bCs/>
                <w:color w:val="1F3864"/>
              </w:rPr>
              <w:t xml:space="preserve">Welfare: </w:t>
            </w:r>
          </w:p>
          <w:p w14:paraId="078BDCD3" w14:textId="77777777" w:rsidR="009C5414" w:rsidRDefault="00000000">
            <w:pPr>
              <w:spacing w:after="80"/>
            </w:pPr>
            <w:r>
              <w:rPr>
                <w:rFonts w:ascii="Courier New" w:eastAsia="Courier New" w:hAnsi="Courier New" w:cs="Courier New"/>
              </w:rPr>
              <w:t>Λ = (E₀ Σ βᵗ U(</w:t>
            </w:r>
            <w:proofErr w:type="spellStart"/>
            <w:proofErr w:type="gramStart"/>
            <w:r>
              <w:rPr>
                <w:rFonts w:ascii="Courier New" w:eastAsia="Courier New" w:hAnsi="Courier New" w:cs="Courier New"/>
              </w:rPr>
              <w:t>cₜ,l</w:t>
            </w:r>
            <w:proofErr w:type="spellEnd"/>
            <w:proofErr w:type="gramEnd"/>
            <w:r>
              <w:rPr>
                <w:rFonts w:ascii="Courier New" w:eastAsia="Courier New" w:hAnsi="Courier New" w:cs="Courier New"/>
              </w:rPr>
              <w:t>ₜ</w:t>
            </w:r>
            <w:proofErr w:type="gramStart"/>
            <w:r>
              <w:rPr>
                <w:rFonts w:ascii="Courier New" w:eastAsia="Courier New" w:hAnsi="Courier New" w:cs="Courier New"/>
              </w:rPr>
              <w:t>))^</w:t>
            </w:r>
            <w:proofErr w:type="gramEnd"/>
            <w:r>
              <w:rPr>
                <w:rFonts w:ascii="Courier New" w:eastAsia="Courier New" w:hAnsi="Courier New" w:cs="Courier New"/>
              </w:rPr>
              <w:t xml:space="preserve">{1/(1-σ)} − </w:t>
            </w:r>
            <w:proofErr w:type="gramStart"/>
            <w:r>
              <w:rPr>
                <w:rFonts w:ascii="Courier New" w:eastAsia="Courier New" w:hAnsi="Courier New" w:cs="Courier New"/>
              </w:rPr>
              <w:t>1</w:t>
            </w:r>
            <w:r>
              <w:rPr>
                <w:sz w:val="20"/>
                <w:szCs w:val="20"/>
              </w:rPr>
              <w:t xml:space="preserve">  (</w:t>
            </w:r>
            <w:proofErr w:type="gramEnd"/>
            <w:r>
              <w:rPr>
                <w:sz w:val="20"/>
                <w:szCs w:val="20"/>
              </w:rPr>
              <w:t>Lucas compensating consumption variation)</w:t>
            </w:r>
          </w:p>
          <w:p w14:paraId="078BDCD4" w14:textId="77777777" w:rsidR="009C5414" w:rsidRDefault="00000000">
            <w:pPr>
              <w:spacing w:after="60"/>
            </w:pPr>
            <w:r>
              <w:rPr>
                <w:b/>
                <w:bCs/>
                <w:color w:val="1F3864"/>
              </w:rPr>
              <w:t xml:space="preserve">SOE </w:t>
            </w:r>
            <w:proofErr w:type="gramStart"/>
            <w:r>
              <w:rPr>
                <w:b/>
                <w:bCs/>
                <w:color w:val="1F3864"/>
              </w:rPr>
              <w:t>constraint</w:t>
            </w:r>
            <w:proofErr w:type="gramEnd"/>
            <w:r>
              <w:rPr>
                <w:b/>
                <w:bCs/>
                <w:color w:val="1F3864"/>
              </w:rPr>
              <w:t xml:space="preserve">: </w:t>
            </w:r>
          </w:p>
          <w:p w14:paraId="078BDCD5" w14:textId="77777777" w:rsidR="009C5414" w:rsidRDefault="00000000">
            <w:pPr>
              <w:spacing w:after="40"/>
            </w:pPr>
            <w:r>
              <w:rPr>
                <w:rFonts w:ascii="Courier New" w:eastAsia="Courier New" w:hAnsi="Courier New" w:cs="Courier New"/>
              </w:rPr>
              <w:t xml:space="preserve">yₜ + r*fₜ − cₜ − </w:t>
            </w:r>
            <w:proofErr w:type="spellStart"/>
            <w:r>
              <w:rPr>
                <w:rFonts w:ascii="Courier New" w:eastAsia="Courier New" w:hAnsi="Courier New" w:cs="Courier New"/>
              </w:rPr>
              <w:t>i</w:t>
            </w:r>
            <w:proofErr w:type="spellEnd"/>
            <w:r>
              <w:rPr>
                <w:rFonts w:ascii="Courier New" w:eastAsia="Courier New" w:hAnsi="Courier New" w:cs="Courier New"/>
              </w:rPr>
              <w:t xml:space="preserve">ₜ = </w:t>
            </w:r>
            <w:proofErr w:type="spellStart"/>
            <w:r>
              <w:rPr>
                <w:rFonts w:ascii="Courier New" w:eastAsia="Courier New" w:hAnsi="Courier New" w:cs="Courier New"/>
              </w:rPr>
              <w:t>Δf</w:t>
            </w:r>
            <w:proofErr w:type="spellEnd"/>
            <w:r>
              <w:rPr>
                <w:rFonts w:ascii="Courier New" w:eastAsia="Courier New" w:hAnsi="Courier New" w:cs="Courier New"/>
              </w:rPr>
              <w:t>ₜ₊</w:t>
            </w:r>
            <w:proofErr w:type="gramStart"/>
            <w:r>
              <w:rPr>
                <w:rFonts w:ascii="Courier New" w:eastAsia="Courier New" w:hAnsi="Courier New" w:cs="Courier New"/>
              </w:rPr>
              <w:t>₁</w:t>
            </w:r>
            <w:r>
              <w:rPr>
                <w:sz w:val="20"/>
                <w:szCs w:val="20"/>
              </w:rPr>
              <w:t xml:space="preserve">  (</w:t>
            </w:r>
            <w:proofErr w:type="gramEnd"/>
            <w:r>
              <w:rPr>
                <w:sz w:val="20"/>
                <w:szCs w:val="20"/>
              </w:rPr>
              <w:t>NFA accumulation, world interest rate r* exogenous)</w:t>
            </w:r>
          </w:p>
        </w:tc>
      </w:tr>
    </w:tbl>
    <w:p w14:paraId="078BDCD7" w14:textId="77777777" w:rsidR="009C5414" w:rsidRDefault="009C5414">
      <w:pPr>
        <w:spacing w:after="240"/>
      </w:pPr>
    </w:p>
    <w:p w14:paraId="078BDCD8" w14:textId="77777777" w:rsidR="009C5414" w:rsidRDefault="00000000">
      <w:pPr>
        <w:pStyle w:val="Heading1"/>
        <w:shd w:val="clear" w:color="auto" w:fill="1F3864"/>
        <w:ind w:left="120"/>
      </w:pPr>
      <w:r>
        <w:rPr>
          <w:color w:val="FFFFFF"/>
        </w:rPr>
        <w:t>III. Cluster 1: Growth and Technology (Ch. 3)</w:t>
      </w:r>
    </w:p>
    <w:p w14:paraId="078BDCD9" w14:textId="77777777" w:rsidR="009C5414" w:rsidRDefault="00000000">
      <w:pPr>
        <w:pStyle w:val="Heading2"/>
        <w:pBdr>
          <w:bottom w:val="single" w:sz="4" w:space="1" w:color="2E75B6"/>
        </w:pBdr>
      </w:pPr>
      <w:proofErr w:type="gramStart"/>
      <w:r>
        <w:rPr>
          <w:color w:val="1F3864"/>
        </w:rPr>
        <w:t>1.1  Balanced</w:t>
      </w:r>
      <w:proofErr w:type="gramEnd"/>
      <w:r>
        <w:rPr>
          <w:color w:val="1F3864"/>
        </w:rPr>
        <w:t xml:space="preserve"> Growth Path Consistency</w:t>
      </w:r>
    </w:p>
    <w:p w14:paraId="078BDCDA" w14:textId="77777777" w:rsidR="009C5414" w:rsidRDefault="00000000">
      <w:pPr>
        <w:spacing w:after="120" w:line="276" w:lineRule="auto"/>
      </w:pPr>
      <w:r>
        <w:t xml:space="preserve">Wickens Ch. 3 establishes that in an AK or augmented Solow growth </w:t>
      </w:r>
      <w:proofErr w:type="gramStart"/>
      <w:r>
        <w:t>environment,</w:t>
      </w:r>
      <w:proofErr w:type="gramEnd"/>
      <w:r>
        <w:t xml:space="preserve"> the balanced growth path (BGP) requires all stationary-state ratios to grow at a common rate. The key BGP condition for technology-augmented capital accumulation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CDC"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F2F2F2"/>
            <w:tcMar>
              <w:top w:w="120" w:type="dxa"/>
              <w:left w:w="200" w:type="dxa"/>
              <w:bottom w:w="120" w:type="dxa"/>
              <w:right w:w="160" w:type="dxa"/>
            </w:tcMar>
          </w:tcPr>
          <w:p w14:paraId="078BDCDB" w14:textId="77777777" w:rsidR="009C5414" w:rsidRDefault="00000000">
            <w:pPr>
              <w:spacing w:after="40"/>
            </w:pPr>
            <w:r>
              <w:rPr>
                <w:rFonts w:ascii="Courier New" w:eastAsia="Courier New" w:hAnsi="Courier New" w:cs="Courier New"/>
              </w:rPr>
              <w:t xml:space="preserve">γ = μ / (1 − </w:t>
            </w:r>
            <w:proofErr w:type="gramStart"/>
            <w:r>
              <w:rPr>
                <w:rFonts w:ascii="Courier New" w:eastAsia="Courier New" w:hAnsi="Courier New" w:cs="Courier New"/>
              </w:rPr>
              <w:t>α)</w:t>
            </w:r>
            <w:r>
              <w:rPr>
                <w:sz w:val="20"/>
                <w:szCs w:val="20"/>
              </w:rPr>
              <w:t xml:space="preserve">  [</w:t>
            </w:r>
            <w:proofErr w:type="gramEnd"/>
            <w:r>
              <w:rPr>
                <w:sz w:val="20"/>
                <w:szCs w:val="20"/>
              </w:rPr>
              <w:t>Ch. 3, eq. (3.x) — BGP growth rate given TFP growth μ, capital share α]</w:t>
            </w:r>
          </w:p>
        </w:tc>
      </w:tr>
    </w:tbl>
    <w:p w14:paraId="078BDCDD" w14:textId="77777777" w:rsidR="009C5414" w:rsidRDefault="00000000">
      <w:pPr>
        <w:spacing w:after="120" w:line="276" w:lineRule="auto"/>
      </w:pPr>
      <w:r>
        <w:rPr>
          <w:b/>
          <w:bCs/>
        </w:rPr>
        <w:t xml:space="preserve">Applicability: </w:t>
      </w:r>
      <w:r>
        <w:t>The capstone embeds a renewable energy sector with intermittent productivity. Incorporating Wickens’ BGP condition ensures the steady-state calibration is internally consistent: if renewable TFP (μᵣᵉ) is growing (Vietnam’s solar irradiation is non-stationary), the log-linearization should be taken around a trending steady state, not a static one. Failing to account for this would bias all IRF magnitudes.</w:t>
      </w:r>
    </w:p>
    <w:p w14:paraId="078BDCDE" w14:textId="77777777" w:rsidR="009C5414" w:rsidRDefault="00000000">
      <w:pPr>
        <w:spacing w:after="120" w:line="276" w:lineRule="auto"/>
      </w:pPr>
      <w:r>
        <w:rPr>
          <w:b/>
          <w:bCs/>
        </w:rPr>
        <w:t xml:space="preserve">Recommended extension: </w:t>
      </w:r>
      <w:r>
        <w:t>Augment the model’s production block by expressing renewable TFP as zᵣᵉ,ₜ = (1+μ</w:t>
      </w:r>
      <w:proofErr w:type="gramStart"/>
      <w:r>
        <w:t>ᵣᵉ)ᵗ</w:t>
      </w:r>
      <w:proofErr w:type="gramEnd"/>
      <w:r>
        <w:t xml:space="preserve"> </w:t>
      </w:r>
      <w:proofErr w:type="gramStart"/>
      <w:r>
        <w:t>Zᵣᵉ,ₜ,</w:t>
      </w:r>
      <w:proofErr w:type="gramEnd"/>
      <w:r>
        <w:t xml:space="preserve"> where the hat denotes deviation from the BGP trend. This changes the log-linearized supply curve and requires verifying that the 17× system still satisfies Blanchard–Kahn after trend-</w:t>
      </w:r>
      <w:proofErr w:type="spellStart"/>
      <w:r>
        <w:t>stationarization</w:t>
      </w:r>
      <w:proofErr w:type="spellEnd"/>
      <w:r>
        <w:t>.</w:t>
      </w:r>
    </w:p>
    <w:p w14:paraId="078BDCDF" w14:textId="77777777" w:rsidR="009C5414" w:rsidRDefault="00000000">
      <w:pPr>
        <w:pStyle w:val="Heading2"/>
        <w:pBdr>
          <w:bottom w:val="single" w:sz="4" w:space="1" w:color="2E75B6"/>
        </w:pBdr>
      </w:pPr>
      <w:proofErr w:type="gramStart"/>
      <w:r>
        <w:rPr>
          <w:color w:val="1F3864"/>
        </w:rPr>
        <w:t>1.2  Endogenous</w:t>
      </w:r>
      <w:proofErr w:type="gramEnd"/>
      <w:r>
        <w:rPr>
          <w:color w:val="1F3864"/>
        </w:rPr>
        <w:t xml:space="preserve"> Growth and Human Capital</w:t>
      </w:r>
    </w:p>
    <w:p w14:paraId="078BDCE0" w14:textId="77777777" w:rsidR="009C5414" w:rsidRDefault="00000000">
      <w:pPr>
        <w:spacing w:after="120" w:line="276" w:lineRule="auto"/>
      </w:pPr>
      <w:r>
        <w:t xml:space="preserve">Ch. 3 §3.4 covers Lucas (1988) human capital accumulation: hᶜₜ₊₁ = (1 − </w:t>
      </w:r>
      <w:proofErr w:type="spellStart"/>
      <w:r>
        <w:t>δ</w:t>
      </w:r>
      <w:proofErr w:type="gramStart"/>
      <w:r>
        <w:t>ℎ</w:t>
      </w:r>
      <w:proofErr w:type="spellEnd"/>
      <w:r>
        <w:t>)hᶜ</w:t>
      </w:r>
      <w:proofErr w:type="gramEnd"/>
      <w:r>
        <w:t xml:space="preserve">ₜ + </w:t>
      </w:r>
      <w:proofErr w:type="gramStart"/>
      <w:r>
        <w:t>θ(</w:t>
      </w:r>
      <w:proofErr w:type="gramEnd"/>
      <w:r>
        <w:t xml:space="preserve">1 − </w:t>
      </w:r>
      <w:proofErr w:type="gramStart"/>
      <w:r>
        <w:t>nₜ)hᶜ</w:t>
      </w:r>
      <w:proofErr w:type="gramEnd"/>
      <w:r>
        <w:t>, where nₜ is time allocated to production. This renders the long-run growth rate endogenous to education decisions.</w:t>
      </w:r>
    </w:p>
    <w:p w14:paraId="078BDCE1" w14:textId="77777777" w:rsidR="009C5414" w:rsidRDefault="00000000">
      <w:pPr>
        <w:spacing w:after="120" w:line="276" w:lineRule="auto"/>
      </w:pPr>
      <w:r>
        <w:rPr>
          <w:b/>
          <w:bCs/>
        </w:rPr>
        <w:t xml:space="preserve">Applicability: </w:t>
      </w:r>
      <w:r>
        <w:t xml:space="preserve">Vietnam’s transition to a clean energy economy is </w:t>
      </w:r>
      <w:proofErr w:type="gramStart"/>
      <w:r>
        <w:t>skill-intensive</w:t>
      </w:r>
      <w:proofErr w:type="gramEnd"/>
      <w:r>
        <w:t xml:space="preserve">. Adding a human capital block to the capstone would endogenize the speed of technology adoption and provide a welfare channel for education subsidies. However, this adds at least 2 state variables (h, skill utilization), expanding the system to 19+ variables, and the advisor should confirm whether the thesis scope permits this. It is best treated as a </w:t>
      </w:r>
      <w:r>
        <w:rPr>
          <w:b/>
          <w:bCs/>
        </w:rPr>
        <w:t>recommended extension for a thesis appendix</w:t>
      </w:r>
      <w:r>
        <w:t>, not the baseline.</w:t>
      </w:r>
    </w:p>
    <w:p w14:paraId="078BDCE2" w14:textId="77777777" w:rsidR="009C5414" w:rsidRDefault="009C5414">
      <w:pPr>
        <w:spacing w:after="160"/>
      </w:pPr>
    </w:p>
    <w:p w14:paraId="078BDCE3" w14:textId="77777777" w:rsidR="009C5414" w:rsidRDefault="00000000">
      <w:pPr>
        <w:pStyle w:val="Heading1"/>
        <w:shd w:val="clear" w:color="auto" w:fill="1F3864"/>
        <w:ind w:left="120"/>
      </w:pPr>
      <w:r>
        <w:rPr>
          <w:color w:val="FFFFFF"/>
        </w:rPr>
        <w:t>IV. Cluster 2: Fiscal Policy and the Tax Rule (Ch. 5–6)</w:t>
      </w:r>
    </w:p>
    <w:p w14:paraId="078BDCE4" w14:textId="77777777" w:rsidR="009C5414" w:rsidRDefault="00000000">
      <w:pPr>
        <w:pStyle w:val="Heading2"/>
        <w:pBdr>
          <w:bottom w:val="single" w:sz="4" w:space="1" w:color="2E75B6"/>
        </w:pBdr>
      </w:pPr>
      <w:proofErr w:type="gramStart"/>
      <w:r>
        <w:rPr>
          <w:color w:val="1F3864"/>
        </w:rPr>
        <w:lastRenderedPageBreak/>
        <w:t>2.1  Proportional</w:t>
      </w:r>
      <w:proofErr w:type="gramEnd"/>
      <w:r>
        <w:rPr>
          <w:color w:val="1F3864"/>
        </w:rPr>
        <w:t xml:space="preserve"> Taxation is Distortionary — Ch. 5 §5.7.1.2</w:t>
      </w:r>
    </w:p>
    <w:p w14:paraId="078BDCE5" w14:textId="77777777" w:rsidR="009C5414" w:rsidRDefault="00000000">
      <w:pPr>
        <w:spacing w:after="120" w:line="276" w:lineRule="auto"/>
      </w:pPr>
      <w:r>
        <w:t>The most directly applicable result from Ch. 5 concerns the welfare properties of the capstone’s defining tax rule. Wickens shows that a proportional tax on income (</w:t>
      </w:r>
      <w:proofErr w:type="spellStart"/>
      <w:r>
        <w:t>τy</w:t>
      </w:r>
      <w:proofErr w:type="spellEnd"/>
      <w:r>
        <w:t>ₜ) generally creates a wedge between the pre-tax and post-tax return to capital, distorting the consumption-saving Euler equation: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CE8"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D6E4F0"/>
            <w:tcMar>
              <w:top w:w="120" w:type="dxa"/>
              <w:left w:w="200" w:type="dxa"/>
              <w:bottom w:w="120" w:type="dxa"/>
              <w:right w:w="160" w:type="dxa"/>
            </w:tcMar>
          </w:tcPr>
          <w:p w14:paraId="078BDCE6" w14:textId="77777777" w:rsidR="009C5414" w:rsidRDefault="00000000">
            <w:pPr>
              <w:spacing w:after="60"/>
            </w:pPr>
            <w:r>
              <w:rPr>
                <w:rFonts w:ascii="Courier New" w:eastAsia="Courier New" w:hAnsi="Courier New" w:cs="Courier New"/>
              </w:rPr>
              <w:t>β U′(cₜ₊₁)/U′(cₜ) · [(1−</w:t>
            </w:r>
            <w:proofErr w:type="gramStart"/>
            <w:r>
              <w:rPr>
                <w:rFonts w:ascii="Courier New" w:eastAsia="Courier New" w:hAnsi="Courier New" w:cs="Courier New"/>
              </w:rPr>
              <w:t>τ)(</w:t>
            </w:r>
            <w:proofErr w:type="gramEnd"/>
            <w:r>
              <w:rPr>
                <w:rFonts w:ascii="Courier New" w:eastAsia="Courier New" w:hAnsi="Courier New" w:cs="Courier New"/>
              </w:rPr>
              <w:t>rₜ₊₁ + 1−δ)] = 1</w:t>
            </w:r>
          </w:p>
          <w:p w14:paraId="078BDCE7" w14:textId="77777777" w:rsidR="009C5414" w:rsidRDefault="00000000">
            <w:pPr>
              <w:spacing w:after="40"/>
            </w:pPr>
            <w:r>
              <w:rPr>
                <w:sz w:val="20"/>
                <w:szCs w:val="20"/>
              </w:rPr>
              <w:t>Ch. 5 eq. (5.x): steady-state after-tax return must equal 1/β − 1, not the pre-tax r*</w:t>
            </w:r>
          </w:p>
        </w:tc>
      </w:tr>
    </w:tbl>
    <w:p w14:paraId="078BDCE9" w14:textId="77777777" w:rsidR="009C5414" w:rsidRDefault="00000000">
      <w:pPr>
        <w:spacing w:after="120" w:line="276" w:lineRule="auto"/>
      </w:pPr>
      <w:r>
        <w:rPr>
          <w:b/>
          <w:bCs/>
        </w:rPr>
        <w:t xml:space="preserve">Applicability: </w:t>
      </w:r>
      <w:r>
        <w:t>The capstone tax rule τₜ = I₟</w:t>
      </w:r>
      <w:proofErr w:type="gramStart"/>
      <w:r>
        <w:t>ᵣᵢᵈ,ₜ/</w:t>
      </w:r>
      <w:proofErr w:type="gramEnd"/>
      <w:r>
        <w:t xml:space="preserve">Yₜ is proportional to the grid investment share of output. This is </w:t>
      </w:r>
      <w:r>
        <w:rPr>
          <w:b/>
          <w:bCs/>
        </w:rPr>
        <w:t>not</w:t>
      </w:r>
      <w:r>
        <w:t xml:space="preserve"> a lump-sum transfer — it is a time-varying distortionary tax on the resource constraint. Wickens §5.7.1.2 confirms that such a rule distorts the household’s intertemporal allocation and breaks Ricardian equivalence (see 2.2 below). The memo recommends that the capstone </w:t>
      </w:r>
      <w:r>
        <w:rPr>
          <w:b/>
          <w:bCs/>
        </w:rPr>
        <w:t>explicitly state</w:t>
      </w:r>
      <w:r>
        <w:t xml:space="preserve"> this distortionary character and document the steady-state wedge it creates in the model’s Euler equation as a theoretical motivation for why Λ is nonzero even in the absence of shocks.</w:t>
      </w:r>
    </w:p>
    <w:p w14:paraId="078BDCEA" w14:textId="77777777" w:rsidR="009C5414" w:rsidRDefault="00000000">
      <w:pPr>
        <w:spacing w:after="120" w:line="276" w:lineRule="auto"/>
      </w:pPr>
      <w:r>
        <w:rPr>
          <w:b/>
          <w:bCs/>
        </w:rPr>
        <w:t xml:space="preserve">Key equation to add: </w:t>
      </w:r>
      <w:r>
        <w:t>Show that at steady state the user cost of capital satisfies (1−</w:t>
      </w:r>
      <w:proofErr w:type="gramStart"/>
      <w:r>
        <w:t>τ̅)(F′(</w:t>
      </w:r>
      <w:proofErr w:type="gramEnd"/>
      <w:r>
        <w:t xml:space="preserve">k) − δ) = r* where τ̅ is the steady-state tax </w:t>
      </w:r>
      <w:proofErr w:type="gramStart"/>
      <w:r>
        <w:t>rate, and</w:t>
      </w:r>
      <w:proofErr w:type="gramEnd"/>
      <w:r>
        <w:t xml:space="preserve"> compare with the first-best </w:t>
      </w:r>
      <w:proofErr w:type="gramStart"/>
      <w:r>
        <w:t>F′(</w:t>
      </w:r>
      <w:proofErr w:type="gramEnd"/>
      <w:r>
        <w:t>k) − δ = r*. The gap is the fiscal wedge that the proportional rule permanently imposes on grid-connected capital.</w:t>
      </w:r>
    </w:p>
    <w:p w14:paraId="078BDCEB" w14:textId="77777777" w:rsidR="009C5414" w:rsidRDefault="00000000">
      <w:pPr>
        <w:pStyle w:val="Heading2"/>
        <w:pBdr>
          <w:bottom w:val="single" w:sz="4" w:space="1" w:color="2E75B6"/>
        </w:pBdr>
      </w:pPr>
      <w:proofErr w:type="gramStart"/>
      <w:r>
        <w:rPr>
          <w:color w:val="1F3864"/>
        </w:rPr>
        <w:t>2.2  Ricardian</w:t>
      </w:r>
      <w:proofErr w:type="gramEnd"/>
      <w:r>
        <w:rPr>
          <w:color w:val="1F3864"/>
        </w:rPr>
        <w:t xml:space="preserve"> Non-Equivalence (Ch. 5 §5.4)</w:t>
      </w:r>
    </w:p>
    <w:p w14:paraId="078BDCEC" w14:textId="77777777" w:rsidR="009C5414" w:rsidRDefault="00000000">
      <w:pPr>
        <w:spacing w:after="120" w:line="276" w:lineRule="auto"/>
      </w:pPr>
      <w:r>
        <w:t xml:space="preserve">Ricardian equivalence (Barro 1974) holds if and only if taxes are </w:t>
      </w:r>
      <w:proofErr w:type="gramStart"/>
      <w:r>
        <w:t>lump-sum</w:t>
      </w:r>
      <w:proofErr w:type="gramEnd"/>
      <w:r>
        <w:t xml:space="preserve">. Wickens §5.4 shows that the equivalence breaks down whenever taxation is distortionary — the timing and form of taxes matter for household </w:t>
      </w:r>
      <w:proofErr w:type="spellStart"/>
      <w:r>
        <w:t>behaviour</w:t>
      </w:r>
      <w:proofErr w:type="spellEnd"/>
      <w:r>
        <w:t>.</w:t>
      </w:r>
    </w:p>
    <w:p w14:paraId="078BDCED" w14:textId="77777777" w:rsidR="009C5414" w:rsidRDefault="00000000">
      <w:pPr>
        <w:spacing w:after="120" w:line="276" w:lineRule="auto"/>
      </w:pPr>
      <w:r>
        <w:rPr>
          <w:b/>
          <w:bCs/>
        </w:rPr>
        <w:t xml:space="preserve">Applicability: </w:t>
      </w:r>
      <w:r>
        <w:t>Because τₜ = I₟</w:t>
      </w:r>
      <w:proofErr w:type="gramStart"/>
      <w:r>
        <w:t>ᵣᵢᵈ,ₜ/</w:t>
      </w:r>
      <w:proofErr w:type="gramEnd"/>
      <w:r>
        <w:t>Yₜ is endogenous and proportional, Ricardian equivalence does NOT hold in the capstone model. This has a specific implication: the government’s budget constraint must be explicitly tracked as a state variable, not integrated away. The capstone model should include the government’s real budget constraint: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CEF"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F2F2F2"/>
            <w:tcMar>
              <w:top w:w="120" w:type="dxa"/>
              <w:left w:w="200" w:type="dxa"/>
              <w:bottom w:w="120" w:type="dxa"/>
              <w:right w:w="160" w:type="dxa"/>
            </w:tcMar>
          </w:tcPr>
          <w:p w14:paraId="078BDCEE" w14:textId="77777777" w:rsidR="009C5414" w:rsidRDefault="00000000">
            <w:pPr>
              <w:spacing w:after="40"/>
            </w:pPr>
            <w:r>
              <w:rPr>
                <w:rFonts w:ascii="Courier New" w:eastAsia="Courier New" w:hAnsi="Courier New" w:cs="Courier New"/>
              </w:rPr>
              <w:t>bₜ = (1+</w:t>
            </w:r>
            <w:proofErr w:type="gramStart"/>
            <w:r>
              <w:rPr>
                <w:rFonts w:ascii="Courier New" w:eastAsia="Courier New" w:hAnsi="Courier New" w:cs="Courier New"/>
              </w:rPr>
              <w:t>r)b</w:t>
            </w:r>
            <w:proofErr w:type="gramEnd"/>
            <w:r>
              <w:rPr>
                <w:rFonts w:ascii="Courier New" w:eastAsia="Courier New" w:hAnsi="Courier New" w:cs="Courier New"/>
              </w:rPr>
              <w:t xml:space="preserve">ₜ₋₁ + Gₜ − τₜ </w:t>
            </w:r>
            <w:proofErr w:type="gramStart"/>
            <w:r>
              <w:rPr>
                <w:rFonts w:ascii="Courier New" w:eastAsia="Courier New" w:hAnsi="Courier New" w:cs="Courier New"/>
              </w:rPr>
              <w:t>Yₜ</w:t>
            </w:r>
            <w:r>
              <w:rPr>
                <w:sz w:val="20"/>
                <w:szCs w:val="20"/>
              </w:rPr>
              <w:t xml:space="preserve">  [</w:t>
            </w:r>
            <w:proofErr w:type="gramEnd"/>
            <w:r>
              <w:rPr>
                <w:sz w:val="20"/>
                <w:szCs w:val="20"/>
              </w:rPr>
              <w:t>Ch. 5 eq. (5.9): real government budget constraint]</w:t>
            </w:r>
          </w:p>
        </w:tc>
      </w:tr>
    </w:tbl>
    <w:p w14:paraId="078BDCF0" w14:textId="77777777" w:rsidR="009C5414" w:rsidRDefault="00000000">
      <w:pPr>
        <w:spacing w:after="120" w:line="276" w:lineRule="auto"/>
      </w:pPr>
      <w:r>
        <w:t xml:space="preserve">If government </w:t>
      </w:r>
      <w:proofErr w:type="gramStart"/>
      <w:r>
        <w:t>debt bₜ</w:t>
      </w:r>
      <w:proofErr w:type="gramEnd"/>
      <w:r>
        <w:t xml:space="preserve"> is not already in the 17-variable list, its exclusion implicitly assumes a balanced budget each period or Ricardian equivalence — both of which are inconsistent with the distortionary tax rule. The advisor should verify whether the model closes the fiscal block via a debt-stabilization rule.</w:t>
      </w:r>
    </w:p>
    <w:p w14:paraId="078BDCF1" w14:textId="77777777" w:rsidR="009C5414" w:rsidRDefault="00000000">
      <w:pPr>
        <w:pStyle w:val="Heading2"/>
        <w:pBdr>
          <w:bottom w:val="single" w:sz="4" w:space="1" w:color="2E75B6"/>
        </w:pBdr>
      </w:pPr>
      <w:proofErr w:type="gramStart"/>
      <w:r>
        <w:rPr>
          <w:color w:val="1F3864"/>
        </w:rPr>
        <w:t>2.3  Fiscal</w:t>
      </w:r>
      <w:proofErr w:type="gramEnd"/>
      <w:r>
        <w:rPr>
          <w:color w:val="1F3864"/>
        </w:rPr>
        <w:t xml:space="preserve"> Sustainability: Debt-to-GDP Stability (Ch. 5 §5.5)</w:t>
      </w:r>
    </w:p>
    <w:p w14:paraId="078BDCF2" w14:textId="77777777" w:rsidR="009C5414" w:rsidRDefault="00000000">
      <w:pPr>
        <w:spacing w:after="120" w:line="276" w:lineRule="auto"/>
      </w:pPr>
      <w:r>
        <w:t>Wickens §5.5 gives the necessary condition for the debt-to-GDP ratio bₜ/yₜ to remain bounded: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CF4"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D6E4F0"/>
            <w:tcMar>
              <w:top w:w="120" w:type="dxa"/>
              <w:left w:w="200" w:type="dxa"/>
              <w:bottom w:w="120" w:type="dxa"/>
              <w:right w:w="160" w:type="dxa"/>
            </w:tcMar>
          </w:tcPr>
          <w:p w14:paraId="078BDCF3" w14:textId="77777777" w:rsidR="009C5414" w:rsidRDefault="00000000">
            <w:pPr>
              <w:spacing w:after="40"/>
            </w:pPr>
            <w:r>
              <w:rPr>
                <w:rFonts w:ascii="Courier New" w:eastAsia="Courier New" w:hAnsi="Courier New" w:cs="Courier New"/>
              </w:rPr>
              <w:t xml:space="preserve">Stable </w:t>
            </w:r>
            <w:proofErr w:type="spellStart"/>
            <w:r>
              <w:rPr>
                <w:rFonts w:ascii="Courier New" w:eastAsia="Courier New" w:hAnsi="Courier New" w:cs="Courier New"/>
              </w:rPr>
              <w:t>iff</w:t>
            </w:r>
            <w:proofErr w:type="spellEnd"/>
            <w:r>
              <w:rPr>
                <w:rFonts w:ascii="Courier New" w:eastAsia="Courier New" w:hAnsi="Courier New" w:cs="Courier New"/>
              </w:rPr>
              <w:t xml:space="preserve">:  π + γ &gt; </w:t>
            </w:r>
            <w:proofErr w:type="gramStart"/>
            <w:r>
              <w:rPr>
                <w:rFonts w:ascii="Courier New" w:eastAsia="Courier New" w:hAnsi="Courier New" w:cs="Courier New"/>
              </w:rPr>
              <w:t>R</w:t>
            </w:r>
            <w:r>
              <w:rPr>
                <w:sz w:val="20"/>
                <w:szCs w:val="20"/>
              </w:rPr>
              <w:t xml:space="preserve">  i.e.</w:t>
            </w:r>
            <w:proofErr w:type="gramEnd"/>
            <w:r>
              <w:rPr>
                <w:sz w:val="20"/>
                <w:szCs w:val="20"/>
              </w:rPr>
              <w:t>, inflation plus GDP growth must exceed the nominal interest rate</w:t>
            </w:r>
          </w:p>
        </w:tc>
      </w:tr>
    </w:tbl>
    <w:p w14:paraId="078BDCF5" w14:textId="77777777" w:rsidR="009C5414" w:rsidRDefault="00000000">
      <w:pPr>
        <w:spacing w:after="120" w:line="276" w:lineRule="auto"/>
      </w:pPr>
      <w:r>
        <w:rPr>
          <w:b/>
          <w:bCs/>
        </w:rPr>
        <w:t xml:space="preserve">Applicability: </w:t>
      </w:r>
      <w:r>
        <w:t>Vietnam’s large-scale grid infrastructure investment is deficit-financed. The capstone’s welfare analysis Λ implicitly assumes the government can finance I₟</w:t>
      </w:r>
      <w:proofErr w:type="gramStart"/>
      <w:r>
        <w:t>ᵣᵢᵈ,ₜ.</w:t>
      </w:r>
      <w:proofErr w:type="gramEnd"/>
      <w:r>
        <w:t xml:space="preserve"> This is only credible if fiscal sustainability holds. The advisor recommends adding a fiscal sustainability diagnostic to the numerical results: compute the implied path of bₜ/yₜ under the baseline calibration </w:t>
      </w:r>
      <w:r>
        <w:lastRenderedPageBreak/>
        <w:t>and verify the Wickens §5.5 condition is satisfied. If it is not, the model requires an interest-rate feedback rule or spending adjustment.</w:t>
      </w:r>
    </w:p>
    <w:p w14:paraId="078BDCF6" w14:textId="77777777" w:rsidR="009C5414" w:rsidRDefault="00000000">
      <w:pPr>
        <w:pStyle w:val="Heading2"/>
        <w:pBdr>
          <w:bottom w:val="single" w:sz="4" w:space="1" w:color="2E75B6"/>
        </w:pBdr>
      </w:pPr>
      <w:proofErr w:type="gramStart"/>
      <w:r>
        <w:rPr>
          <w:color w:val="1F3864"/>
        </w:rPr>
        <w:t>2.4  Tax</w:t>
      </w:r>
      <w:proofErr w:type="gramEnd"/>
      <w:r>
        <w:rPr>
          <w:color w:val="1F3864"/>
        </w:rPr>
        <w:t xml:space="preserve"> Smoothing vs. Proportional Rule (Ch. 5 §5.7.3)</w:t>
      </w:r>
    </w:p>
    <w:p w14:paraId="078BDCF7" w14:textId="77777777" w:rsidR="009C5414" w:rsidRDefault="00000000">
      <w:pPr>
        <w:spacing w:after="120" w:line="276" w:lineRule="auto"/>
      </w:pPr>
      <w:r>
        <w:t>Barro’s (1979) tax-smoothing result, presented in Wickens §5.7.3, implies that the optimal tax rule satisfies: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CF9"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F2F2F2"/>
            <w:tcMar>
              <w:top w:w="120" w:type="dxa"/>
              <w:left w:w="200" w:type="dxa"/>
              <w:bottom w:w="120" w:type="dxa"/>
              <w:right w:w="160" w:type="dxa"/>
            </w:tcMar>
          </w:tcPr>
          <w:p w14:paraId="078BDCF8" w14:textId="77777777" w:rsidR="009C5414" w:rsidRDefault="00000000">
            <w:pPr>
              <w:spacing w:after="40"/>
            </w:pPr>
            <w:r>
              <w:rPr>
                <w:rFonts w:ascii="Courier New" w:eastAsia="Courier New" w:hAnsi="Courier New" w:cs="Courier New"/>
              </w:rPr>
              <w:t>Tₜ = Eₜ Tₜ₊</w:t>
            </w:r>
            <w:proofErr w:type="gramStart"/>
            <w:r>
              <w:rPr>
                <w:rFonts w:ascii="Courier New" w:eastAsia="Courier New" w:hAnsi="Courier New" w:cs="Courier New"/>
              </w:rPr>
              <w:t>₁</w:t>
            </w:r>
            <w:r>
              <w:rPr>
                <w:sz w:val="20"/>
                <w:szCs w:val="20"/>
              </w:rPr>
              <w:t xml:space="preserve">  [</w:t>
            </w:r>
            <w:proofErr w:type="gramEnd"/>
            <w:r>
              <w:rPr>
                <w:sz w:val="20"/>
                <w:szCs w:val="20"/>
              </w:rPr>
              <w:t>Ch. 5: optimal taxation is a martingale]</w:t>
            </w:r>
          </w:p>
        </w:tc>
      </w:tr>
    </w:tbl>
    <w:p w14:paraId="078BDCFA" w14:textId="77777777" w:rsidR="009C5414" w:rsidRDefault="00000000">
      <w:pPr>
        <w:spacing w:after="120" w:line="276" w:lineRule="auto"/>
      </w:pPr>
      <w:r>
        <w:rPr>
          <w:b/>
          <w:bCs/>
        </w:rPr>
        <w:t xml:space="preserve">Applicability: </w:t>
      </w:r>
      <w:r>
        <w:t>The capstone’s proportional rule τₜ = I₟</w:t>
      </w:r>
      <w:proofErr w:type="gramStart"/>
      <w:r>
        <w:t>ᵣᵢᵈ,ₜ/</w:t>
      </w:r>
      <w:proofErr w:type="gramEnd"/>
      <w:r>
        <w:t xml:space="preserve">Yₜ is explicitly </w:t>
      </w:r>
      <w:r>
        <w:rPr>
          <w:b/>
          <w:bCs/>
        </w:rPr>
        <w:t>not</w:t>
      </w:r>
      <w:r>
        <w:t xml:space="preserve"> tax-smoothing: it makes taxes positively co-vary with investment shocks. This is a theoretically important departure and should be explicitly acknowledged. The advisor recommends a counterfactual comparison: solve the model under a constant-τ (tax-smoothing) rule and compare welfare Λ to the baseline proportional rule. This comparison is a natural thesis contribution.</w:t>
      </w:r>
    </w:p>
    <w:p w14:paraId="078BDCFB" w14:textId="77777777" w:rsidR="009C5414" w:rsidRDefault="00000000">
      <w:pPr>
        <w:pStyle w:val="Heading2"/>
        <w:pBdr>
          <w:bottom w:val="single" w:sz="4" w:space="1" w:color="2E75B6"/>
        </w:pBdr>
      </w:pPr>
      <w:proofErr w:type="gramStart"/>
      <w:r>
        <w:rPr>
          <w:color w:val="1F3864"/>
        </w:rPr>
        <w:t>2.5  Chamley</w:t>
      </w:r>
      <w:proofErr w:type="gramEnd"/>
      <w:r>
        <w:rPr>
          <w:color w:val="1F3864"/>
        </w:rPr>
        <w:t>–Judd Optimal Capital Tax = 0 (Ch. 5 §5.7.2)</w:t>
      </w:r>
    </w:p>
    <w:p w14:paraId="078BDCFC" w14:textId="77777777" w:rsidR="009C5414" w:rsidRDefault="00000000">
      <w:pPr>
        <w:spacing w:after="120" w:line="276" w:lineRule="auto"/>
      </w:pPr>
      <w:r>
        <w:t xml:space="preserve">Wickens presents the Chamley (1986) – Judd (1985) result that the long-run optimal tax on capital income is zero: τᵏ = 0. The intuition is that capital taxation has a compounding intertemporal distortion </w:t>
      </w:r>
      <w:proofErr w:type="gramStart"/>
      <w:r>
        <w:t>not present</w:t>
      </w:r>
      <w:proofErr w:type="gramEnd"/>
      <w:r>
        <w:t xml:space="preserve"> with </w:t>
      </w:r>
      <w:proofErr w:type="spellStart"/>
      <w:r>
        <w:t>labour</w:t>
      </w:r>
      <w:proofErr w:type="spellEnd"/>
      <w:r>
        <w:t xml:space="preserve"> taxation.</w:t>
      </w:r>
    </w:p>
    <w:p w14:paraId="078BDCFD" w14:textId="77777777" w:rsidR="009C5414" w:rsidRDefault="00000000">
      <w:pPr>
        <w:spacing w:after="120" w:line="276" w:lineRule="auto"/>
      </w:pPr>
      <w:r>
        <w:rPr>
          <w:b/>
          <w:bCs/>
        </w:rPr>
        <w:t xml:space="preserve">Applicability: </w:t>
      </w:r>
      <w:r>
        <w:t xml:space="preserve">In the capstone, grid </w:t>
      </w:r>
      <w:proofErr w:type="gramStart"/>
      <w:r>
        <w:t>investment I₟ᵣᵢᵈ,ₜ</w:t>
      </w:r>
      <w:proofErr w:type="gramEnd"/>
      <w:r>
        <w:t xml:space="preserve"> is effectively a form of capital. Taxing it proportionally (even if only as a revenue-neutral rule) violates the Chamley–Judd optimality condition. This provides theoretical grounding for the claim that the proportional rule is suboptimal in the long run and motivates the welfare cost Λ. The advisor recommends explicitly citing Chamley–Judd as the theoretical benchmark against which the proportional rule is compared.</w:t>
      </w:r>
    </w:p>
    <w:p w14:paraId="078BDCFE" w14:textId="77777777" w:rsidR="009C5414" w:rsidRDefault="00000000">
      <w:pPr>
        <w:pStyle w:val="Heading2"/>
        <w:pBdr>
          <w:bottom w:val="single" w:sz="4" w:space="1" w:color="2E75B6"/>
        </w:pBdr>
      </w:pPr>
      <w:proofErr w:type="gramStart"/>
      <w:r>
        <w:rPr>
          <w:color w:val="1F3864"/>
        </w:rPr>
        <w:t>2.6  Time</w:t>
      </w:r>
      <w:proofErr w:type="gramEnd"/>
      <w:r>
        <w:rPr>
          <w:color w:val="1F3864"/>
        </w:rPr>
        <w:t>-Inconsistency of Capital Taxation (Ch. 6 §6.2)</w:t>
      </w:r>
    </w:p>
    <w:p w14:paraId="078BDCFF" w14:textId="77777777" w:rsidR="009C5414" w:rsidRDefault="00000000">
      <w:pPr>
        <w:spacing w:after="120" w:line="276" w:lineRule="auto"/>
      </w:pPr>
      <w:r>
        <w:t>Wickens Ch. 6 §6.2 covers Fischer’s (1980) time-inconsistency result: even if τᵏ = 0 is announced as optimal ex ante, a government has incentive to tax accumulated capital ex post (since the capital stock is inelastic at any point in time).</w:t>
      </w:r>
    </w:p>
    <w:p w14:paraId="078BDD00" w14:textId="77777777" w:rsidR="009C5414" w:rsidRDefault="00000000">
      <w:pPr>
        <w:spacing w:after="120" w:line="276" w:lineRule="auto"/>
      </w:pPr>
      <w:r>
        <w:rPr>
          <w:b/>
          <w:bCs/>
        </w:rPr>
        <w:t xml:space="preserve">Applicability: </w:t>
      </w:r>
      <w:r>
        <w:t>Vietnam’s grid investment involves long-lived sunk capital (transmission lines, substations). Once installed, the government faces a time-inconsistency temptation to raise τₜ above I₟</w:t>
      </w:r>
      <w:proofErr w:type="gramStart"/>
      <w:r>
        <w:t>ᵣᵢᵈ,ₜ/</w:t>
      </w:r>
      <w:proofErr w:type="gramEnd"/>
      <w:r>
        <w:t>Yₜ. This credibility channel is directly relevant to the capstone’s policy simulation: the proportional rule provides a commitment device (rule-based, transparent) that partially resolves the time-inconsistency problem. The advisor recommends a dedicated paragraph in the policy analysis section explaining this.</w:t>
      </w:r>
    </w:p>
    <w:p w14:paraId="078BDD01" w14:textId="77777777" w:rsidR="009C5414" w:rsidRDefault="00000000">
      <w:pPr>
        <w:pStyle w:val="Heading2"/>
        <w:pBdr>
          <w:bottom w:val="single" w:sz="4" w:space="1" w:color="2E75B6"/>
        </w:pBdr>
      </w:pPr>
      <w:proofErr w:type="gramStart"/>
      <w:r>
        <w:rPr>
          <w:color w:val="1F3864"/>
        </w:rPr>
        <w:t>2.7  OLG</w:t>
      </w:r>
      <w:proofErr w:type="gramEnd"/>
      <w:r>
        <w:rPr>
          <w:color w:val="1F3864"/>
        </w:rPr>
        <w:t xml:space="preserve"> Pensions and Intergenerational Debt (Ch. 6 §6.3)</w:t>
      </w:r>
    </w:p>
    <w:p w14:paraId="078BDD02" w14:textId="77777777" w:rsidR="009C5414" w:rsidRDefault="00000000">
      <w:pPr>
        <w:spacing w:after="120" w:line="276" w:lineRule="auto"/>
      </w:pPr>
      <w:r>
        <w:t>Wickens’ Diamond (1965) OLG model establishes that capital in overlapping-generations economies satisfies kₜ₊₁ = sₜ N₁ₜ (savings of the young fund capital). An unfunded PAYG pension reduces k via: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D04"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F2F2F2"/>
            <w:tcMar>
              <w:top w:w="120" w:type="dxa"/>
              <w:left w:w="200" w:type="dxa"/>
              <w:bottom w:w="120" w:type="dxa"/>
              <w:right w:w="160" w:type="dxa"/>
            </w:tcMar>
          </w:tcPr>
          <w:p w14:paraId="078BDD03" w14:textId="77777777" w:rsidR="009C5414" w:rsidRDefault="00000000">
            <w:pPr>
              <w:spacing w:after="40"/>
            </w:pPr>
            <w:r>
              <w:rPr>
                <w:rFonts w:ascii="Courier New" w:eastAsia="Courier New" w:hAnsi="Courier New" w:cs="Courier New"/>
              </w:rPr>
              <w:t xml:space="preserve">kₜ₊₁ = φ kₜα − λₜ </w:t>
            </w:r>
            <w:proofErr w:type="gramStart"/>
            <w:r>
              <w:rPr>
                <w:rFonts w:ascii="Courier New" w:eastAsia="Courier New" w:hAnsi="Courier New" w:cs="Courier New"/>
              </w:rPr>
              <w:t>τₜ</w:t>
            </w:r>
            <w:r>
              <w:rPr>
                <w:sz w:val="20"/>
                <w:szCs w:val="20"/>
              </w:rPr>
              <w:t xml:space="preserve">  [</w:t>
            </w:r>
            <w:proofErr w:type="gramEnd"/>
            <w:r>
              <w:rPr>
                <w:sz w:val="20"/>
                <w:szCs w:val="20"/>
              </w:rPr>
              <w:t xml:space="preserve">Ch. 6: capital reduced by pension contribution </w:t>
            </w:r>
            <w:proofErr w:type="spellStart"/>
            <w:r>
              <w:rPr>
                <w:sz w:val="20"/>
                <w:szCs w:val="20"/>
              </w:rPr>
              <w:t>λτ</w:t>
            </w:r>
            <w:proofErr w:type="spellEnd"/>
            <w:r>
              <w:rPr>
                <w:sz w:val="20"/>
                <w:szCs w:val="20"/>
              </w:rPr>
              <w:t>]</w:t>
            </w:r>
          </w:p>
        </w:tc>
      </w:tr>
    </w:tbl>
    <w:p w14:paraId="078BDD05" w14:textId="77777777" w:rsidR="009C5414" w:rsidRDefault="00000000">
      <w:pPr>
        <w:spacing w:after="120" w:line="276" w:lineRule="auto"/>
      </w:pPr>
      <w:r>
        <w:rPr>
          <w:b/>
          <w:bCs/>
        </w:rPr>
        <w:t xml:space="preserve">Applicability: </w:t>
      </w:r>
      <w:r>
        <w:t xml:space="preserve">Vietnam’s infrastructure debt for renewable energy has an intergenerational dimension: current investment is repaid by future generations. The OLG model is a more realistic </w:t>
      </w:r>
      <w:proofErr w:type="spellStart"/>
      <w:r>
        <w:lastRenderedPageBreak/>
        <w:t>microfoundation</w:t>
      </w:r>
      <w:proofErr w:type="spellEnd"/>
      <w:r>
        <w:t xml:space="preserve"> for this than the representative-agent framework. As a thesis extension (not baseline), replacing the RA model with a two-period OLG calibrated to Vietnam’s demographics (ageing population, low TFR) would sharpen the welfare analysis. The OLG welfare loss from an unfunded grid infrastructure scheme corresponds closely to the Λ welfare cost in the capstone.</w:t>
      </w:r>
    </w:p>
    <w:p w14:paraId="078BDD06" w14:textId="77777777" w:rsidR="009C5414" w:rsidRDefault="009C5414">
      <w:pPr>
        <w:spacing w:after="160"/>
      </w:pPr>
    </w:p>
    <w:p w14:paraId="078BDD07" w14:textId="77777777" w:rsidR="009C5414" w:rsidRDefault="00000000">
      <w:pPr>
        <w:pStyle w:val="Heading1"/>
        <w:shd w:val="clear" w:color="auto" w:fill="1F3864"/>
        <w:ind w:left="120"/>
      </w:pPr>
      <w:r>
        <w:rPr>
          <w:color w:val="FFFFFF"/>
        </w:rPr>
        <w:t>V. Cluster 3: Open Economy Structure (Ch. 7)</w:t>
      </w:r>
    </w:p>
    <w:p w14:paraId="078BDD08" w14:textId="77777777" w:rsidR="009C5414" w:rsidRDefault="00000000">
      <w:pPr>
        <w:pStyle w:val="Heading2"/>
        <w:pBdr>
          <w:bottom w:val="single" w:sz="4" w:space="1" w:color="2E75B6"/>
        </w:pBdr>
      </w:pPr>
      <w:proofErr w:type="gramStart"/>
      <w:r>
        <w:rPr>
          <w:color w:val="1F3864"/>
        </w:rPr>
        <w:t>3.1  Small</w:t>
      </w:r>
      <w:proofErr w:type="gramEnd"/>
      <w:r>
        <w:rPr>
          <w:color w:val="1F3864"/>
        </w:rPr>
        <w:t xml:space="preserve"> Open Economy Core Equations (Ch. 7 §7.2)</w:t>
      </w:r>
    </w:p>
    <w:p w14:paraId="078BDD09" w14:textId="77777777" w:rsidR="009C5414" w:rsidRDefault="00000000">
      <w:pPr>
        <w:spacing w:after="120" w:line="276" w:lineRule="auto"/>
      </w:pPr>
      <w:r>
        <w:t>Chapter 7 provides the complete theoretical foundation for the capstone’s SOE structure. The following equations from Wickens are directly identifiable in or should be made explicit in the capstone model:</w:t>
      </w:r>
    </w:p>
    <w:p w14:paraId="078BDD0A" w14:textId="77777777" w:rsidR="009C5414" w:rsidRDefault="009C541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5414" w14:paraId="078BDD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20" w:type="dxa"/>
            </w:tcMar>
          </w:tcPr>
          <w:p w14:paraId="078BDD0B" w14:textId="77777777" w:rsidR="009C5414" w:rsidRDefault="00000000">
            <w:pPr>
              <w:spacing w:after="40"/>
            </w:pPr>
            <w:r>
              <w:rPr>
                <w:b/>
                <w:bCs/>
                <w:color w:val="FFFFFF"/>
                <w:sz w:val="20"/>
                <w:szCs w:val="20"/>
              </w:rPr>
              <w:t>Wickens Equation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20" w:type="dxa"/>
            </w:tcMar>
          </w:tcPr>
          <w:p w14:paraId="078BDD0C" w14:textId="77777777" w:rsidR="009C5414" w:rsidRDefault="00000000">
            <w:pPr>
              <w:spacing w:after="40"/>
            </w:pPr>
            <w:r>
              <w:rPr>
                <w:b/>
                <w:bCs/>
                <w:color w:val="FFFFFF"/>
                <w:sz w:val="20"/>
                <w:szCs w:val="20"/>
              </w:rPr>
              <w:t>Role in Vietnam Capstone</w:t>
            </w:r>
          </w:p>
        </w:tc>
      </w:tr>
      <w:tr w:rsidR="009C5414" w14:paraId="078BDD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20" w:type="dxa"/>
            </w:tcMar>
          </w:tcPr>
          <w:p w14:paraId="078BDD0E" w14:textId="77777777" w:rsidR="009C5414" w:rsidRDefault="00000000">
            <w:pPr>
              <w:spacing w:after="40"/>
            </w:pPr>
            <w:r>
              <w:rPr>
                <w:color w:val="000000"/>
                <w:sz w:val="20"/>
                <w:szCs w:val="20"/>
              </w:rPr>
              <w:t xml:space="preserve">Eq. (7.6): (y + r*f − c) − </w:t>
            </w:r>
            <w:proofErr w:type="spellStart"/>
            <w:r>
              <w:rPr>
                <w:color w:val="000000"/>
                <w:sz w:val="20"/>
                <w:szCs w:val="20"/>
              </w:rPr>
              <w:t>i</w:t>
            </w:r>
            <w:proofErr w:type="spellEnd"/>
            <w:r>
              <w:rPr>
                <w:color w:val="000000"/>
                <w:sz w:val="20"/>
                <w:szCs w:val="20"/>
              </w:rPr>
              <w:t xml:space="preserve"> = </w:t>
            </w:r>
            <w:proofErr w:type="spellStart"/>
            <w:r>
              <w:rPr>
                <w:color w:val="000000"/>
                <w:sz w:val="20"/>
                <w:szCs w:val="20"/>
              </w:rPr>
              <w:t>Δf</w:t>
            </w:r>
            <w:proofErr w:type="spellEnd"/>
            <w:r>
              <w:rPr>
                <w:color w:val="000000"/>
                <w:sz w:val="20"/>
                <w:szCs w:val="20"/>
              </w:rPr>
              <w:t>ₜ₊₁</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20" w:type="dxa"/>
            </w:tcMar>
          </w:tcPr>
          <w:p w14:paraId="078BDD0F" w14:textId="77777777" w:rsidR="009C5414" w:rsidRDefault="00000000">
            <w:pPr>
              <w:spacing w:after="40"/>
            </w:pPr>
            <w:r>
              <w:rPr>
                <w:color w:val="000000"/>
                <w:sz w:val="20"/>
                <w:szCs w:val="20"/>
              </w:rPr>
              <w:t xml:space="preserve">SOE resource constraint — already core to capstone; ensure </w:t>
            </w:r>
            <w:proofErr w:type="spellStart"/>
            <w:r>
              <w:rPr>
                <w:color w:val="000000"/>
                <w:sz w:val="20"/>
                <w:szCs w:val="20"/>
              </w:rPr>
              <w:t>I_grid</w:t>
            </w:r>
            <w:proofErr w:type="spellEnd"/>
            <w:r>
              <w:rPr>
                <w:color w:val="000000"/>
                <w:sz w:val="20"/>
                <w:szCs w:val="20"/>
              </w:rPr>
              <w:t xml:space="preserve"> is included in investment </w:t>
            </w:r>
            <w:proofErr w:type="spellStart"/>
            <w:r>
              <w:rPr>
                <w:color w:val="000000"/>
                <w:sz w:val="20"/>
                <w:szCs w:val="20"/>
              </w:rPr>
              <w:t>i</w:t>
            </w:r>
            <w:proofErr w:type="spellEnd"/>
          </w:p>
        </w:tc>
      </w:tr>
      <w:tr w:rsidR="009C5414" w14:paraId="078BDD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20" w:type="dxa"/>
            </w:tcMar>
          </w:tcPr>
          <w:p w14:paraId="078BDD11" w14:textId="77777777" w:rsidR="009C5414" w:rsidRDefault="00000000">
            <w:pPr>
              <w:spacing w:after="40"/>
            </w:pPr>
            <w:r>
              <w:rPr>
                <w:color w:val="000000"/>
                <w:sz w:val="20"/>
                <w:szCs w:val="20"/>
              </w:rPr>
              <w:t>Eq. (7.10): βU'(cₜ₊₁)/U'(cₜ)·(1+r*) = 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20" w:type="dxa"/>
            </w:tcMar>
          </w:tcPr>
          <w:p w14:paraId="078BDD12" w14:textId="77777777" w:rsidR="009C5414" w:rsidRDefault="00000000">
            <w:pPr>
              <w:spacing w:after="40"/>
            </w:pPr>
            <w:r>
              <w:rPr>
                <w:color w:val="000000"/>
                <w:sz w:val="20"/>
                <w:szCs w:val="20"/>
              </w:rPr>
              <w:t>SOE Euler equation with exogenous world rate r*; the distortionary tax shifts this to (1−</w:t>
            </w:r>
            <w:proofErr w:type="gramStart"/>
            <w:r>
              <w:rPr>
                <w:color w:val="000000"/>
                <w:sz w:val="20"/>
                <w:szCs w:val="20"/>
              </w:rPr>
              <w:t>τ)(</w:t>
            </w:r>
            <w:proofErr w:type="gramEnd"/>
            <w:r>
              <w:rPr>
                <w:color w:val="000000"/>
                <w:sz w:val="20"/>
                <w:szCs w:val="20"/>
              </w:rPr>
              <w:t>1+r*)</w:t>
            </w:r>
          </w:p>
        </w:tc>
      </w:tr>
      <w:tr w:rsidR="009C5414" w14:paraId="078BDD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20" w:type="dxa"/>
            </w:tcMar>
          </w:tcPr>
          <w:p w14:paraId="078BDD14" w14:textId="77777777" w:rsidR="009C5414" w:rsidRDefault="00000000">
            <w:pPr>
              <w:spacing w:after="40"/>
            </w:pPr>
            <w:r>
              <w:rPr>
                <w:color w:val="000000"/>
                <w:sz w:val="20"/>
                <w:szCs w:val="20"/>
              </w:rPr>
              <w:t>Eq. (7.11): F'(kₜ₊₁) = δ + 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20" w:type="dxa"/>
            </w:tcMar>
          </w:tcPr>
          <w:p w14:paraId="078BDD15" w14:textId="77777777" w:rsidR="009C5414" w:rsidRDefault="00000000">
            <w:pPr>
              <w:spacing w:after="40"/>
            </w:pPr>
            <w:r>
              <w:rPr>
                <w:color w:val="000000"/>
                <w:sz w:val="20"/>
                <w:szCs w:val="20"/>
              </w:rPr>
              <w:t>Optimal capital condition: domestic MPK pinned to r* + δ; with tax, (1−</w:t>
            </w:r>
            <w:proofErr w:type="gramStart"/>
            <w:r>
              <w:rPr>
                <w:color w:val="000000"/>
                <w:sz w:val="20"/>
                <w:szCs w:val="20"/>
              </w:rPr>
              <w:t>τ)F</w:t>
            </w:r>
            <w:proofErr w:type="gramEnd"/>
            <w:r>
              <w:rPr>
                <w:color w:val="000000"/>
                <w:sz w:val="20"/>
                <w:szCs w:val="20"/>
              </w:rPr>
              <w:t>'(k) = δ + r*</w:t>
            </w:r>
          </w:p>
        </w:tc>
      </w:tr>
      <w:tr w:rsidR="009C5414" w14:paraId="078BDD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20" w:type="dxa"/>
            </w:tcMar>
          </w:tcPr>
          <w:p w14:paraId="078BDD17" w14:textId="77777777" w:rsidR="009C5414" w:rsidRDefault="00000000">
            <w:pPr>
              <w:spacing w:after="40"/>
            </w:pPr>
            <w:r>
              <w:rPr>
                <w:color w:val="000000"/>
                <w:sz w:val="20"/>
                <w:szCs w:val="20"/>
              </w:rPr>
              <w:t xml:space="preserve">Eq. (7.12): c = F(k) + r*f − </w:t>
            </w:r>
            <w:proofErr w:type="spellStart"/>
            <w:r>
              <w:rPr>
                <w:color w:val="000000"/>
                <w:sz w:val="20"/>
                <w:szCs w:val="20"/>
              </w:rPr>
              <w:t>δk</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20" w:type="dxa"/>
            </w:tcMar>
          </w:tcPr>
          <w:p w14:paraId="078BDD18" w14:textId="77777777" w:rsidR="009C5414" w:rsidRDefault="00000000">
            <w:pPr>
              <w:spacing w:after="40"/>
            </w:pPr>
            <w:r>
              <w:rPr>
                <w:color w:val="000000"/>
                <w:sz w:val="20"/>
                <w:szCs w:val="20"/>
              </w:rPr>
              <w:t>Long-run steady-state consumption from NFA earnings + production minus depreciation</w:t>
            </w:r>
          </w:p>
        </w:tc>
      </w:tr>
      <w:tr w:rsidR="009C5414" w14:paraId="078BDD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20" w:type="dxa"/>
            </w:tcMar>
          </w:tcPr>
          <w:p w14:paraId="078BDD1A" w14:textId="77777777" w:rsidR="009C5414" w:rsidRDefault="00000000">
            <w:pPr>
              <w:spacing w:after="40"/>
            </w:pPr>
            <w:r>
              <w:rPr>
                <w:color w:val="000000"/>
                <w:sz w:val="20"/>
                <w:szCs w:val="20"/>
              </w:rPr>
              <w:t xml:space="preserve">Eq. (7.14): x − </w:t>
            </w:r>
            <w:proofErr w:type="spellStart"/>
            <w:r>
              <w:rPr>
                <w:color w:val="000000"/>
                <w:sz w:val="20"/>
                <w:szCs w:val="20"/>
              </w:rPr>
              <w:t>Qx</w:t>
            </w:r>
            <w:proofErr w:type="spellEnd"/>
            <w:r>
              <w:rPr>
                <w:color w:val="000000"/>
                <w:sz w:val="20"/>
                <w:szCs w:val="20"/>
              </w:rPr>
              <w:t>ᵐ + r*f = 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20" w:type="dxa"/>
            </w:tcMar>
          </w:tcPr>
          <w:p w14:paraId="078BDD1B" w14:textId="77777777" w:rsidR="009C5414" w:rsidRDefault="00000000">
            <w:pPr>
              <w:spacing w:after="40"/>
            </w:pPr>
            <w:r>
              <w:rPr>
                <w:color w:val="000000"/>
                <w:sz w:val="20"/>
                <w:szCs w:val="20"/>
              </w:rPr>
              <w:t>CA sustainability: exports net of imports must equal NFA income in steady state</w:t>
            </w:r>
          </w:p>
        </w:tc>
      </w:tr>
      <w:tr w:rsidR="009C5414" w14:paraId="078BDD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20" w:type="dxa"/>
            </w:tcMar>
          </w:tcPr>
          <w:p w14:paraId="078BDD1D" w14:textId="77777777" w:rsidR="009C5414" w:rsidRDefault="00000000">
            <w:pPr>
              <w:spacing w:after="40"/>
            </w:pPr>
            <w:r>
              <w:rPr>
                <w:color w:val="000000"/>
                <w:sz w:val="20"/>
                <w:szCs w:val="20"/>
              </w:rPr>
              <w:t>Eq. (7.48): caₜ = −</w:t>
            </w:r>
            <w:proofErr w:type="spellStart"/>
            <w:r>
              <w:rPr>
                <w:color w:val="000000"/>
                <w:sz w:val="20"/>
                <w:szCs w:val="20"/>
              </w:rPr>
              <w:t>ΣΔq</w:t>
            </w:r>
            <w:proofErr w:type="spellEnd"/>
            <w:r>
              <w:rPr>
                <w:color w:val="000000"/>
                <w:sz w:val="20"/>
                <w:szCs w:val="20"/>
              </w:rPr>
              <w:t>ₜ₊ₛ/(1+r*)ₛ</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20" w:type="dxa"/>
            </w:tcMar>
          </w:tcPr>
          <w:p w14:paraId="078BDD1E" w14:textId="77777777" w:rsidR="009C5414" w:rsidRDefault="00000000">
            <w:pPr>
              <w:spacing w:after="40"/>
            </w:pPr>
            <w:r>
              <w:rPr>
                <w:color w:val="000000"/>
                <w:sz w:val="20"/>
                <w:szCs w:val="20"/>
              </w:rPr>
              <w:t xml:space="preserve">Intertemporal CA: grid investment boosts y future → must show </w:t>
            </w:r>
            <w:proofErr w:type="spellStart"/>
            <w:r>
              <w:rPr>
                <w:color w:val="000000"/>
                <w:sz w:val="20"/>
                <w:szCs w:val="20"/>
              </w:rPr>
              <w:t>Δq</w:t>
            </w:r>
            <w:proofErr w:type="spellEnd"/>
            <w:r>
              <w:rPr>
                <w:color w:val="000000"/>
                <w:sz w:val="20"/>
                <w:szCs w:val="20"/>
              </w:rPr>
              <w:t xml:space="preserve"> &gt; 0 eventually</w:t>
            </w:r>
          </w:p>
        </w:tc>
      </w:tr>
    </w:tbl>
    <w:p w14:paraId="078BDD20" w14:textId="77777777" w:rsidR="009C5414" w:rsidRDefault="009C5414">
      <w:pPr>
        <w:spacing w:after="120"/>
      </w:pPr>
    </w:p>
    <w:p w14:paraId="078BDD21" w14:textId="77777777" w:rsidR="009C5414" w:rsidRDefault="00000000">
      <w:pPr>
        <w:spacing w:after="120" w:line="276" w:lineRule="auto"/>
      </w:pPr>
      <w:r>
        <w:rPr>
          <w:b/>
          <w:bCs/>
        </w:rPr>
        <w:t xml:space="preserve">Key advisory note: </w:t>
      </w:r>
      <w:r>
        <w:t>Equation (7.11) with the distortionary tax becomes (1−</w:t>
      </w:r>
      <w:proofErr w:type="gramStart"/>
      <w:r>
        <w:t>τ)F</w:t>
      </w:r>
      <w:proofErr w:type="gramEnd"/>
      <w:r>
        <w:t xml:space="preserve">′(k) = δ + r*. This means the steady-state capital stock under the proportional tax rule is </w:t>
      </w:r>
      <w:r>
        <w:rPr>
          <w:b/>
          <w:bCs/>
        </w:rPr>
        <w:t>lower</w:t>
      </w:r>
      <w:r>
        <w:t xml:space="preserve"> than the </w:t>
      </w:r>
      <w:proofErr w:type="gramStart"/>
      <w:r>
        <w:t>first-best</w:t>
      </w:r>
      <w:proofErr w:type="gramEnd"/>
      <w:r>
        <w:t>, confirming the Chamley–Judd result. The capstone should report this steady-state capital gap explicitly.</w:t>
      </w:r>
    </w:p>
    <w:p w14:paraId="078BDD22" w14:textId="77777777" w:rsidR="009C5414" w:rsidRDefault="00000000">
      <w:pPr>
        <w:pStyle w:val="Heading2"/>
        <w:pBdr>
          <w:bottom w:val="single" w:sz="4" w:space="1" w:color="2E75B6"/>
        </w:pBdr>
      </w:pPr>
      <w:proofErr w:type="gramStart"/>
      <w:r>
        <w:rPr>
          <w:color w:val="1F3864"/>
        </w:rPr>
        <w:t>3.2  Current</w:t>
      </w:r>
      <w:proofErr w:type="gramEnd"/>
      <w:r>
        <w:rPr>
          <w:color w:val="1F3864"/>
        </w:rPr>
        <w:t xml:space="preserve"> Account Sustainability (Ch. 7 §7.6)</w:t>
      </w:r>
    </w:p>
    <w:p w14:paraId="078BDD23" w14:textId="77777777" w:rsidR="009C5414" w:rsidRDefault="00000000">
      <w:pPr>
        <w:spacing w:after="120" w:line="276" w:lineRule="auto"/>
      </w:pPr>
      <w:r>
        <w:t xml:space="preserve">Wickens §7.6 establishes that the CA is sustainable if and only if the transversality condition on net foreign assets (NFA) holds: </w:t>
      </w:r>
      <w:proofErr w:type="spellStart"/>
      <w:r>
        <w:t>lim</w:t>
      </w:r>
      <w:proofErr w:type="spellEnd"/>
      <w:r>
        <w:t>ₜ→∞ fₜ/(1+r*)ₜ = 0. The intertemporal CA equation (7.48) states that today’s current account deficit equals the present value of future improvements in the trade balance.</w:t>
      </w:r>
    </w:p>
    <w:p w14:paraId="078BDD24" w14:textId="77777777" w:rsidR="009C5414" w:rsidRDefault="00000000">
      <w:pPr>
        <w:spacing w:after="120" w:line="276" w:lineRule="auto"/>
      </w:pPr>
      <w:r>
        <w:rPr>
          <w:b/>
          <w:bCs/>
        </w:rPr>
        <w:t xml:space="preserve">Applicability: </w:t>
      </w:r>
      <w:r>
        <w:t xml:space="preserve">Vietnam runs a CA deficit to finance grid investment. The capstone should verify, using the solved IRF paths, that the NFA variable fₜ converges back to its steady state after a grid investment shock. If it does not, the model violates the NFA transversality condition and the solution is not Blanchard–Kahn stable on the external side. The twin deficit identity from Wickens §7.6.3 </w:t>
      </w:r>
      <w:r>
        <w:lastRenderedPageBreak/>
        <w:t>also applies: if government spending on grid infrastructure increases, the CA deficit widens unless private saving rises pari passu.</w:t>
      </w:r>
    </w:p>
    <w:p w14:paraId="078BDD25" w14:textId="77777777" w:rsidR="009C5414" w:rsidRDefault="00000000">
      <w:pPr>
        <w:pStyle w:val="Heading2"/>
        <w:pBdr>
          <w:bottom w:val="single" w:sz="4" w:space="1" w:color="2E75B6"/>
        </w:pBdr>
      </w:pPr>
      <w:proofErr w:type="gramStart"/>
      <w:r>
        <w:rPr>
          <w:color w:val="1F3864"/>
        </w:rPr>
        <w:t>3.3  Traded</w:t>
      </w:r>
      <w:proofErr w:type="gramEnd"/>
      <w:r>
        <w:rPr>
          <w:color w:val="1F3864"/>
        </w:rPr>
        <w:t xml:space="preserve"> and Non-Traded Goods (Ch. 7 §7.3)</w:t>
      </w:r>
    </w:p>
    <w:p w14:paraId="078BDD26" w14:textId="77777777" w:rsidR="009C5414" w:rsidRDefault="00000000">
      <w:pPr>
        <w:spacing w:after="120" w:line="276" w:lineRule="auto"/>
      </w:pPr>
      <w:r>
        <w:t>Wickens §7.3 models CES aggregation of traded (T) and non-traded (N)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D28"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F2F2F2"/>
            <w:tcMar>
              <w:top w:w="120" w:type="dxa"/>
              <w:left w:w="200" w:type="dxa"/>
              <w:bottom w:w="120" w:type="dxa"/>
              <w:right w:w="160" w:type="dxa"/>
            </w:tcMar>
          </w:tcPr>
          <w:p w14:paraId="078BDD27" w14:textId="77777777" w:rsidR="009C5414" w:rsidRDefault="00000000">
            <w:pPr>
              <w:spacing w:after="40"/>
            </w:pPr>
            <w:r>
              <w:rPr>
                <w:rFonts w:ascii="Courier New" w:eastAsia="Courier New" w:hAnsi="Courier New" w:cs="Courier New"/>
              </w:rPr>
              <w:t>cᵀ/cᴺ = [α/(1−α) · Pᴺ/</w:t>
            </w:r>
            <w:proofErr w:type="gramStart"/>
            <w:r>
              <w:rPr>
                <w:rFonts w:ascii="Courier New" w:eastAsia="Courier New" w:hAnsi="Courier New" w:cs="Courier New"/>
              </w:rPr>
              <w:t>Pᵀ]γ</w:t>
            </w:r>
            <w:proofErr w:type="gramEnd"/>
            <w:r>
              <w:rPr>
                <w:sz w:val="20"/>
                <w:szCs w:val="20"/>
              </w:rPr>
              <w:t xml:space="preserve">  [Ch. 7: CES </w:t>
            </w:r>
            <w:proofErr w:type="spellStart"/>
            <w:r>
              <w:rPr>
                <w:sz w:val="20"/>
                <w:szCs w:val="20"/>
              </w:rPr>
              <w:t>intratemporal</w:t>
            </w:r>
            <w:proofErr w:type="spellEnd"/>
            <w:r>
              <w:rPr>
                <w:sz w:val="20"/>
                <w:szCs w:val="20"/>
              </w:rPr>
              <w:t xml:space="preserve"> allocation]</w:t>
            </w:r>
          </w:p>
        </w:tc>
      </w:tr>
    </w:tbl>
    <w:p w14:paraId="078BDD29" w14:textId="77777777" w:rsidR="009C5414" w:rsidRDefault="00000000">
      <w:pPr>
        <w:spacing w:after="120" w:line="276" w:lineRule="auto"/>
      </w:pPr>
      <w:r>
        <w:rPr>
          <w:b/>
          <w:bCs/>
        </w:rPr>
        <w:t xml:space="preserve">Applicability: </w:t>
      </w:r>
      <w:r>
        <w:t>Electricity is a non-traded good in Vietnam (transmission losses make cross-border trade minimal). Including a traded/non-traded split would allow the model to capture the fact that grid reliability improvements boost non-traded sector productivity differentially from the export sector. This is a moderately complex extension requiring 2–3 additional equations and is recommended as a robustness appendix.</w:t>
      </w:r>
    </w:p>
    <w:p w14:paraId="078BDD2A" w14:textId="77777777" w:rsidR="009C5414" w:rsidRDefault="00000000">
      <w:pPr>
        <w:pStyle w:val="Heading2"/>
        <w:pBdr>
          <w:bottom w:val="single" w:sz="4" w:space="1" w:color="2E75B6"/>
        </w:pBdr>
      </w:pPr>
      <w:proofErr w:type="gramStart"/>
      <w:r>
        <w:rPr>
          <w:color w:val="1F3864"/>
        </w:rPr>
        <w:t>3.4  Real</w:t>
      </w:r>
      <w:proofErr w:type="gramEnd"/>
      <w:r>
        <w:rPr>
          <w:color w:val="1F3864"/>
        </w:rPr>
        <w:t xml:space="preserve"> Exchange Rate and Balassa–Samuelson (Ch. 7 §7.4)</w:t>
      </w:r>
    </w:p>
    <w:p w14:paraId="078BDD2B" w14:textId="77777777" w:rsidR="009C5414" w:rsidRDefault="00000000">
      <w:pPr>
        <w:spacing w:after="120" w:line="276" w:lineRule="auto"/>
      </w:pPr>
      <w:r>
        <w:t>Wickens derives the Balassa–Samuelson effect: productivity growth in the traded sector causes real appreciation. The RER is Q = SP*/</w:t>
      </w:r>
      <w:proofErr w:type="gramStart"/>
      <w:r>
        <w:t>P, and</w:t>
      </w:r>
      <w:proofErr w:type="gramEnd"/>
      <w:r>
        <w:t xml:space="preserve"> purchasing power parity (PPP) deviations arise from non-traded goods.</w:t>
      </w:r>
    </w:p>
    <w:p w14:paraId="078BDD2C" w14:textId="77777777" w:rsidR="009C5414" w:rsidRDefault="00000000">
      <w:pPr>
        <w:spacing w:after="120" w:line="276" w:lineRule="auto"/>
      </w:pPr>
      <w:r>
        <w:rPr>
          <w:b/>
          <w:bCs/>
        </w:rPr>
        <w:t xml:space="preserve">Applicability: </w:t>
      </w:r>
      <w:r>
        <w:t>Vietnam’s renewable energy expansion increases productivity in the (largely traded) manufacturing sector. The Balassa–Samuelson mechanism predicts real exchange rate appreciation, which would reduce export competitiveness. The capstone model should check whether its RER equation (if included) captures this channel. If the model has a fixed RER, this is a known limitation worth stating.</w:t>
      </w:r>
    </w:p>
    <w:p w14:paraId="078BDD2D" w14:textId="77777777" w:rsidR="009C5414" w:rsidRDefault="009C5414">
      <w:pPr>
        <w:spacing w:after="160"/>
      </w:pPr>
    </w:p>
    <w:p w14:paraId="078BDD2E" w14:textId="77777777" w:rsidR="009C5414" w:rsidRDefault="00000000">
      <w:pPr>
        <w:pStyle w:val="Heading1"/>
        <w:shd w:val="clear" w:color="auto" w:fill="1F3864"/>
        <w:ind w:left="120"/>
      </w:pPr>
      <w:r>
        <w:rPr>
          <w:color w:val="FFFFFF"/>
        </w:rPr>
        <w:t>VI. Cluster 4: Monetary and Financial Frictions (Ch. 8)</w:t>
      </w:r>
    </w:p>
    <w:p w14:paraId="078BDD2F" w14:textId="77777777" w:rsidR="009C5414" w:rsidRDefault="00000000">
      <w:pPr>
        <w:pStyle w:val="Heading2"/>
        <w:pBdr>
          <w:bottom w:val="single" w:sz="4" w:space="1" w:color="2E75B6"/>
        </w:pBdr>
      </w:pPr>
      <w:proofErr w:type="gramStart"/>
      <w:r>
        <w:rPr>
          <w:color w:val="1F3864"/>
        </w:rPr>
        <w:t>4.1  Transactions</w:t>
      </w:r>
      <w:proofErr w:type="gramEnd"/>
      <w:r>
        <w:rPr>
          <w:color w:val="1F3864"/>
        </w:rPr>
        <w:t xml:space="preserve"> Costs as an Intermittency Wedge (Ch. 8 §8.7, Feenstra Model)</w:t>
      </w:r>
    </w:p>
    <w:p w14:paraId="078BDD30" w14:textId="77777777" w:rsidR="009C5414" w:rsidRDefault="00000000">
      <w:pPr>
        <w:spacing w:after="120" w:line="276" w:lineRule="auto"/>
      </w:pPr>
      <w:r>
        <w:t xml:space="preserve">The Feenstra (1986) transactions costs model in Wickens §8.7 introduces a resource cost function </w:t>
      </w:r>
      <w:proofErr w:type="gramStart"/>
      <w:r>
        <w:t>T(</w:t>
      </w:r>
      <w:proofErr w:type="gramEnd"/>
      <w:r>
        <w:t>cₜ, mₜ) that enters the budget constraint, modifying the Euler equation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D33"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D6E4F0"/>
            <w:tcMar>
              <w:top w:w="120" w:type="dxa"/>
              <w:left w:w="200" w:type="dxa"/>
              <w:bottom w:w="120" w:type="dxa"/>
              <w:right w:w="160" w:type="dxa"/>
            </w:tcMar>
          </w:tcPr>
          <w:p w14:paraId="078BDD31" w14:textId="77777777" w:rsidR="009C5414" w:rsidRDefault="00000000">
            <w:pPr>
              <w:spacing w:after="60"/>
            </w:pPr>
            <w:r>
              <w:rPr>
                <w:rFonts w:ascii="Courier New" w:eastAsia="Courier New" w:hAnsi="Courier New" w:cs="Courier New"/>
              </w:rPr>
              <w:t>β U'(cₜ₊₁)/U'(cₜ) · (1+Tᶜ,ₜ)/(1+</w:t>
            </w:r>
            <w:proofErr w:type="gramStart"/>
            <w:r>
              <w:rPr>
                <w:rFonts w:ascii="Courier New" w:eastAsia="Courier New" w:hAnsi="Courier New" w:cs="Courier New"/>
              </w:rPr>
              <w:t>Tᶜ,ₜ₊</w:t>
            </w:r>
            <w:proofErr w:type="gramEnd"/>
            <w:r>
              <w:rPr>
                <w:rFonts w:ascii="Courier New" w:eastAsia="Courier New" w:hAnsi="Courier New" w:cs="Courier New"/>
              </w:rPr>
              <w:t>₁) · (1+rₜ₊₁) = 1</w:t>
            </w:r>
          </w:p>
          <w:p w14:paraId="078BDD32" w14:textId="77777777" w:rsidR="009C5414" w:rsidRDefault="00000000">
            <w:pPr>
              <w:spacing w:after="40"/>
            </w:pPr>
            <w:r>
              <w:rPr>
                <w:sz w:val="20"/>
                <w:szCs w:val="20"/>
              </w:rPr>
              <w:t>[Ch. 8 eq. (8.16): Euler with time-varying transactions cost wedge]</w:t>
            </w:r>
          </w:p>
        </w:tc>
      </w:tr>
    </w:tbl>
    <w:p w14:paraId="078BDD34" w14:textId="77777777" w:rsidR="009C5414" w:rsidRDefault="00000000">
      <w:pPr>
        <w:spacing w:after="120" w:line="276" w:lineRule="auto"/>
      </w:pPr>
      <w:r>
        <w:rPr>
          <w:b/>
          <w:bCs/>
        </w:rPr>
        <w:t xml:space="preserve">This is the single most important </w:t>
      </w:r>
      <w:proofErr w:type="gramStart"/>
      <w:r>
        <w:rPr>
          <w:b/>
          <w:bCs/>
        </w:rPr>
        <w:t>Wickens</w:t>
      </w:r>
      <w:proofErr w:type="gramEnd"/>
      <w:r>
        <w:rPr>
          <w:b/>
          <w:bCs/>
        </w:rPr>
        <w:t xml:space="preserve"> extension for the capstone’s intermittency mechanism.</w:t>
      </w:r>
      <w:r>
        <w:t xml:space="preserve"> Renewable energy intermittency imposes a real resource cost on households and firms: when the grid goes down, they must use backup generators, reschedule production, or hold precautionary liquid balances. This is structurally identical to a transactions cost </w:t>
      </w:r>
      <w:proofErr w:type="gramStart"/>
      <w:r>
        <w:t>T(</w:t>
      </w:r>
      <w:proofErr w:type="gramEnd"/>
      <w:r>
        <w:t>c, m) in the Feenstra model. The advisor strongly recommends the following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D39"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D6E4F0"/>
            <w:tcMar>
              <w:top w:w="120" w:type="dxa"/>
              <w:left w:w="200" w:type="dxa"/>
              <w:bottom w:w="120" w:type="dxa"/>
              <w:right w:w="160" w:type="dxa"/>
            </w:tcMar>
          </w:tcPr>
          <w:p w14:paraId="078BDD35" w14:textId="77777777" w:rsidR="009C5414" w:rsidRDefault="00000000">
            <w:pPr>
              <w:spacing w:after="80"/>
            </w:pPr>
            <w:r>
              <w:rPr>
                <w:b/>
                <w:bCs/>
                <w:color w:val="1F3864"/>
              </w:rPr>
              <w:t>Proposed mapping:</w:t>
            </w:r>
          </w:p>
          <w:p w14:paraId="078BDD36" w14:textId="77777777" w:rsidR="009C5414" w:rsidRDefault="00000000">
            <w:pPr>
              <w:spacing w:after="60"/>
            </w:pPr>
            <w:r>
              <w:rPr>
                <w:rFonts w:ascii="Courier New" w:eastAsia="Courier New" w:hAnsi="Courier New" w:cs="Courier New"/>
              </w:rPr>
              <w:t>Tᶜ,ₜ ⇔ κ</w:t>
            </w:r>
            <w:proofErr w:type="gramStart"/>
            <w:r>
              <w:rPr>
                <w:rFonts w:ascii="Courier New" w:eastAsia="Courier New" w:hAnsi="Courier New" w:cs="Courier New"/>
              </w:rPr>
              <w:t>·(</w:t>
            </w:r>
            <w:proofErr w:type="gramEnd"/>
            <w:r>
              <w:rPr>
                <w:rFonts w:ascii="Courier New" w:eastAsia="Courier New" w:hAnsi="Courier New" w:cs="Courier New"/>
              </w:rPr>
              <w:t>1 − Rᵉᵉ,ₜ) · I₟</w:t>
            </w:r>
            <w:proofErr w:type="gramStart"/>
            <w:r>
              <w:rPr>
                <w:rFonts w:ascii="Courier New" w:eastAsia="Courier New" w:hAnsi="Courier New" w:cs="Courier New"/>
              </w:rPr>
              <w:t>ᵣᵢᵈ,ₜ/</w:t>
            </w:r>
            <w:proofErr w:type="gramEnd"/>
            <w:r>
              <w:rPr>
                <w:rFonts w:ascii="Courier New" w:eastAsia="Courier New" w:hAnsi="Courier New" w:cs="Courier New"/>
              </w:rPr>
              <w:t>Yₜ</w:t>
            </w:r>
          </w:p>
          <w:p w14:paraId="078BDD37" w14:textId="77777777" w:rsidR="009C5414" w:rsidRDefault="00000000">
            <w:pPr>
              <w:spacing w:after="60"/>
            </w:pPr>
            <w:r>
              <w:rPr>
                <w:sz w:val="20"/>
                <w:szCs w:val="20"/>
              </w:rPr>
              <w:t>where Rᵉᵉ,ₜ is grid reliability (0–1), κ is a scaling parameter, and the second term is the fiscal tax rate τₜ.</w:t>
            </w:r>
          </w:p>
          <w:p w14:paraId="078BDD38" w14:textId="77777777" w:rsidR="009C5414" w:rsidRDefault="00000000">
            <w:pPr>
              <w:spacing w:after="40"/>
            </w:pPr>
            <w:r>
              <w:rPr>
                <w:sz w:val="20"/>
                <w:szCs w:val="20"/>
              </w:rPr>
              <w:lastRenderedPageBreak/>
              <w:t xml:space="preserve">The intermittency wedge enters the Euler equation as a time-varying distortion, making the effective intertemporal price of consumption depend on grid reliability. This generates a new transmission channel: a negative reliability shock ↓Rᵉᵉ raises </w:t>
            </w:r>
            <w:proofErr w:type="gramStart"/>
            <w:r>
              <w:rPr>
                <w:sz w:val="20"/>
                <w:szCs w:val="20"/>
              </w:rPr>
              <w:t>Tᶜ,ₜ,</w:t>
            </w:r>
            <w:proofErr w:type="gramEnd"/>
            <w:r>
              <w:rPr>
                <w:sz w:val="20"/>
                <w:szCs w:val="20"/>
              </w:rPr>
              <w:t xml:space="preserve"> depresses consumption today relative to future, and amplifies the recession from an intermittency event.</w:t>
            </w:r>
          </w:p>
        </w:tc>
      </w:tr>
    </w:tbl>
    <w:p w14:paraId="078BDD3A" w14:textId="77777777" w:rsidR="009C5414" w:rsidRDefault="00000000">
      <w:pPr>
        <w:pStyle w:val="Heading2"/>
        <w:pBdr>
          <w:bottom w:val="single" w:sz="4" w:space="1" w:color="2E75B6"/>
        </w:pBdr>
      </w:pPr>
      <w:proofErr w:type="gramStart"/>
      <w:r>
        <w:rPr>
          <w:color w:val="1F3864"/>
        </w:rPr>
        <w:lastRenderedPageBreak/>
        <w:t>4.2  Money</w:t>
      </w:r>
      <w:proofErr w:type="gramEnd"/>
      <w:r>
        <w:rPr>
          <w:color w:val="1F3864"/>
        </w:rPr>
        <w:t>-in-Utility and Grid Service Value (Ch. 8 §8.4)</w:t>
      </w:r>
    </w:p>
    <w:p w14:paraId="078BDD3B" w14:textId="77777777" w:rsidR="009C5414" w:rsidRDefault="00000000">
      <w:pPr>
        <w:spacing w:after="120" w:line="276" w:lineRule="auto"/>
      </w:pPr>
      <w:r>
        <w:t xml:space="preserve">In the MIU model, Wickens adds mₜ to the utility function: </w:t>
      </w:r>
      <w:proofErr w:type="gramStart"/>
      <w:r>
        <w:t>U(</w:t>
      </w:r>
      <w:proofErr w:type="gramEnd"/>
      <w:r>
        <w:t xml:space="preserve">cₜ, mₜ). The first-order condition for money demand is </w:t>
      </w:r>
      <w:proofErr w:type="gramStart"/>
      <w:r>
        <w:t>Uᵐ,ₜ₊</w:t>
      </w:r>
      <w:proofErr w:type="gramEnd"/>
      <w:r>
        <w:t xml:space="preserve">₁ = </w:t>
      </w:r>
      <w:proofErr w:type="gramStart"/>
      <w:r>
        <w:t>Uᶜ,ₜ₊</w:t>
      </w:r>
      <w:proofErr w:type="gramEnd"/>
      <w:r>
        <w:t>₁ · Rₜ₊₁, where R is the nominal interest rate (opportunity cost of liquidity).</w:t>
      </w:r>
    </w:p>
    <w:p w14:paraId="078BDD3C" w14:textId="77777777" w:rsidR="009C5414" w:rsidRDefault="00000000">
      <w:pPr>
        <w:spacing w:after="120" w:line="276" w:lineRule="auto"/>
      </w:pPr>
      <w:r>
        <w:rPr>
          <w:b/>
          <w:bCs/>
        </w:rPr>
        <w:t xml:space="preserve">Applicability: </w:t>
      </w:r>
      <w:r>
        <w:t xml:space="preserve">By analogy, grid reliability services can enter household utility directly — a “Grid-in-Utility” (GIU) model: </w:t>
      </w:r>
      <w:proofErr w:type="gramStart"/>
      <w:r>
        <w:t>U(</w:t>
      </w:r>
      <w:proofErr w:type="gramEnd"/>
      <w:r>
        <w:t xml:space="preserve">cₜ, lₜ, Rᵉᵉ,ₜ), where Rᵉᵉ,ₜ provides utility because reliable power enables consumption of electricity-complementary goods (air conditioning, appliances, digital services). The FOC for reliability demand would be </w:t>
      </w:r>
      <w:proofErr w:type="gramStart"/>
      <w:r>
        <w:t>Uᴬᵉᵉ,ₜ₊</w:t>
      </w:r>
      <w:proofErr w:type="gramEnd"/>
      <w:r>
        <w:t xml:space="preserve">₁ = </w:t>
      </w:r>
      <w:proofErr w:type="gramStart"/>
      <w:r>
        <w:t>Uᶜ,ₜ₊</w:t>
      </w:r>
      <w:proofErr w:type="gramEnd"/>
      <w:r>
        <w:t xml:space="preserve">₁ · </w:t>
      </w:r>
      <w:proofErr w:type="gramStart"/>
      <w:r>
        <w:t>Pᵉᵉ,ₜ₊</w:t>
      </w:r>
      <w:proofErr w:type="gramEnd"/>
      <w:r>
        <w:t>₁, where Pᵉᵉ is the implicit shadow price of reliability (linked to the battery investment cost). This is a novel extension the capstone could develop.</w:t>
      </w:r>
    </w:p>
    <w:p w14:paraId="078BDD3D" w14:textId="77777777" w:rsidR="009C5414" w:rsidRDefault="00000000">
      <w:pPr>
        <w:pStyle w:val="Heading2"/>
        <w:pBdr>
          <w:bottom w:val="single" w:sz="4" w:space="1" w:color="2E75B6"/>
        </w:pBdr>
      </w:pPr>
      <w:proofErr w:type="gramStart"/>
      <w:r>
        <w:rPr>
          <w:color w:val="1F3864"/>
        </w:rPr>
        <w:t>4.3  Friedman</w:t>
      </w:r>
      <w:proofErr w:type="gramEnd"/>
      <w:r>
        <w:rPr>
          <w:color w:val="1F3864"/>
        </w:rPr>
        <w:t xml:space="preserve"> Rule and Optimal Policy Analogy (Ch. 8 §8.11)</w:t>
      </w:r>
    </w:p>
    <w:p w14:paraId="078BDD3E" w14:textId="77777777" w:rsidR="009C5414" w:rsidRDefault="00000000">
      <w:pPr>
        <w:spacing w:after="120" w:line="276" w:lineRule="auto"/>
      </w:pPr>
      <w:r>
        <w:t>Wickens’ Friedman Rule states that the optimal nominal interest rate is zero: R = r + π = 0, which requires deflation at rate π = −r. The underlying principle is that the social cost of holding liquidity (foregone interest) should equal zero because the marginal cost of providing it is zero.</w:t>
      </w:r>
    </w:p>
    <w:p w14:paraId="078BDD3F" w14:textId="77777777" w:rsidR="009C5414" w:rsidRDefault="00000000">
      <w:pPr>
        <w:spacing w:after="120" w:line="276" w:lineRule="auto"/>
      </w:pPr>
      <w:r>
        <w:rPr>
          <w:b/>
          <w:bCs/>
        </w:rPr>
        <w:t xml:space="preserve">Applicability (by analogy): </w:t>
      </w:r>
      <w:r>
        <w:t xml:space="preserve">The analogous “Friedman Rule for Grid Reliability” would set the shadow cost of intermittency to zero — i.e., invest until Rᵉᵉ = 1. The capstone’s optimal tax rule implicitly targets this but may not converge </w:t>
      </w:r>
      <w:proofErr w:type="gramStart"/>
      <w:r>
        <w:t>to</w:t>
      </w:r>
      <w:proofErr w:type="gramEnd"/>
      <w:r>
        <w:t xml:space="preserve"> it. The advisor recommends framing the welfare cost Λ as the gap between the current grid reliability level and the Friedman-rule reliability optimum, providing a clean theoretical interpretation of the welfare metric.</w:t>
      </w:r>
    </w:p>
    <w:p w14:paraId="078BDD40" w14:textId="77777777" w:rsidR="009C5414" w:rsidRDefault="009C5414">
      <w:pPr>
        <w:spacing w:after="160"/>
      </w:pPr>
    </w:p>
    <w:p w14:paraId="078BDD41" w14:textId="77777777" w:rsidR="009C5414" w:rsidRDefault="00000000">
      <w:pPr>
        <w:pStyle w:val="Heading1"/>
        <w:shd w:val="clear" w:color="auto" w:fill="1F3864"/>
        <w:ind w:left="120"/>
      </w:pPr>
      <w:r>
        <w:rPr>
          <w:color w:val="FFFFFF"/>
        </w:rPr>
        <w:t>VII. Cluster 5: Asset Pricing and Battery Investment Risk (Ch. 11)</w:t>
      </w:r>
    </w:p>
    <w:p w14:paraId="078BDD42" w14:textId="77777777" w:rsidR="009C5414" w:rsidRDefault="00000000">
      <w:pPr>
        <w:pStyle w:val="Heading2"/>
        <w:pBdr>
          <w:bottom w:val="single" w:sz="4" w:space="1" w:color="2E75B6"/>
        </w:pBdr>
      </w:pPr>
      <w:proofErr w:type="gramStart"/>
      <w:r>
        <w:rPr>
          <w:color w:val="1F3864"/>
        </w:rPr>
        <w:t>5.1  C</w:t>
      </w:r>
      <w:proofErr w:type="gramEnd"/>
      <w:r>
        <w:rPr>
          <w:color w:val="1F3864"/>
        </w:rPr>
        <w:t>-CAPM Euler and Battery Price Dynamics</w:t>
      </w:r>
    </w:p>
    <w:p w14:paraId="078BDD43" w14:textId="77777777" w:rsidR="009C5414" w:rsidRDefault="00000000">
      <w:pPr>
        <w:spacing w:after="120" w:line="276" w:lineRule="auto"/>
      </w:pPr>
      <w:r>
        <w:t>Wickens Ch. 11 §11.6.2 derives the consumption-CAPM Euler equation: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D45"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F2F2F2"/>
            <w:tcMar>
              <w:top w:w="120" w:type="dxa"/>
              <w:left w:w="200" w:type="dxa"/>
              <w:bottom w:w="120" w:type="dxa"/>
              <w:right w:w="160" w:type="dxa"/>
            </w:tcMar>
          </w:tcPr>
          <w:p w14:paraId="078BDD44" w14:textId="77777777" w:rsidR="009C5414" w:rsidRDefault="00000000">
            <w:pPr>
              <w:spacing w:after="40"/>
            </w:pPr>
            <w:proofErr w:type="gramStart"/>
            <w:r>
              <w:rPr>
                <w:rFonts w:ascii="Courier New" w:eastAsia="Courier New" w:hAnsi="Courier New" w:cs="Courier New"/>
              </w:rPr>
              <w:t>Eₜ[</w:t>
            </w:r>
            <w:proofErr w:type="gramEnd"/>
            <w:r>
              <w:rPr>
                <w:rFonts w:ascii="Courier New" w:eastAsia="Courier New" w:hAnsi="Courier New" w:cs="Courier New"/>
              </w:rPr>
              <w:t xml:space="preserve">β U'(cₜ₊₁)/U'(cₜ) · (1+rₜ₊₁)] = </w:t>
            </w:r>
            <w:proofErr w:type="gramStart"/>
            <w:r>
              <w:rPr>
                <w:rFonts w:ascii="Courier New" w:eastAsia="Courier New" w:hAnsi="Courier New" w:cs="Courier New"/>
              </w:rPr>
              <w:t>1</w:t>
            </w:r>
            <w:r>
              <w:rPr>
                <w:sz w:val="20"/>
                <w:szCs w:val="20"/>
              </w:rPr>
              <w:t xml:space="preserve">  [</w:t>
            </w:r>
            <w:proofErr w:type="gramEnd"/>
            <w:r>
              <w:rPr>
                <w:sz w:val="20"/>
                <w:szCs w:val="20"/>
              </w:rPr>
              <w:t>Ch. 11 eq. (11.32): C-CAPM Euler]</w:t>
            </w:r>
          </w:p>
        </w:tc>
      </w:tr>
    </w:tbl>
    <w:p w14:paraId="078BDD46" w14:textId="77777777" w:rsidR="009C5414" w:rsidRDefault="00000000">
      <w:pPr>
        <w:spacing w:after="120" w:line="276" w:lineRule="auto"/>
      </w:pPr>
      <w:r>
        <w:t>The no-arbitrage condition (11.36) gives the risk premium on any risky asset: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D49"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D6E4F0"/>
            <w:tcMar>
              <w:top w:w="120" w:type="dxa"/>
              <w:left w:w="200" w:type="dxa"/>
              <w:bottom w:w="120" w:type="dxa"/>
              <w:right w:w="160" w:type="dxa"/>
            </w:tcMar>
          </w:tcPr>
          <w:p w14:paraId="078BDD47" w14:textId="77777777" w:rsidR="009C5414" w:rsidRDefault="00000000">
            <w:pPr>
              <w:spacing w:after="60"/>
            </w:pPr>
            <w:r>
              <w:rPr>
                <w:rFonts w:ascii="Courier New" w:eastAsia="Courier New" w:hAnsi="Courier New" w:cs="Courier New"/>
              </w:rPr>
              <w:t xml:space="preserve">Eₜ(rₜ₊₁) = rᶠ + βσₜ(1+rᶠ) </w:t>
            </w:r>
            <w:proofErr w:type="gramStart"/>
            <w:r>
              <w:rPr>
                <w:rFonts w:ascii="Courier New" w:eastAsia="Courier New" w:hAnsi="Courier New" w:cs="Courier New"/>
              </w:rPr>
              <w:t>Covₜ(</w:t>
            </w:r>
            <w:proofErr w:type="spellStart"/>
            <w:proofErr w:type="gramEnd"/>
            <w:r>
              <w:rPr>
                <w:rFonts w:ascii="Courier New" w:eastAsia="Courier New" w:hAnsi="Courier New" w:cs="Courier New"/>
              </w:rPr>
              <w:t>Δc</w:t>
            </w:r>
            <w:proofErr w:type="spellEnd"/>
            <w:r>
              <w:rPr>
                <w:rFonts w:ascii="Courier New" w:eastAsia="Courier New" w:hAnsi="Courier New" w:cs="Courier New"/>
              </w:rPr>
              <w:t>ₜ₊₁/cₜ, rₜ₊₁)</w:t>
            </w:r>
          </w:p>
          <w:p w14:paraId="078BDD48" w14:textId="77777777" w:rsidR="009C5414" w:rsidRDefault="00000000">
            <w:pPr>
              <w:spacing w:after="40"/>
            </w:pPr>
            <w:r>
              <w:rPr>
                <w:sz w:val="20"/>
                <w:szCs w:val="20"/>
              </w:rPr>
              <w:t>[Ch. 11 eq. (11.36): expected excess return = consumption-growth covariance]</w:t>
            </w:r>
          </w:p>
        </w:tc>
      </w:tr>
    </w:tbl>
    <w:p w14:paraId="078BDD4A" w14:textId="77777777" w:rsidR="009C5414" w:rsidRDefault="00000000">
      <w:pPr>
        <w:spacing w:after="120" w:line="276" w:lineRule="auto"/>
      </w:pPr>
      <w:r>
        <w:rPr>
          <w:b/>
          <w:bCs/>
        </w:rPr>
        <w:t xml:space="preserve">Applicability: </w:t>
      </w:r>
      <w:r>
        <w:t xml:space="preserve">Battery storage prices Pᵇᵃᵀ,ₜ follow a declining trajectory (learning-by-doing) with idiosyncratic technology risk. In the capstone, Pᵇᵃᵀ is already a model variable. Wickens (11.36) allows the capstone to endogenize the risk premium on battery investment: </w:t>
      </w:r>
      <w:proofErr w:type="gramStart"/>
      <w:r>
        <w:t>Covₜ(</w:t>
      </w:r>
      <w:proofErr w:type="spellStart"/>
      <w:proofErr w:type="gramEnd"/>
      <w:r>
        <w:t>Δc</w:t>
      </w:r>
      <w:proofErr w:type="spellEnd"/>
      <w:r>
        <w:t xml:space="preserve">/c, rᵇᵃᵀ) &gt; 0 because battery returns are low in precisely the states of the world where consumption is also low (energy-poor states, blackouts). This positive covariance means the battery risk premium is positive </w:t>
      </w:r>
      <w:r>
        <w:lastRenderedPageBreak/>
        <w:t>— consistent with the empirical observation that battery storage projects in emerging markets carry elevated hurdle rates.</w:t>
      </w:r>
    </w:p>
    <w:p w14:paraId="078BDD4B" w14:textId="77777777" w:rsidR="009C5414" w:rsidRDefault="00000000">
      <w:pPr>
        <w:spacing w:after="120" w:line="276" w:lineRule="auto"/>
      </w:pPr>
      <w:r>
        <w:rPr>
          <w:b/>
          <w:bCs/>
        </w:rPr>
        <w:t xml:space="preserve">Recommended equation to add: </w:t>
      </w:r>
      <w:r>
        <w:t>Log-linearize (11.36) around the steady state to get a risk-premium equation linking ρᵇᵃᵀ,ₜ to the conditional covariance of consumption growth with battery returns. This can be calibrated from Vietnamese energy-sector data or set as a sensitivity parameter.</w:t>
      </w:r>
    </w:p>
    <w:p w14:paraId="078BDD4C" w14:textId="77777777" w:rsidR="009C5414" w:rsidRDefault="00000000">
      <w:pPr>
        <w:pStyle w:val="Heading2"/>
        <w:pBdr>
          <w:bottom w:val="single" w:sz="4" w:space="1" w:color="2E75B6"/>
        </w:pBdr>
      </w:pPr>
      <w:proofErr w:type="gramStart"/>
      <w:r>
        <w:rPr>
          <w:color w:val="1F3864"/>
        </w:rPr>
        <w:t>5.2  Stochastic</w:t>
      </w:r>
      <w:proofErr w:type="gramEnd"/>
      <w:r>
        <w:rPr>
          <w:color w:val="1F3864"/>
        </w:rPr>
        <w:t xml:space="preserve"> Discount Factor and Welfare Equivalence (Ch. 11 §11.5)</w:t>
      </w:r>
    </w:p>
    <w:p w14:paraId="078BDD4D" w14:textId="77777777" w:rsidR="009C5414" w:rsidRDefault="00000000">
      <w:pPr>
        <w:spacing w:after="120" w:line="276" w:lineRule="auto"/>
      </w:pPr>
      <w:r>
        <w:t>Wickens defines the stochastic discount factor (SDF) as m(s) = β U′[c(s)]/</w:t>
      </w:r>
      <w:proofErr w:type="gramStart"/>
      <w:r>
        <w:t>U′(</w:t>
      </w:r>
      <w:proofErr w:type="gramEnd"/>
      <w:r>
        <w:t xml:space="preserve">c), the state-contingent pricing kernel. Asset prices satisfy pₜ = </w:t>
      </w:r>
      <w:proofErr w:type="gramStart"/>
      <w:r>
        <w:t>Eₜ[</w:t>
      </w:r>
      <w:proofErr w:type="gramEnd"/>
      <w:r>
        <w:t>mₜ₊₁ xₜ₊₁].</w:t>
      </w:r>
    </w:p>
    <w:p w14:paraId="078BDD4E" w14:textId="77777777" w:rsidR="009C5414" w:rsidRDefault="00000000">
      <w:pPr>
        <w:spacing w:after="120" w:line="276" w:lineRule="auto"/>
      </w:pPr>
      <w:r>
        <w:rPr>
          <w:b/>
          <w:bCs/>
        </w:rPr>
        <w:t xml:space="preserve">Applicability: </w:t>
      </w:r>
      <w:r>
        <w:t>The capstone’s welfare metric Λ (Lucas compensating variation) is closely related to the SDF. Both require evaluating E</w:t>
      </w:r>
      <w:proofErr w:type="gramStart"/>
      <w:r>
        <w:t>₀[</w:t>
      </w:r>
      <w:proofErr w:type="gramEnd"/>
      <w:r>
        <w:t>Σ βᵗ U(cₜ)] under alternative policy regimes. The advisor recommends interpreting Λ through the SDF lens: Λ is the percentage increase in the certainty-equivalent consumption stream that makes the household indifferent between the baseline and the counterfactual. Expressing Λ in terms of the SDF provides a bridge between the macroeconomic welfare analysis and an asset-pricing interpretation of the policy, potentially opening connections to empirical equity premium data in Vietnam.</w:t>
      </w:r>
    </w:p>
    <w:p w14:paraId="078BDD4F" w14:textId="77777777" w:rsidR="009C5414" w:rsidRDefault="00000000">
      <w:pPr>
        <w:pStyle w:val="Heading2"/>
        <w:pBdr>
          <w:bottom w:val="single" w:sz="4" w:space="1" w:color="2E75B6"/>
        </w:pBdr>
      </w:pPr>
      <w:proofErr w:type="gramStart"/>
      <w:r>
        <w:rPr>
          <w:color w:val="1F3864"/>
        </w:rPr>
        <w:t>5.3  Log</w:t>
      </w:r>
      <w:proofErr w:type="gramEnd"/>
      <w:r>
        <w:rPr>
          <w:color w:val="1F3864"/>
        </w:rPr>
        <w:t>-Normality and IRF Variance Decomposition (Ch. 11 §11.6.2.6)</w:t>
      </w:r>
    </w:p>
    <w:p w14:paraId="078BDD50" w14:textId="77777777" w:rsidR="009C5414" w:rsidRDefault="00000000">
      <w:pPr>
        <w:spacing w:after="120" w:line="276" w:lineRule="auto"/>
      </w:pPr>
      <w:r>
        <w:t xml:space="preserve">Under </w:t>
      </w:r>
      <w:proofErr w:type="gramStart"/>
      <w:r>
        <w:t>log-normality</w:t>
      </w:r>
      <w:proofErr w:type="gramEnd"/>
      <w:r>
        <w:t xml:space="preserve"> of consumption and returns (eq. 11.47):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D52"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F2F2F2"/>
            <w:tcMar>
              <w:top w:w="120" w:type="dxa"/>
              <w:left w:w="200" w:type="dxa"/>
              <w:bottom w:w="120" w:type="dxa"/>
              <w:right w:w="160" w:type="dxa"/>
            </w:tcMar>
          </w:tcPr>
          <w:p w14:paraId="078BDD51" w14:textId="77777777" w:rsidR="009C5414" w:rsidRDefault="00000000">
            <w:pPr>
              <w:spacing w:after="40"/>
            </w:pPr>
            <w:r>
              <w:rPr>
                <w:rFonts w:ascii="Courier New" w:eastAsia="Courier New" w:hAnsi="Courier New" w:cs="Courier New"/>
              </w:rPr>
              <w:t xml:space="preserve">Eₜ(rₜ₊₁) − rᶠ + ½Vₜ(rₜ₊₁) = σₜ </w:t>
            </w:r>
            <w:proofErr w:type="gramStart"/>
            <w:r>
              <w:rPr>
                <w:rFonts w:ascii="Courier New" w:eastAsia="Courier New" w:hAnsi="Courier New" w:cs="Courier New"/>
              </w:rPr>
              <w:t>Covₜ(</w:t>
            </w:r>
            <w:proofErr w:type="gramEnd"/>
            <w:r>
              <w:rPr>
                <w:rFonts w:ascii="Courier New" w:eastAsia="Courier New" w:hAnsi="Courier New" w:cs="Courier New"/>
              </w:rPr>
              <w:t>Δ ln Cₜ₊₁, rₜ₊</w:t>
            </w:r>
            <w:proofErr w:type="gramStart"/>
            <w:r>
              <w:rPr>
                <w:rFonts w:ascii="Courier New" w:eastAsia="Courier New" w:hAnsi="Courier New" w:cs="Courier New"/>
              </w:rPr>
              <w:t>₁)</w:t>
            </w:r>
            <w:r>
              <w:rPr>
                <w:sz w:val="20"/>
                <w:szCs w:val="20"/>
              </w:rPr>
              <w:t xml:space="preserve">  [</w:t>
            </w:r>
            <w:proofErr w:type="gramEnd"/>
            <w:r>
              <w:rPr>
                <w:sz w:val="20"/>
                <w:szCs w:val="20"/>
              </w:rPr>
              <w:t>Ch. 11 eq. (11.47)]</w:t>
            </w:r>
          </w:p>
        </w:tc>
      </w:tr>
    </w:tbl>
    <w:p w14:paraId="078BDD53" w14:textId="77777777" w:rsidR="009C5414" w:rsidRDefault="00000000">
      <w:pPr>
        <w:spacing w:after="120" w:line="276" w:lineRule="auto"/>
      </w:pPr>
      <w:r>
        <w:rPr>
          <w:b/>
          <w:bCs/>
        </w:rPr>
        <w:t xml:space="preserve">Applicability: </w:t>
      </w:r>
      <w:r>
        <w:t xml:space="preserve">The capstone already computes IRF variance decompositions (FEVDs). Wickens (11.47) connects the variance of returns to the risk premium, so the FEVD of battery prices (a key result in the capstone) can be directly translated into an implied risk premium series. This adds theoretical depth to what is currently </w:t>
      </w:r>
      <w:proofErr w:type="gramStart"/>
      <w:r>
        <w:t>a purely</w:t>
      </w:r>
      <w:proofErr w:type="gramEnd"/>
      <w:r>
        <w:t xml:space="preserve"> statistical decomposition.</w:t>
      </w:r>
    </w:p>
    <w:p w14:paraId="078BDD54" w14:textId="77777777" w:rsidR="009C5414" w:rsidRDefault="00000000">
      <w:pPr>
        <w:pStyle w:val="Heading2"/>
        <w:pBdr>
          <w:bottom w:val="single" w:sz="4" w:space="1" w:color="2E75B6"/>
        </w:pBdr>
      </w:pPr>
      <w:proofErr w:type="gramStart"/>
      <w:r>
        <w:rPr>
          <w:color w:val="1F3864"/>
        </w:rPr>
        <w:t>5.4  Complete</w:t>
      </w:r>
      <w:proofErr w:type="gramEnd"/>
      <w:r>
        <w:rPr>
          <w:color w:val="1F3864"/>
        </w:rPr>
        <w:t xml:space="preserve"> vs. Incomplete Markets (Ch. 11 §11.9)</w:t>
      </w:r>
    </w:p>
    <w:p w14:paraId="078BDD55" w14:textId="77777777" w:rsidR="009C5414" w:rsidRDefault="00000000">
      <w:pPr>
        <w:spacing w:after="120" w:line="276" w:lineRule="auto"/>
      </w:pPr>
      <w:r>
        <w:t xml:space="preserve">Wickens §11.9 establishes that complete markets equilibrium requires all agents’ SDFs to be equalized: mᵢ(s) = mᶠ(s) for all </w:t>
      </w:r>
      <w:proofErr w:type="spellStart"/>
      <w:r>
        <w:t>i</w:t>
      </w:r>
      <w:proofErr w:type="spellEnd"/>
      <w:r>
        <w:t>. Under incomplete markets, idiosyncratic risk cannot be fully insured, and consumption growth is not equalized.</w:t>
      </w:r>
    </w:p>
    <w:p w14:paraId="078BDD56" w14:textId="77777777" w:rsidR="009C5414" w:rsidRDefault="00000000">
      <w:pPr>
        <w:spacing w:after="120" w:line="276" w:lineRule="auto"/>
      </w:pPr>
      <w:r>
        <w:rPr>
          <w:b/>
          <w:bCs/>
        </w:rPr>
        <w:t xml:space="preserve">Applicability: </w:t>
      </w:r>
      <w:r>
        <w:t xml:space="preserve">Vietnam’s electricity sector is characterized by incomplete markets in two senses: (1) solar intermittency risk cannot be fully hedged domestically (no deep energy futures market), and (2) rural/urban grid connectivity is unequal. </w:t>
      </w:r>
      <w:proofErr w:type="gramStart"/>
      <w:r>
        <w:t>The capstone’s</w:t>
      </w:r>
      <w:proofErr w:type="gramEnd"/>
      <w:r>
        <w:t xml:space="preserve"> representative-agent assumption implicitly imposes complete markets. This is a known limitation: the advisor recommends acknowledging that in a two-agent extension (grid-connected vs. off-grid households), incomplete markets would generate heterogeneous welfare costs, with off-grid households bearing disproportionate intermittency risk. The aggregate Λ understates the distributional welfare cost.</w:t>
      </w:r>
    </w:p>
    <w:p w14:paraId="078BDD57" w14:textId="77777777" w:rsidR="009C5414" w:rsidRDefault="009C5414">
      <w:pPr>
        <w:spacing w:after="160"/>
      </w:pPr>
    </w:p>
    <w:p w14:paraId="078BDD58" w14:textId="77777777" w:rsidR="009C5414" w:rsidRDefault="00000000">
      <w:pPr>
        <w:pStyle w:val="Heading1"/>
        <w:shd w:val="clear" w:color="auto" w:fill="1F3864"/>
        <w:ind w:left="120"/>
      </w:pPr>
      <w:r>
        <w:rPr>
          <w:color w:val="FFFFFF"/>
        </w:rPr>
        <w:t>VIII. Cluster 6: Welfare Analysis and Model Validation</w:t>
      </w:r>
    </w:p>
    <w:p w14:paraId="078BDD59" w14:textId="77777777" w:rsidR="009C5414" w:rsidRDefault="00000000">
      <w:pPr>
        <w:pStyle w:val="Heading2"/>
        <w:pBdr>
          <w:bottom w:val="single" w:sz="4" w:space="1" w:color="2E75B6"/>
        </w:pBdr>
      </w:pPr>
      <w:proofErr w:type="gramStart"/>
      <w:r>
        <w:rPr>
          <w:color w:val="1F3864"/>
        </w:rPr>
        <w:t>6.1  Lucas</w:t>
      </w:r>
      <w:proofErr w:type="gramEnd"/>
      <w:r>
        <w:rPr>
          <w:color w:val="1F3864"/>
        </w:rPr>
        <w:t xml:space="preserve"> Compensating Variation — Connecting to Wickens Framework</w:t>
      </w:r>
    </w:p>
    <w:p w14:paraId="078BDD5A" w14:textId="77777777" w:rsidR="009C5414" w:rsidRDefault="00000000">
      <w:pPr>
        <w:spacing w:after="120" w:line="276" w:lineRule="auto"/>
      </w:pPr>
      <w:r>
        <w:lastRenderedPageBreak/>
        <w:t>The capstone’s welfare metric Λ is the Lucas (1987) compensating variation. Wickens does not derive this directly but provides the utility framework from which it follows: under CRRA utility U(c) = c^{1-σ}/(1-σ), the welfare cost of a policy change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D5D"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D6E4F0"/>
            <w:tcMar>
              <w:top w:w="120" w:type="dxa"/>
              <w:left w:w="200" w:type="dxa"/>
              <w:bottom w:w="120" w:type="dxa"/>
              <w:right w:w="160" w:type="dxa"/>
            </w:tcMar>
          </w:tcPr>
          <w:p w14:paraId="078BDD5B" w14:textId="77777777" w:rsidR="009C5414" w:rsidRDefault="00000000">
            <w:pPr>
              <w:spacing w:after="60"/>
            </w:pPr>
            <w:r>
              <w:rPr>
                <w:rFonts w:ascii="Courier New" w:eastAsia="Courier New" w:hAnsi="Courier New" w:cs="Courier New"/>
              </w:rPr>
              <w:t>Λ = [W₁/W</w:t>
            </w:r>
            <w:proofErr w:type="gramStart"/>
            <w:r>
              <w:rPr>
                <w:rFonts w:ascii="Courier New" w:eastAsia="Courier New" w:hAnsi="Courier New" w:cs="Courier New"/>
              </w:rPr>
              <w:t>₀]^</w:t>
            </w:r>
            <w:proofErr w:type="gramEnd"/>
            <w:r>
              <w:rPr>
                <w:rFonts w:ascii="Courier New" w:eastAsia="Courier New" w:hAnsi="Courier New" w:cs="Courier New"/>
              </w:rPr>
              <w:t>{1/(1-σ)} − 1</w:t>
            </w:r>
          </w:p>
          <w:p w14:paraId="078BDD5C" w14:textId="77777777" w:rsidR="009C5414" w:rsidRDefault="00000000">
            <w:pPr>
              <w:spacing w:after="40"/>
            </w:pPr>
            <w:r>
              <w:rPr>
                <w:sz w:val="20"/>
                <w:szCs w:val="20"/>
              </w:rPr>
              <w:t xml:space="preserve">where Wᵢ = E₀ Σᵗ βᵗ cᵗ^{1-σ}/(1-σ) is the expected discounted utility under regime </w:t>
            </w:r>
            <w:proofErr w:type="spellStart"/>
            <w:r>
              <w:rPr>
                <w:sz w:val="20"/>
                <w:szCs w:val="20"/>
              </w:rPr>
              <w:t>i</w:t>
            </w:r>
            <w:proofErr w:type="spellEnd"/>
            <w:r>
              <w:rPr>
                <w:sz w:val="20"/>
                <w:szCs w:val="20"/>
              </w:rPr>
              <w:t>.</w:t>
            </w:r>
          </w:p>
        </w:tc>
      </w:tr>
    </w:tbl>
    <w:p w14:paraId="078BDD5E" w14:textId="77777777" w:rsidR="009C5414" w:rsidRDefault="00000000">
      <w:pPr>
        <w:spacing w:after="120" w:line="276" w:lineRule="auto"/>
      </w:pPr>
      <w:r>
        <w:rPr>
          <w:b/>
          <w:bCs/>
        </w:rPr>
        <w:t xml:space="preserve">Connection to Wickens Ch. 4 §4.2: </w:t>
      </w:r>
      <w:r>
        <w:t>The Euler equation βU'(cₜ₊₁)/U'(cₜ) = 1/(1+r) determines the optimal consumption path that maximizes the lifetime utility W from which Λ is computed. The capstone’s welfare cost is therefore directly linked to the distortion in the Euler equation introduced by the proportional tax (see 2.1 above). Documenting this chain — tax rule → Euler wedge → suboptimal consumption path → Λ &gt; 0 — provides the structural interpretation of the welfare result.</w:t>
      </w:r>
    </w:p>
    <w:p w14:paraId="078BDD5F" w14:textId="77777777" w:rsidR="009C5414" w:rsidRDefault="00000000">
      <w:pPr>
        <w:pStyle w:val="Heading2"/>
        <w:pBdr>
          <w:bottom w:val="single" w:sz="4" w:space="1" w:color="2E75B6"/>
        </w:pBdr>
      </w:pPr>
      <w:proofErr w:type="gramStart"/>
      <w:r>
        <w:rPr>
          <w:color w:val="1F3864"/>
        </w:rPr>
        <w:t>6.2  Labor</w:t>
      </w:r>
      <w:proofErr w:type="gramEnd"/>
      <w:r>
        <w:rPr>
          <w:color w:val="1F3864"/>
        </w:rPr>
        <w:t xml:space="preserve"> Supply and Adjustment Costs (Ch. 4 §4.5)</w:t>
      </w:r>
    </w:p>
    <w:p w14:paraId="078BDD60" w14:textId="77777777" w:rsidR="009C5414" w:rsidRDefault="00000000">
      <w:pPr>
        <w:spacing w:after="120" w:line="276" w:lineRule="auto"/>
      </w:pPr>
      <w:r>
        <w:t xml:space="preserve">Wickens §4.5 derives labor supply from the household’s </w:t>
      </w:r>
      <w:proofErr w:type="spellStart"/>
      <w:r>
        <w:t>intratemporal</w:t>
      </w:r>
      <w:proofErr w:type="spellEnd"/>
      <w:r>
        <w:t xml:space="preserve"> FOC: Uℓ/Uᶜ = wₜ (MRS equals real wage). With adjustment costs λ on employment changes, the dynamic labor demand condition becomes: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414" w14:paraId="078BDD62" w14:textId="77777777">
        <w:tblPrEx>
          <w:tblCellMar>
            <w:top w:w="0" w:type="dxa"/>
            <w:bottom w:w="0" w:type="dxa"/>
          </w:tblCellMar>
        </w:tblPrEx>
        <w:tc>
          <w:tcPr>
            <w:tcW w:w="9360" w:type="dxa"/>
            <w:tcBorders>
              <w:top w:val="single" w:sz="8" w:space="0" w:color="2E75B6"/>
              <w:left w:val="single" w:sz="20" w:space="0" w:color="2E75B6"/>
              <w:bottom w:val="single" w:sz="8" w:space="0" w:color="2E75B6"/>
              <w:right w:val="single" w:sz="8" w:space="0" w:color="2E75B6"/>
            </w:tcBorders>
            <w:shd w:val="clear" w:color="auto" w:fill="F2F2F2"/>
            <w:tcMar>
              <w:top w:w="120" w:type="dxa"/>
              <w:left w:w="200" w:type="dxa"/>
              <w:bottom w:w="120" w:type="dxa"/>
              <w:right w:w="160" w:type="dxa"/>
            </w:tcMar>
          </w:tcPr>
          <w:p w14:paraId="078BDD61" w14:textId="77777777" w:rsidR="009C5414" w:rsidRDefault="00000000">
            <w:pPr>
              <w:spacing w:after="40"/>
            </w:pPr>
            <w:proofErr w:type="spellStart"/>
            <w:r>
              <w:rPr>
                <w:rFonts w:ascii="Courier New" w:eastAsia="Courier New" w:hAnsi="Courier New" w:cs="Courier New"/>
              </w:rPr>
              <w:t>Δn</w:t>
            </w:r>
            <w:proofErr w:type="spellEnd"/>
            <w:r>
              <w:rPr>
                <w:rFonts w:ascii="Courier New" w:eastAsia="Courier New" w:hAnsi="Courier New" w:cs="Courier New"/>
              </w:rPr>
              <w:t xml:space="preserve">ₜ = 1/(1+r) · </w:t>
            </w:r>
            <w:proofErr w:type="spellStart"/>
            <w:r>
              <w:rPr>
                <w:rFonts w:ascii="Courier New" w:eastAsia="Courier New" w:hAnsi="Courier New" w:cs="Courier New"/>
              </w:rPr>
              <w:t>Δn</w:t>
            </w:r>
            <w:proofErr w:type="spellEnd"/>
            <w:r>
              <w:rPr>
                <w:rFonts w:ascii="Courier New" w:eastAsia="Courier New" w:hAnsi="Courier New" w:cs="Courier New"/>
              </w:rPr>
              <w:t xml:space="preserve">ₜ₊₁ + 1/(λ(1+r)) · (Fₙ − </w:t>
            </w:r>
            <w:proofErr w:type="gramStart"/>
            <w:r>
              <w:rPr>
                <w:rFonts w:ascii="Courier New" w:eastAsia="Courier New" w:hAnsi="Courier New" w:cs="Courier New"/>
              </w:rPr>
              <w:t>Wₜ)</w:t>
            </w:r>
            <w:r>
              <w:rPr>
                <w:sz w:val="20"/>
                <w:szCs w:val="20"/>
              </w:rPr>
              <w:t xml:space="preserve">  [</w:t>
            </w:r>
            <w:proofErr w:type="gramEnd"/>
            <w:r>
              <w:rPr>
                <w:sz w:val="20"/>
                <w:szCs w:val="20"/>
              </w:rPr>
              <w:t>Ch. 4: labor demand with adjustment costs]</w:t>
            </w:r>
          </w:p>
        </w:tc>
      </w:tr>
    </w:tbl>
    <w:p w14:paraId="078BDD63" w14:textId="77777777" w:rsidR="009C5414" w:rsidRDefault="00000000">
      <w:pPr>
        <w:spacing w:after="120" w:line="276" w:lineRule="auto"/>
      </w:pPr>
      <w:r>
        <w:rPr>
          <w:b/>
          <w:bCs/>
        </w:rPr>
        <w:t xml:space="preserve">Applicability: </w:t>
      </w:r>
      <w:r>
        <w:t>The capstone’s 17-variable system includes labor as a production input. If the model currently features frictionless labor reallocation (standard), the Wickens adjustment cost equation provides a straightforward extension to capture the observed sluggishness of Vietnamese labor market adjustment to energy sector shocks. Adding λ &gt; 0 would dampen the labor IRF following an intermittency shock, bringing the model closer to empirical Vietnamese labor dynamics (high adjustment costs in manufacturing). This does not add new state variables if λ is calibrated rather than estimated.</w:t>
      </w:r>
    </w:p>
    <w:p w14:paraId="078BDD64" w14:textId="77777777" w:rsidR="009C5414" w:rsidRDefault="00000000">
      <w:pPr>
        <w:pStyle w:val="Heading2"/>
        <w:pBdr>
          <w:bottom w:val="single" w:sz="4" w:space="1" w:color="2E75B6"/>
        </w:pBdr>
      </w:pPr>
      <w:proofErr w:type="gramStart"/>
      <w:r>
        <w:rPr>
          <w:color w:val="1F3864"/>
        </w:rPr>
        <w:t>6.3  Permanent</w:t>
      </w:r>
      <w:proofErr w:type="gramEnd"/>
      <w:r>
        <w:rPr>
          <w:color w:val="1F3864"/>
        </w:rPr>
        <w:t xml:space="preserve"> Income and Consumption Smoothing (Ch. 4 §4.3)</w:t>
      </w:r>
    </w:p>
    <w:p w14:paraId="078BDD65" w14:textId="77777777" w:rsidR="009C5414" w:rsidRDefault="00000000">
      <w:pPr>
        <w:spacing w:after="120" w:line="276" w:lineRule="auto"/>
      </w:pPr>
      <w:r>
        <w:t xml:space="preserve">Wickens derives the permanent income result: optimal consumption satisfies cₜ = r/(1+r) · Wₜ, where Wₜ = Σ yₜ₊ₛ/(1+r)ₛ is total wealth. This is the basis for Hall’s (1978) random walk result: </w:t>
      </w:r>
      <w:proofErr w:type="spellStart"/>
      <w:r>
        <w:t>Δc</w:t>
      </w:r>
      <w:proofErr w:type="spellEnd"/>
      <w:r>
        <w:t>ₜ₊₁ = εₜ₊₁.</w:t>
      </w:r>
    </w:p>
    <w:p w14:paraId="078BDD66" w14:textId="77777777" w:rsidR="009C5414" w:rsidRDefault="00000000">
      <w:pPr>
        <w:spacing w:after="120" w:line="276" w:lineRule="auto"/>
      </w:pPr>
      <w:r>
        <w:rPr>
          <w:b/>
          <w:bCs/>
        </w:rPr>
        <w:t xml:space="preserve">Applicability: </w:t>
      </w:r>
      <w:r>
        <w:t>The capstone’s impulse response functions should show consumption smoothing in response to temporary intermittency shocks. If the consumption IRF is excessively volatile, this indicates either the tax distortion or incomplete asset markets are preventing optimal smoothing — both of which increase Λ. The advisor recommends reporting the half-life of consumption deviation from steady state as a measure of the smoothing capacity of the model economy.</w:t>
      </w:r>
    </w:p>
    <w:p w14:paraId="078BDD67" w14:textId="77777777" w:rsidR="009C5414" w:rsidRDefault="00000000">
      <w:pPr>
        <w:pStyle w:val="Heading2"/>
        <w:pBdr>
          <w:bottom w:val="single" w:sz="4" w:space="1" w:color="2E75B6"/>
        </w:pBdr>
      </w:pPr>
      <w:proofErr w:type="gramStart"/>
      <w:r>
        <w:rPr>
          <w:color w:val="1F3864"/>
        </w:rPr>
        <w:t>6.4  Blanchard</w:t>
      </w:r>
      <w:proofErr w:type="gramEnd"/>
      <w:r>
        <w:rPr>
          <w:color w:val="1F3864"/>
        </w:rPr>
        <w:t>–Kahn Stability and Saddle Path</w:t>
      </w:r>
    </w:p>
    <w:p w14:paraId="078BDD68" w14:textId="77777777" w:rsidR="009C5414" w:rsidRDefault="00000000">
      <w:pPr>
        <w:spacing w:after="120" w:line="276" w:lineRule="auto"/>
      </w:pPr>
      <w:r>
        <w:t>While Blanchard–Kahn is not a Wickens chapter but a solution technique, Wickens’ treatment throughout (particularly Ch. 4 and Ch. 7) consistently employs saddle-path stability conditions. The general condition is that the number of unstable eigenvalues of the system matrix must equal the number of forward-looking (jump) variables.</w:t>
      </w:r>
    </w:p>
    <w:p w14:paraId="078BDD69" w14:textId="77777777" w:rsidR="009C5414" w:rsidRDefault="00000000">
      <w:pPr>
        <w:spacing w:after="120" w:line="276" w:lineRule="auto"/>
      </w:pPr>
      <w:r>
        <w:rPr>
          <w:b/>
          <w:bCs/>
        </w:rPr>
        <w:t xml:space="preserve">Advisory note: </w:t>
      </w:r>
      <w:r>
        <w:t xml:space="preserve">The capstone reports 2 unstable eigenvalues. When adding the Wickens extensions recommended above (transactions cost wedge, fiscal sustainability, traded/non-traded sector), the system dimension increases. Each new forward-looking variable (e.g., an asset price, a </w:t>
      </w:r>
      <w:r>
        <w:lastRenderedPageBreak/>
        <w:t>forward-looking tax rate) requires an additional unstable eigenvalue. The advisor recommends verifying BK conditions after each proposed extension is added.</w:t>
      </w:r>
    </w:p>
    <w:p w14:paraId="078BDD6A" w14:textId="77777777" w:rsidR="009C5414" w:rsidRDefault="009C5414">
      <w:pPr>
        <w:spacing w:after="160"/>
      </w:pPr>
    </w:p>
    <w:p w14:paraId="078BDD6B" w14:textId="77777777" w:rsidR="009C5414" w:rsidRDefault="00000000">
      <w:pPr>
        <w:pStyle w:val="Heading1"/>
        <w:shd w:val="clear" w:color="auto" w:fill="1F3864"/>
        <w:ind w:left="120"/>
      </w:pPr>
      <w:r>
        <w:rPr>
          <w:color w:val="FFFFFF"/>
        </w:rPr>
        <w:t>IX. Priority Matrix: Extensions by Implementation Effort and Impact</w:t>
      </w:r>
    </w:p>
    <w:p w14:paraId="078BDD6C" w14:textId="77777777" w:rsidR="009C5414" w:rsidRDefault="009C541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2960"/>
      </w:tblGrid>
      <w:tr w:rsidR="009C5414" w14:paraId="078BDD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00" w:type="dxa"/>
            </w:tcMar>
          </w:tcPr>
          <w:p w14:paraId="078BDD6D" w14:textId="77777777" w:rsidR="009C5414" w:rsidRDefault="00000000">
            <w:pPr>
              <w:spacing w:after="40"/>
            </w:pPr>
            <w:r>
              <w:rPr>
                <w:b/>
                <w:bCs/>
                <w:color w:val="FFFFFF"/>
                <w:sz w:val="20"/>
                <w:szCs w:val="20"/>
              </w:rPr>
              <w:t>Extension (Wickens ref.)</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00" w:type="dxa"/>
            </w:tcMar>
          </w:tcPr>
          <w:p w14:paraId="078BDD6E" w14:textId="77777777" w:rsidR="009C5414" w:rsidRDefault="00000000">
            <w:pPr>
              <w:spacing w:after="40"/>
              <w:jc w:val="center"/>
            </w:pPr>
            <w:r>
              <w:rPr>
                <w:b/>
                <w:bCs/>
                <w:color w:val="FFFFFF"/>
                <w:sz w:val="20"/>
                <w:szCs w:val="20"/>
              </w:rPr>
              <w:t>Impact on Λ</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00" w:type="dxa"/>
            </w:tcMar>
          </w:tcPr>
          <w:p w14:paraId="078BDD6F" w14:textId="77777777" w:rsidR="009C5414" w:rsidRDefault="00000000">
            <w:pPr>
              <w:spacing w:after="40"/>
              <w:jc w:val="center"/>
            </w:pPr>
            <w:r>
              <w:rPr>
                <w:b/>
                <w:bCs/>
                <w:color w:val="FFFFFF"/>
                <w:sz w:val="20"/>
                <w:szCs w:val="20"/>
              </w:rPr>
              <w:t>Effort</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00" w:type="dxa"/>
            </w:tcMar>
          </w:tcPr>
          <w:p w14:paraId="078BDD70" w14:textId="77777777" w:rsidR="009C5414" w:rsidRDefault="00000000">
            <w:pPr>
              <w:spacing w:after="40"/>
            </w:pPr>
            <w:r>
              <w:rPr>
                <w:b/>
                <w:bCs/>
                <w:color w:val="FFFFFF"/>
                <w:sz w:val="20"/>
                <w:szCs w:val="20"/>
              </w:rPr>
              <w:t>Recommendation</w:t>
            </w:r>
          </w:p>
        </w:tc>
      </w:tr>
      <w:tr w:rsidR="009C5414" w14:paraId="078BDD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72" w14:textId="77777777" w:rsidR="009C5414" w:rsidRDefault="00000000">
            <w:pPr>
              <w:spacing w:after="40"/>
            </w:pPr>
            <w:r>
              <w:rPr>
                <w:sz w:val="20"/>
                <w:szCs w:val="20"/>
              </w:rPr>
              <w:t>Distortionary tax Euler wedge (Ch.5 §5.7.1)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73" w14:textId="77777777" w:rsidR="009C5414" w:rsidRDefault="00000000">
            <w:pPr>
              <w:spacing w:after="40"/>
              <w:jc w:val="center"/>
            </w:pPr>
            <w:r>
              <w:rPr>
                <w:b/>
                <w:bCs/>
                <w:color w:val="C00000"/>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74" w14:textId="77777777" w:rsidR="009C5414" w:rsidRDefault="00000000">
            <w:pPr>
              <w:spacing w:after="40"/>
              <w:jc w:val="center"/>
            </w:pPr>
            <w:r>
              <w:rPr>
                <w:sz w:val="20"/>
                <w:szCs w:val="20"/>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75" w14:textId="77777777" w:rsidR="009C5414" w:rsidRDefault="00000000">
            <w:pPr>
              <w:spacing w:after="40"/>
            </w:pPr>
            <w:r>
              <w:rPr>
                <w:sz w:val="20"/>
                <w:szCs w:val="20"/>
              </w:rPr>
              <w:t>Include in baseline — no new variables needed</w:t>
            </w:r>
          </w:p>
        </w:tc>
      </w:tr>
      <w:tr w:rsidR="009C5414" w14:paraId="078BDD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77" w14:textId="77777777" w:rsidR="009C5414" w:rsidRDefault="00000000">
            <w:pPr>
              <w:spacing w:after="40"/>
            </w:pPr>
            <w:r>
              <w:rPr>
                <w:sz w:val="20"/>
                <w:szCs w:val="20"/>
              </w:rPr>
              <w:t>Fiscal sustainability check (Ch.5 §5.5)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78" w14:textId="77777777" w:rsidR="009C5414" w:rsidRDefault="00000000">
            <w:pPr>
              <w:spacing w:after="40"/>
              <w:jc w:val="center"/>
            </w:pPr>
            <w:r>
              <w:rPr>
                <w:b/>
                <w:bCs/>
                <w:color w:val="C00000"/>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79" w14:textId="77777777" w:rsidR="009C5414" w:rsidRDefault="00000000">
            <w:pPr>
              <w:spacing w:after="40"/>
              <w:jc w:val="center"/>
            </w:pPr>
            <w:r>
              <w:rPr>
                <w:sz w:val="20"/>
                <w:szCs w:val="20"/>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7A" w14:textId="77777777" w:rsidR="009C5414" w:rsidRDefault="00000000">
            <w:pPr>
              <w:spacing w:after="40"/>
            </w:pPr>
            <w:r>
              <w:rPr>
                <w:sz w:val="20"/>
                <w:szCs w:val="20"/>
              </w:rPr>
              <w:t>Add diagnostic table to results section</w:t>
            </w:r>
          </w:p>
        </w:tc>
      </w:tr>
      <w:tr w:rsidR="009C5414" w14:paraId="078BDD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7C" w14:textId="77777777" w:rsidR="009C5414" w:rsidRDefault="00000000">
            <w:pPr>
              <w:spacing w:after="40"/>
            </w:pPr>
            <w:r>
              <w:rPr>
                <w:sz w:val="20"/>
                <w:szCs w:val="20"/>
              </w:rPr>
              <w:t>Ricardian non-equivalence (Ch.5 §5.4)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7D" w14:textId="77777777" w:rsidR="009C5414" w:rsidRDefault="00000000">
            <w:pPr>
              <w:spacing w:after="40"/>
              <w:jc w:val="center"/>
            </w:pPr>
            <w:r>
              <w:rPr>
                <w:b/>
                <w:bCs/>
                <w:color w:val="C00000"/>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7E" w14:textId="77777777" w:rsidR="009C5414" w:rsidRDefault="00000000">
            <w:pPr>
              <w:spacing w:after="40"/>
              <w:jc w:val="center"/>
            </w:pPr>
            <w:r>
              <w:rPr>
                <w:sz w:val="20"/>
                <w:szCs w:val="20"/>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7F" w14:textId="77777777" w:rsidR="009C5414" w:rsidRDefault="00000000">
            <w:pPr>
              <w:spacing w:after="40"/>
            </w:pPr>
            <w:r>
              <w:rPr>
                <w:sz w:val="20"/>
                <w:szCs w:val="20"/>
              </w:rPr>
              <w:t>Acknowledge and state clearly in theory section</w:t>
            </w:r>
          </w:p>
        </w:tc>
      </w:tr>
      <w:tr w:rsidR="009C5414" w14:paraId="078BDD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81" w14:textId="77777777" w:rsidR="009C5414" w:rsidRDefault="00000000">
            <w:pPr>
              <w:spacing w:after="40"/>
            </w:pPr>
            <w:r>
              <w:rPr>
                <w:sz w:val="20"/>
                <w:szCs w:val="20"/>
              </w:rPr>
              <w:t>Transactions cost intermittency wedge (Ch.8 §8.7)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82" w14:textId="77777777" w:rsidR="009C5414" w:rsidRDefault="00000000">
            <w:pPr>
              <w:spacing w:after="40"/>
              <w:jc w:val="center"/>
            </w:pPr>
            <w:r>
              <w:rPr>
                <w:b/>
                <w:bCs/>
                <w:color w:val="C00000"/>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83" w14:textId="77777777" w:rsidR="009C5414" w:rsidRDefault="00000000">
            <w:pPr>
              <w:spacing w:after="40"/>
              <w:jc w:val="center"/>
            </w:pPr>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84" w14:textId="77777777" w:rsidR="009C5414" w:rsidRDefault="00000000">
            <w:pPr>
              <w:spacing w:after="40"/>
            </w:pPr>
            <w:r>
              <w:rPr>
                <w:sz w:val="20"/>
                <w:szCs w:val="20"/>
              </w:rPr>
              <w:t>Strong recommendation — maps directly to intermittency</w:t>
            </w:r>
          </w:p>
        </w:tc>
      </w:tr>
      <w:tr w:rsidR="009C5414" w14:paraId="078BDD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86" w14:textId="77777777" w:rsidR="009C5414" w:rsidRDefault="00000000">
            <w:pPr>
              <w:spacing w:after="40"/>
            </w:pPr>
            <w:r>
              <w:rPr>
                <w:sz w:val="20"/>
                <w:szCs w:val="20"/>
              </w:rPr>
              <w:t>Tax-smoothing counterfactual (Ch.5 §5.7.3)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87" w14:textId="77777777" w:rsidR="009C5414" w:rsidRDefault="00000000">
            <w:pPr>
              <w:spacing w:after="40"/>
              <w:jc w:val="center"/>
            </w:pPr>
            <w:r>
              <w:rPr>
                <w:b/>
                <w:bCs/>
                <w:color w:val="C00000"/>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88" w14:textId="77777777" w:rsidR="009C5414" w:rsidRDefault="00000000">
            <w:pPr>
              <w:spacing w:after="40"/>
              <w:jc w:val="center"/>
            </w:pPr>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89" w14:textId="77777777" w:rsidR="009C5414" w:rsidRDefault="00000000">
            <w:pPr>
              <w:spacing w:after="40"/>
            </w:pPr>
            <w:r>
              <w:rPr>
                <w:sz w:val="20"/>
                <w:szCs w:val="20"/>
              </w:rPr>
              <w:t>Add as policy comparison simulation</w:t>
            </w:r>
          </w:p>
        </w:tc>
      </w:tr>
      <w:tr w:rsidR="009C5414" w14:paraId="078BDD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8B" w14:textId="77777777" w:rsidR="009C5414" w:rsidRDefault="00000000">
            <w:pPr>
              <w:spacing w:after="40"/>
            </w:pPr>
            <w:r>
              <w:rPr>
                <w:sz w:val="20"/>
                <w:szCs w:val="20"/>
              </w:rPr>
              <w:t>Chamley–Judd capital tax = 0 benchmark (Ch.5 §5.7.2)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8C" w14:textId="77777777" w:rsidR="009C5414" w:rsidRDefault="00000000">
            <w:pPr>
              <w:spacing w:after="40"/>
              <w:jc w:val="center"/>
            </w:pPr>
            <w:r>
              <w:rPr>
                <w:b/>
                <w:bCs/>
                <w:color w:val="0070C0"/>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8D" w14:textId="77777777" w:rsidR="009C5414" w:rsidRDefault="00000000">
            <w:pPr>
              <w:spacing w:after="40"/>
              <w:jc w:val="center"/>
            </w:pPr>
            <w:r>
              <w:rPr>
                <w:sz w:val="20"/>
                <w:szCs w:val="20"/>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8E" w14:textId="77777777" w:rsidR="009C5414" w:rsidRDefault="00000000">
            <w:pPr>
              <w:spacing w:after="40"/>
            </w:pPr>
            <w:r>
              <w:rPr>
                <w:sz w:val="20"/>
                <w:szCs w:val="20"/>
              </w:rPr>
              <w:t>Use as theoretical benchmark in policy discussion</w:t>
            </w:r>
          </w:p>
        </w:tc>
      </w:tr>
      <w:tr w:rsidR="009C5414" w14:paraId="078BDD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90" w14:textId="77777777" w:rsidR="009C5414" w:rsidRDefault="00000000">
            <w:pPr>
              <w:spacing w:after="40"/>
            </w:pPr>
            <w:r>
              <w:rPr>
                <w:sz w:val="20"/>
                <w:szCs w:val="20"/>
              </w:rPr>
              <w:t>Time-inconsistency — commitment device (Ch.6 §6.2)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91" w14:textId="77777777" w:rsidR="009C5414" w:rsidRDefault="00000000">
            <w:pPr>
              <w:spacing w:after="40"/>
              <w:jc w:val="center"/>
            </w:pPr>
            <w:r>
              <w:rPr>
                <w:b/>
                <w:bCs/>
                <w:color w:val="0070C0"/>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92" w14:textId="77777777" w:rsidR="009C5414" w:rsidRDefault="00000000">
            <w:pPr>
              <w:spacing w:after="40"/>
              <w:jc w:val="center"/>
            </w:pPr>
            <w:r>
              <w:rPr>
                <w:sz w:val="20"/>
                <w:szCs w:val="20"/>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93" w14:textId="701AFB02" w:rsidR="009C5414" w:rsidRDefault="004F777C">
            <w:pPr>
              <w:spacing w:after="40"/>
            </w:pPr>
            <w:r>
              <w:rPr>
                <w:sz w:val="20"/>
                <w:szCs w:val="20"/>
              </w:rPr>
              <w:t>Discussion</w:t>
            </w:r>
            <w:r w:rsidR="00000000">
              <w:rPr>
                <w:sz w:val="20"/>
                <w:szCs w:val="20"/>
              </w:rPr>
              <w:t xml:space="preserve"> in policy implications section</w:t>
            </w:r>
          </w:p>
        </w:tc>
      </w:tr>
      <w:tr w:rsidR="009C5414" w14:paraId="078BDD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95" w14:textId="77777777" w:rsidR="009C5414" w:rsidRDefault="00000000">
            <w:pPr>
              <w:spacing w:after="40"/>
            </w:pPr>
            <w:r>
              <w:rPr>
                <w:sz w:val="20"/>
                <w:szCs w:val="20"/>
              </w:rPr>
              <w:t>C-CAPM battery risk premium (Ch.11 §11.6.2)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96" w14:textId="77777777" w:rsidR="009C5414" w:rsidRDefault="00000000">
            <w:pPr>
              <w:spacing w:after="40"/>
              <w:jc w:val="center"/>
            </w:pPr>
            <w:r>
              <w:rPr>
                <w:b/>
                <w:bCs/>
                <w:color w:val="0070C0"/>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97" w14:textId="77777777" w:rsidR="009C5414" w:rsidRDefault="00000000">
            <w:pPr>
              <w:spacing w:after="40"/>
              <w:jc w:val="center"/>
            </w:pPr>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98" w14:textId="77777777" w:rsidR="009C5414" w:rsidRDefault="00000000">
            <w:pPr>
              <w:spacing w:after="40"/>
            </w:pPr>
            <w:r>
              <w:rPr>
                <w:sz w:val="20"/>
                <w:szCs w:val="20"/>
              </w:rPr>
              <w:t>Enrich IRF interpretation — recommended appendix</w:t>
            </w:r>
          </w:p>
        </w:tc>
      </w:tr>
      <w:tr w:rsidR="009C5414" w14:paraId="078BDD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9A" w14:textId="77777777" w:rsidR="009C5414" w:rsidRDefault="00000000">
            <w:pPr>
              <w:spacing w:after="40"/>
            </w:pPr>
            <w:r>
              <w:rPr>
                <w:sz w:val="20"/>
                <w:szCs w:val="20"/>
              </w:rPr>
              <w:t>Intertemporal CA check (Ch.7 §7.6)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9B" w14:textId="77777777" w:rsidR="009C5414" w:rsidRDefault="00000000">
            <w:pPr>
              <w:spacing w:after="40"/>
              <w:jc w:val="center"/>
            </w:pPr>
            <w:r>
              <w:rPr>
                <w:b/>
                <w:bCs/>
                <w:color w:val="0070C0"/>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9C" w14:textId="77777777" w:rsidR="009C5414" w:rsidRDefault="00000000">
            <w:pPr>
              <w:spacing w:after="40"/>
              <w:jc w:val="center"/>
            </w:pPr>
            <w:r>
              <w:rPr>
                <w:sz w:val="20"/>
                <w:szCs w:val="20"/>
              </w:rPr>
              <w:t>Low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9D" w14:textId="77777777" w:rsidR="009C5414" w:rsidRDefault="00000000">
            <w:pPr>
              <w:spacing w:after="40"/>
            </w:pPr>
            <w:r>
              <w:rPr>
                <w:sz w:val="20"/>
                <w:szCs w:val="20"/>
              </w:rPr>
              <w:t>Verify NFA convergence in existing IRFs</w:t>
            </w:r>
          </w:p>
        </w:tc>
      </w:tr>
      <w:tr w:rsidR="009C5414" w14:paraId="078BDD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9F" w14:textId="77777777" w:rsidR="009C5414" w:rsidRDefault="00000000">
            <w:pPr>
              <w:spacing w:after="40"/>
            </w:pPr>
            <w:r>
              <w:rPr>
                <w:sz w:val="20"/>
                <w:szCs w:val="20"/>
              </w:rPr>
              <w:t>Labor adjustment costs (Ch.4 §4.5)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A0" w14:textId="77777777" w:rsidR="009C5414" w:rsidRDefault="00000000">
            <w:pPr>
              <w:spacing w:after="40"/>
              <w:jc w:val="center"/>
            </w:pPr>
            <w:r>
              <w:rPr>
                <w:b/>
                <w:bCs/>
                <w:color w:val="0070C0"/>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A1" w14:textId="77777777" w:rsidR="009C5414" w:rsidRDefault="00000000">
            <w:pPr>
              <w:spacing w:after="40"/>
              <w:jc w:val="center"/>
            </w:pPr>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A2" w14:textId="77777777" w:rsidR="009C5414" w:rsidRDefault="00000000">
            <w:pPr>
              <w:spacing w:after="40"/>
            </w:pPr>
            <w:r>
              <w:rPr>
                <w:sz w:val="20"/>
                <w:szCs w:val="20"/>
              </w:rPr>
              <w:t>Optional robustness extension</w:t>
            </w:r>
          </w:p>
        </w:tc>
      </w:tr>
      <w:tr w:rsidR="009C5414" w14:paraId="078BDD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A4" w14:textId="77777777" w:rsidR="009C5414" w:rsidRDefault="00000000">
            <w:pPr>
              <w:spacing w:after="40"/>
            </w:pPr>
            <w:r>
              <w:rPr>
                <w:sz w:val="20"/>
                <w:szCs w:val="20"/>
              </w:rPr>
              <w:t>BGP trend-stationarity (Ch.3 §3.4)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A5" w14:textId="77777777" w:rsidR="009C5414" w:rsidRDefault="00000000">
            <w:pPr>
              <w:spacing w:after="40"/>
              <w:jc w:val="center"/>
            </w:pPr>
            <w:r>
              <w:rPr>
                <w:b/>
                <w:bCs/>
                <w:color w:val="0070C0"/>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A6" w14:textId="77777777" w:rsidR="009C5414" w:rsidRDefault="00000000">
            <w:pPr>
              <w:spacing w:after="40"/>
              <w:jc w:val="center"/>
            </w:pPr>
            <w:r>
              <w:rPr>
                <w:sz w:val="20"/>
                <w:szCs w:val="20"/>
              </w:rPr>
              <w:t>Medium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A7" w14:textId="77777777" w:rsidR="009C5414" w:rsidRDefault="00000000">
            <w:pPr>
              <w:spacing w:after="40"/>
            </w:pPr>
            <w:r>
              <w:rPr>
                <w:sz w:val="20"/>
                <w:szCs w:val="20"/>
              </w:rPr>
              <w:t>Required if renewable TFP has positive trend</w:t>
            </w:r>
          </w:p>
        </w:tc>
      </w:tr>
      <w:tr w:rsidR="009C5414" w14:paraId="078BDD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A9" w14:textId="77777777" w:rsidR="009C5414" w:rsidRDefault="00000000">
            <w:pPr>
              <w:spacing w:after="40"/>
            </w:pPr>
            <w:r>
              <w:rPr>
                <w:sz w:val="20"/>
                <w:szCs w:val="20"/>
              </w:rPr>
              <w:t>Traded/non-traded sector (Ch.7 §7.3)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AA" w14:textId="77777777" w:rsidR="009C5414" w:rsidRDefault="00000000">
            <w:pPr>
              <w:spacing w:after="40"/>
              <w:jc w:val="center"/>
            </w:pPr>
            <w:r>
              <w:rPr>
                <w:b/>
                <w:bCs/>
                <w:color w:val="7F7F7F"/>
                <w:sz w:val="20"/>
                <w:szCs w:val="20"/>
              </w:rPr>
              <w:t>LOW–MED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AB" w14:textId="77777777" w:rsidR="009C5414" w:rsidRDefault="00000000">
            <w:pPr>
              <w:spacing w:after="40"/>
              <w:jc w:val="center"/>
            </w:pPr>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AC" w14:textId="77777777" w:rsidR="009C5414" w:rsidRDefault="00000000">
            <w:pPr>
              <w:spacing w:after="40"/>
            </w:pPr>
            <w:r>
              <w:rPr>
                <w:sz w:val="20"/>
                <w:szCs w:val="20"/>
              </w:rPr>
              <w:t>Appendix extension only</w:t>
            </w:r>
          </w:p>
        </w:tc>
      </w:tr>
      <w:tr w:rsidR="009C5414" w14:paraId="078BDD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AE" w14:textId="77777777" w:rsidR="009C5414" w:rsidRDefault="00000000">
            <w:pPr>
              <w:spacing w:after="40"/>
            </w:pPr>
            <w:r>
              <w:rPr>
                <w:sz w:val="20"/>
                <w:szCs w:val="20"/>
              </w:rPr>
              <w:t>OLG intergenerational model (Ch.6 §6.3)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AF" w14:textId="77777777" w:rsidR="009C5414" w:rsidRDefault="00000000">
            <w:pPr>
              <w:spacing w:after="40"/>
              <w:jc w:val="center"/>
            </w:pPr>
            <w:r>
              <w:rPr>
                <w:b/>
                <w:bCs/>
                <w:color w:val="7F7F7F"/>
                <w:sz w:val="20"/>
                <w:szCs w:val="20"/>
              </w:rPr>
              <w:t>LOW–MED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B0" w14:textId="77777777" w:rsidR="009C5414" w:rsidRDefault="00000000">
            <w:pPr>
              <w:spacing w:after="40"/>
              <w:jc w:val="center"/>
            </w:pPr>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B1" w14:textId="77777777" w:rsidR="009C5414" w:rsidRDefault="00000000">
            <w:pPr>
              <w:spacing w:after="40"/>
            </w:pPr>
            <w:r>
              <w:rPr>
                <w:sz w:val="20"/>
                <w:szCs w:val="20"/>
              </w:rPr>
              <w:t>Thesis extension, not baseline</w:t>
            </w:r>
          </w:p>
        </w:tc>
      </w:tr>
      <w:tr w:rsidR="009C5414" w14:paraId="078BDD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B3" w14:textId="77777777" w:rsidR="009C5414" w:rsidRDefault="00000000">
            <w:pPr>
              <w:spacing w:after="40"/>
            </w:pPr>
            <w:r>
              <w:rPr>
                <w:sz w:val="20"/>
                <w:szCs w:val="20"/>
              </w:rPr>
              <w:t>Grid-in-utility MIU extension (Ch.8 §8.4)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B4" w14:textId="77777777" w:rsidR="009C5414" w:rsidRDefault="00000000">
            <w:pPr>
              <w:spacing w:after="40"/>
              <w:jc w:val="center"/>
            </w:pPr>
            <w:r>
              <w:rPr>
                <w:b/>
                <w:bCs/>
                <w:color w:val="0070C0"/>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B5" w14:textId="77777777" w:rsidR="009C5414" w:rsidRDefault="00000000">
            <w:pPr>
              <w:spacing w:after="40"/>
              <w:jc w:val="center"/>
            </w:pPr>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00" w:type="dxa"/>
            </w:tcMar>
          </w:tcPr>
          <w:p w14:paraId="078BDDB6" w14:textId="77777777" w:rsidR="009C5414" w:rsidRDefault="00000000">
            <w:pPr>
              <w:spacing w:after="40"/>
            </w:pPr>
            <w:r>
              <w:rPr>
                <w:sz w:val="20"/>
                <w:szCs w:val="20"/>
              </w:rPr>
              <w:t>Novel extension — flag for future research</w:t>
            </w:r>
          </w:p>
        </w:tc>
      </w:tr>
      <w:tr w:rsidR="009C5414" w14:paraId="078BDD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B8" w14:textId="77777777" w:rsidR="009C5414" w:rsidRDefault="00000000">
            <w:pPr>
              <w:spacing w:after="40"/>
            </w:pPr>
            <w:r>
              <w:rPr>
                <w:sz w:val="20"/>
                <w:szCs w:val="20"/>
              </w:rPr>
              <w:t>Complete vs. incomplete markets (Ch.11 §11.9)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B9" w14:textId="77777777" w:rsidR="009C5414" w:rsidRDefault="00000000">
            <w:pPr>
              <w:spacing w:after="40"/>
              <w:jc w:val="center"/>
            </w:pPr>
            <w:r>
              <w:rPr>
                <w:b/>
                <w:bCs/>
                <w:color w:val="0070C0"/>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BA" w14:textId="77777777" w:rsidR="009C5414" w:rsidRDefault="00000000">
            <w:pPr>
              <w:spacing w:after="40"/>
              <w:jc w:val="center"/>
            </w:pPr>
            <w:r>
              <w:rPr>
                <w:sz w:val="20"/>
                <w:szCs w:val="20"/>
              </w:rPr>
              <w:t>High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tcPr>
          <w:p w14:paraId="078BDDBB" w14:textId="77777777" w:rsidR="009C5414" w:rsidRDefault="00000000">
            <w:pPr>
              <w:spacing w:after="40"/>
            </w:pPr>
            <w:r>
              <w:rPr>
                <w:sz w:val="20"/>
                <w:szCs w:val="20"/>
              </w:rPr>
              <w:t>Two-agent extension — flag for future research</w:t>
            </w:r>
          </w:p>
        </w:tc>
      </w:tr>
    </w:tbl>
    <w:p w14:paraId="078BDDBD" w14:textId="77777777" w:rsidR="009C5414" w:rsidRDefault="009C5414">
      <w:pPr>
        <w:spacing w:after="240"/>
      </w:pPr>
    </w:p>
    <w:p w14:paraId="078BDDBE" w14:textId="77777777" w:rsidR="009C5414" w:rsidRDefault="00000000">
      <w:pPr>
        <w:pStyle w:val="Heading1"/>
        <w:shd w:val="clear" w:color="auto" w:fill="1F3864"/>
        <w:ind w:left="120"/>
      </w:pPr>
      <w:r>
        <w:rPr>
          <w:color w:val="FFFFFF"/>
        </w:rPr>
        <w:t>X. Consolidated Recommendations</w:t>
      </w:r>
    </w:p>
    <w:p w14:paraId="078BDDBF" w14:textId="77777777" w:rsidR="009C5414" w:rsidRDefault="00000000">
      <w:pPr>
        <w:pStyle w:val="Heading2"/>
        <w:pBdr>
          <w:bottom w:val="single" w:sz="4" w:space="1" w:color="2E75B6"/>
        </w:pBdr>
      </w:pPr>
      <w:r>
        <w:rPr>
          <w:color w:val="1F3864"/>
        </w:rPr>
        <w:lastRenderedPageBreak/>
        <w:t>Immediate Actions (Pre-Defense)</w:t>
      </w:r>
    </w:p>
    <w:p w14:paraId="078BDDC0" w14:textId="77777777" w:rsidR="009C5414" w:rsidRDefault="00000000">
      <w:pPr>
        <w:spacing w:after="120" w:line="276" w:lineRule="auto"/>
      </w:pPr>
      <w:r>
        <w:t>The following changes require no additional state variables and should be incorporated before the thesis defense:</w:t>
      </w:r>
    </w:p>
    <w:p w14:paraId="078BDDC1" w14:textId="77777777" w:rsidR="009C5414" w:rsidRDefault="009C5414">
      <w:pPr>
        <w:spacing w:after="60"/>
      </w:pPr>
    </w:p>
    <w:p w14:paraId="078BDDC2" w14:textId="77777777" w:rsidR="009C5414" w:rsidRDefault="00000000">
      <w:pPr>
        <w:pStyle w:val="ListParagraph"/>
        <w:numPr>
          <w:ilvl w:val="0"/>
          <w:numId w:val="2"/>
        </w:numPr>
        <w:spacing w:after="80" w:line="276" w:lineRule="auto"/>
      </w:pPr>
      <w:r>
        <w:rPr>
          <w:b/>
          <w:bCs/>
        </w:rPr>
        <w:t xml:space="preserve">(1) Document the Euler wedge explicitly. </w:t>
      </w:r>
      <w:r>
        <w:t>In the theory section, write out the distorted Euler equation (1−</w:t>
      </w:r>
      <w:proofErr w:type="gramStart"/>
      <w:r>
        <w:t>τ)(</w:t>
      </w:r>
      <w:proofErr w:type="gramEnd"/>
      <w:r>
        <w:t>1+r*) = 1</w:t>
      </w:r>
      <w:proofErr w:type="gramStart"/>
      <w:r>
        <w:t>/(</w:t>
      </w:r>
      <w:proofErr w:type="gramEnd"/>
      <w:r>
        <w:t xml:space="preserve">β Eₜ[U′(cₜ₊₁)/U′(cₜ)]) and show the steady-state capital gap relative to the </w:t>
      </w:r>
      <w:proofErr w:type="gramStart"/>
      <w:r>
        <w:t>first-best</w:t>
      </w:r>
      <w:proofErr w:type="gramEnd"/>
      <w:r>
        <w:t>. This connects directly to Wickens Ch. 5 §5.7.1 and provides the theoretical grounding for Λ &gt; 0.</w:t>
      </w:r>
    </w:p>
    <w:p w14:paraId="078BDDC3" w14:textId="77777777" w:rsidR="009C5414" w:rsidRDefault="00000000">
      <w:pPr>
        <w:pStyle w:val="ListParagraph"/>
        <w:numPr>
          <w:ilvl w:val="0"/>
          <w:numId w:val="2"/>
        </w:numPr>
        <w:spacing w:after="80" w:line="276" w:lineRule="auto"/>
      </w:pPr>
      <w:r>
        <w:rPr>
          <w:b/>
          <w:bCs/>
        </w:rPr>
        <w:t xml:space="preserve">(2) State Ricardian non-equivalence explicitly. </w:t>
      </w:r>
      <w:r>
        <w:t>In a footnote or remark, note that the proportional tax rule breaks Ricardian equivalence (Wickens §5.4), so the government’s fiscal path matters for equilibrium. If the model assumes Ricardian equivalence, correct this or acknowledge it as a limitation.</w:t>
      </w:r>
    </w:p>
    <w:p w14:paraId="078BDDC4" w14:textId="77777777" w:rsidR="009C5414" w:rsidRDefault="00000000">
      <w:pPr>
        <w:pStyle w:val="ListParagraph"/>
        <w:numPr>
          <w:ilvl w:val="0"/>
          <w:numId w:val="2"/>
        </w:numPr>
        <w:spacing w:after="80" w:line="276" w:lineRule="auto"/>
      </w:pPr>
      <w:r>
        <w:rPr>
          <w:b/>
          <w:bCs/>
        </w:rPr>
        <w:t xml:space="preserve">(3) Verify NFA transversality. </w:t>
      </w:r>
      <w:r>
        <w:t>Check that the NFA variable fₜ in the IRF converges to zero (or the steady-state level). If it diverges, the model violates the CA sustainability condition (Wickens eq. 7.14).</w:t>
      </w:r>
    </w:p>
    <w:p w14:paraId="078BDDC5" w14:textId="77777777" w:rsidR="009C5414" w:rsidRDefault="00000000">
      <w:pPr>
        <w:pStyle w:val="ListParagraph"/>
        <w:numPr>
          <w:ilvl w:val="0"/>
          <w:numId w:val="2"/>
        </w:numPr>
        <w:spacing w:after="80" w:line="276" w:lineRule="auto"/>
      </w:pPr>
      <w:r>
        <w:rPr>
          <w:b/>
          <w:bCs/>
        </w:rPr>
        <w:t xml:space="preserve">(4) Add fiscal sustainability diagnostic. </w:t>
      </w:r>
      <w:r>
        <w:t>Compute π + γ vs. R under the baseline calibration and report whether the debt-to-GDP ratio is stable. This takes one line of code.</w:t>
      </w:r>
    </w:p>
    <w:p w14:paraId="078BDDC6" w14:textId="77777777" w:rsidR="009C5414" w:rsidRDefault="00000000">
      <w:pPr>
        <w:pStyle w:val="ListParagraph"/>
        <w:numPr>
          <w:ilvl w:val="0"/>
          <w:numId w:val="2"/>
        </w:numPr>
        <w:spacing w:after="80" w:line="276" w:lineRule="auto"/>
      </w:pPr>
      <w:r>
        <w:rPr>
          <w:b/>
          <w:bCs/>
        </w:rPr>
        <w:t xml:space="preserve">(5) Cite Chamley–Judd as the policy benchmark. </w:t>
      </w:r>
      <w:r>
        <w:t>In the policy analysis section, explicitly note that τᵏ = 0 is the long-run optimum, and that the proportional rule’s welfare cost Λ measures the distance from this benchmark.</w:t>
      </w:r>
    </w:p>
    <w:p w14:paraId="078BDDC7" w14:textId="77777777" w:rsidR="009C5414" w:rsidRDefault="009C5414">
      <w:pPr>
        <w:spacing w:after="120"/>
      </w:pPr>
    </w:p>
    <w:p w14:paraId="078BDDC8" w14:textId="77777777" w:rsidR="009C5414" w:rsidRDefault="00000000">
      <w:pPr>
        <w:pStyle w:val="Heading2"/>
        <w:pBdr>
          <w:bottom w:val="single" w:sz="4" w:space="1" w:color="2E75B6"/>
        </w:pBdr>
      </w:pPr>
      <w:r>
        <w:rPr>
          <w:color w:val="1F3864"/>
        </w:rPr>
        <w:t>Medium-Priority Extensions (Thesis Appendix)</w:t>
      </w:r>
    </w:p>
    <w:p w14:paraId="078BDDC9" w14:textId="77777777" w:rsidR="009C5414" w:rsidRDefault="00000000">
      <w:pPr>
        <w:pStyle w:val="ListParagraph"/>
        <w:numPr>
          <w:ilvl w:val="0"/>
          <w:numId w:val="2"/>
        </w:numPr>
        <w:spacing w:after="80" w:line="276" w:lineRule="auto"/>
      </w:pPr>
      <w:r>
        <w:rPr>
          <w:b/>
          <w:bCs/>
        </w:rPr>
        <w:t xml:space="preserve">(6) Transactions cost intermittency wedge. </w:t>
      </w:r>
      <w:r>
        <w:t xml:space="preserve">Implement the Feenstra-type wedge </w:t>
      </w:r>
      <w:proofErr w:type="gramStart"/>
      <w:r>
        <w:t>T(</w:t>
      </w:r>
      <w:proofErr w:type="gramEnd"/>
      <w:r>
        <w:t>c, m) ⇔ κ(1−</w:t>
      </w:r>
      <w:proofErr w:type="gramStart"/>
      <w:r>
        <w:t>Rᵉᵉ)τ</w:t>
      </w:r>
      <w:proofErr w:type="gramEnd"/>
      <w:r>
        <w:t xml:space="preserve"> in the Euler equation. Solve the augmented system and report the new welfare cost Λ. This is the strongest available Wickens-grounded extension for the intermittency mechanism.</w:t>
      </w:r>
    </w:p>
    <w:p w14:paraId="078BDDCA" w14:textId="77777777" w:rsidR="009C5414" w:rsidRDefault="00000000">
      <w:pPr>
        <w:pStyle w:val="ListParagraph"/>
        <w:numPr>
          <w:ilvl w:val="0"/>
          <w:numId w:val="2"/>
        </w:numPr>
        <w:spacing w:after="80" w:line="276" w:lineRule="auto"/>
      </w:pPr>
      <w:r>
        <w:rPr>
          <w:b/>
          <w:bCs/>
        </w:rPr>
        <w:t xml:space="preserve">(7) Tax-smoothing counterfactual. </w:t>
      </w:r>
      <w:r>
        <w:t>Solve the model under a constant-τ rule and compare Λ. This directly implements Barro’s (1979) tax-smoothing insight (Wickens §5.7.3) and provides a policy-relevant comparison.</w:t>
      </w:r>
    </w:p>
    <w:p w14:paraId="078BDDCB" w14:textId="77777777" w:rsidR="009C5414" w:rsidRDefault="00000000">
      <w:pPr>
        <w:pStyle w:val="ListParagraph"/>
        <w:numPr>
          <w:ilvl w:val="0"/>
          <w:numId w:val="2"/>
        </w:numPr>
        <w:spacing w:after="80" w:line="276" w:lineRule="auto"/>
      </w:pPr>
      <w:r>
        <w:rPr>
          <w:b/>
          <w:bCs/>
        </w:rPr>
        <w:t xml:space="preserve">(8) C-CAPM battery risk premium. </w:t>
      </w:r>
      <w:r>
        <w:t>Derive and report the implied risk premium on battery investment using Wickens (11.36). This connects the macroeconomic model to asset pricing and Vietnam energy-sector finance.</w:t>
      </w:r>
    </w:p>
    <w:p w14:paraId="078BDDCC" w14:textId="77777777" w:rsidR="009C5414" w:rsidRDefault="009C5414">
      <w:pPr>
        <w:spacing w:after="120"/>
      </w:pPr>
    </w:p>
    <w:p w14:paraId="078BDDCD" w14:textId="77777777" w:rsidR="009C5414" w:rsidRDefault="00000000">
      <w:pPr>
        <w:pStyle w:val="Heading2"/>
        <w:pBdr>
          <w:bottom w:val="single" w:sz="4" w:space="1" w:color="2E75B6"/>
        </w:pBdr>
      </w:pPr>
      <w:r>
        <w:rPr>
          <w:color w:val="1F3864"/>
        </w:rPr>
        <w:t>Future Research Directions</w:t>
      </w:r>
    </w:p>
    <w:p w14:paraId="078BDDCE" w14:textId="77777777" w:rsidR="009C5414" w:rsidRDefault="00000000">
      <w:pPr>
        <w:pStyle w:val="ListParagraph"/>
        <w:numPr>
          <w:ilvl w:val="0"/>
          <w:numId w:val="2"/>
        </w:numPr>
        <w:spacing w:after="80" w:line="276" w:lineRule="auto"/>
      </w:pPr>
      <w:r>
        <w:rPr>
          <w:b/>
          <w:bCs/>
        </w:rPr>
        <w:t xml:space="preserve">(9) Two-agent incomplete-markets extension. </w:t>
      </w:r>
      <w:r>
        <w:t>Replace the RA model with grid-connected and off-grid households to capture distributional welfare costs (Wickens Ch. 11 §11.9).</w:t>
      </w:r>
    </w:p>
    <w:p w14:paraId="078BDDCF" w14:textId="77777777" w:rsidR="009C5414" w:rsidRDefault="00000000">
      <w:pPr>
        <w:pStyle w:val="ListParagraph"/>
        <w:numPr>
          <w:ilvl w:val="0"/>
          <w:numId w:val="2"/>
        </w:numPr>
        <w:spacing w:after="80" w:line="276" w:lineRule="auto"/>
      </w:pPr>
      <w:r>
        <w:rPr>
          <w:b/>
          <w:bCs/>
        </w:rPr>
        <w:t xml:space="preserve">(10) OLG intergenerational model. </w:t>
      </w:r>
      <w:r>
        <w:t>Replace the representative agent with a two-period OLG calibrated to Vietnam’s demographics for a more realistic treatment of infrastructure debt financing (Wickens Ch. 6 §6.3).</w:t>
      </w:r>
    </w:p>
    <w:p w14:paraId="078BDDD0" w14:textId="77777777" w:rsidR="009C5414" w:rsidRDefault="00000000">
      <w:pPr>
        <w:pStyle w:val="ListParagraph"/>
        <w:numPr>
          <w:ilvl w:val="0"/>
          <w:numId w:val="2"/>
        </w:numPr>
        <w:spacing w:after="80" w:line="276" w:lineRule="auto"/>
      </w:pPr>
      <w:r>
        <w:rPr>
          <w:b/>
          <w:bCs/>
        </w:rPr>
        <w:lastRenderedPageBreak/>
        <w:t xml:space="preserve">(11) Traded/non-traded sector. </w:t>
      </w:r>
      <w:r>
        <w:t>Add a non-traded electricity sector alongside the traded manufacturing sector, using Wickens’ CES aggregator (Ch. 7 §7.3).</w:t>
      </w:r>
    </w:p>
    <w:p w14:paraId="078BDDD1" w14:textId="77777777" w:rsidR="009C5414" w:rsidRDefault="009C5414">
      <w:pPr>
        <w:spacing w:after="200"/>
      </w:pPr>
    </w:p>
    <w:p w14:paraId="078BDDD2" w14:textId="77777777" w:rsidR="009C5414" w:rsidRDefault="00000000">
      <w:pPr>
        <w:pStyle w:val="Heading1"/>
        <w:shd w:val="clear" w:color="auto" w:fill="1F3864"/>
        <w:ind w:left="120"/>
      </w:pPr>
      <w:r>
        <w:rPr>
          <w:color w:val="FFFFFF"/>
        </w:rPr>
        <w:t>XI. Conclusion</w:t>
      </w:r>
    </w:p>
    <w:p w14:paraId="078BDDD3" w14:textId="77777777" w:rsidR="009C5414" w:rsidRDefault="00000000">
      <w:pPr>
        <w:spacing w:after="120" w:line="276" w:lineRule="auto"/>
      </w:pPr>
      <w:r>
        <w:t xml:space="preserve">This advisory synthesis identifies </w:t>
      </w:r>
      <w:r>
        <w:rPr>
          <w:b/>
          <w:bCs/>
        </w:rPr>
        <w:t>fifteen substantive extensions</w:t>
      </w:r>
      <w:r>
        <w:t xml:space="preserve"> from Wickens (2012) that bear directly on the Vietnam DSGE capstone model, organized into six theoretical clusters. The most important immediate contributions are: (1) explicitly documenting the distortionary Euler wedge from the proportional tax rule, which provides the structural interpretation of Λ; (2) verifying fiscal sustainability and NFA transversality conditions; and (3) implementing the Feenstra transactions-cost wedge as a formal model of intermittency costs. These three changes transform the capstone from a competent reduced-form simulation into a model with full Wickens-grounded theoretical provenance.</w:t>
      </w:r>
    </w:p>
    <w:p w14:paraId="078BDDD4" w14:textId="77777777" w:rsidR="009C5414" w:rsidRDefault="00000000">
      <w:pPr>
        <w:spacing w:after="120" w:line="276" w:lineRule="auto"/>
      </w:pPr>
      <w:r>
        <w:t>The medium-priority extensions (tax-smoothing counterfactual, C-CAPM risk premium) add genuine thesis contributions with modest coding effort. The long-run extensions (OLG, incomplete markets, traded/non-traded) are identified as future research opportunities, demonstrating awareness of the model’s boundaries.</w:t>
      </w:r>
    </w:p>
    <w:p w14:paraId="078BDDD5" w14:textId="77777777" w:rsidR="009C5414" w:rsidRDefault="00000000">
      <w:pPr>
        <w:spacing w:after="120" w:line="276" w:lineRule="auto"/>
      </w:pPr>
      <w:r>
        <w:t>In aggregate, Wickens (2012) validates the capstone’s core architecture while providing a rigorous framework to critique and strengthen its fiscal, monetary, and asset-pricing dimensions. Implementing even the immediate-action items would substantially elevate the thesis’s theoretical contribution.</w:t>
      </w:r>
    </w:p>
    <w:p w14:paraId="078BDDD6" w14:textId="77777777" w:rsidR="009C5414" w:rsidRDefault="009C5414">
      <w:pPr>
        <w:spacing w:after="200"/>
      </w:pPr>
    </w:p>
    <w:p w14:paraId="078BDDD7" w14:textId="77777777" w:rsidR="009C5414" w:rsidRDefault="009C5414">
      <w:pPr>
        <w:pBdr>
          <w:bottom w:val="single" w:sz="6" w:space="1" w:color="2E75B6"/>
        </w:pBdr>
      </w:pPr>
    </w:p>
    <w:p w14:paraId="078BDDD8" w14:textId="77777777" w:rsidR="009C5414" w:rsidRDefault="00000000">
      <w:pPr>
        <w:spacing w:after="40" w:line="276" w:lineRule="auto"/>
      </w:pPr>
      <w:r>
        <w:rPr>
          <w:i/>
          <w:iCs/>
        </w:rPr>
        <w:t>Wickens, M. (2012). Macroeconomic Theory: A Dynamic General Equilibrium Approach. 2nd ed. Princeton University Press. Chapters 3–11.</w:t>
      </w:r>
    </w:p>
    <w:p w14:paraId="078BDDD9" w14:textId="77777777" w:rsidR="009C5414" w:rsidRDefault="00000000">
      <w:pPr>
        <w:spacing w:after="40" w:line="276" w:lineRule="auto"/>
      </w:pPr>
      <w:r>
        <w:rPr>
          <w:i/>
          <w:iCs/>
        </w:rPr>
        <w:t>Lucas, R.E. (1987). Models of Business Cycles. Basil Blackwell.</w:t>
      </w:r>
      <w:r>
        <w:t xml:space="preserve">  </w:t>
      </w:r>
      <w:proofErr w:type="gramStart"/>
      <w:r>
        <w:t xml:space="preserve">|  </w:t>
      </w:r>
      <w:r>
        <w:rPr>
          <w:i/>
          <w:iCs/>
        </w:rPr>
        <w:t>Chamley</w:t>
      </w:r>
      <w:proofErr w:type="gramEnd"/>
      <w:r>
        <w:rPr>
          <w:i/>
          <w:iCs/>
        </w:rPr>
        <w:t xml:space="preserve">, C. (1986). Optimal Taxation of Capital Income in General Equilibrium. </w:t>
      </w:r>
      <w:proofErr w:type="spellStart"/>
      <w:r>
        <w:rPr>
          <w:i/>
          <w:iCs/>
        </w:rPr>
        <w:t>Econometrica</w:t>
      </w:r>
      <w:proofErr w:type="spellEnd"/>
      <w:r>
        <w:rPr>
          <w:i/>
          <w:iCs/>
        </w:rPr>
        <w:t xml:space="preserve"> 54(3): 607–622.</w:t>
      </w:r>
      <w:r>
        <w:t xml:space="preserve">  </w:t>
      </w:r>
      <w:proofErr w:type="gramStart"/>
      <w:r>
        <w:t xml:space="preserve">|  </w:t>
      </w:r>
      <w:r>
        <w:rPr>
          <w:i/>
          <w:iCs/>
        </w:rPr>
        <w:t>Blanchard</w:t>
      </w:r>
      <w:proofErr w:type="gramEnd"/>
      <w:r>
        <w:rPr>
          <w:i/>
          <w:iCs/>
        </w:rPr>
        <w:t xml:space="preserve">, O. &amp; Kahn, C. (1980). The Solution of Linear Difference Models under Rational Expectations. </w:t>
      </w:r>
      <w:proofErr w:type="spellStart"/>
      <w:r>
        <w:rPr>
          <w:i/>
          <w:iCs/>
        </w:rPr>
        <w:t>Econometrica</w:t>
      </w:r>
      <w:proofErr w:type="spellEnd"/>
      <w:r>
        <w:rPr>
          <w:i/>
          <w:iCs/>
        </w:rPr>
        <w:t xml:space="preserve"> 48(5): 1305–1311.</w:t>
      </w:r>
    </w:p>
    <w:sectPr w:rsidR="009C541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8567" w14:textId="77777777" w:rsidR="00CB47AE" w:rsidRDefault="00CB47AE">
      <w:r>
        <w:separator/>
      </w:r>
    </w:p>
  </w:endnote>
  <w:endnote w:type="continuationSeparator" w:id="0">
    <w:p w14:paraId="1A7E179D" w14:textId="77777777" w:rsidR="00CB47AE" w:rsidRDefault="00CB4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DDDB" w14:textId="4572A543" w:rsidR="009C5414" w:rsidRDefault="00000000">
    <w:pPr>
      <w:pBdr>
        <w:top w:val="single" w:sz="4" w:space="1" w:color="2E75B6"/>
      </w:pBdr>
    </w:pPr>
    <w:r>
      <w:rPr>
        <w:color w:val="777777"/>
        <w:sz w:val="18"/>
        <w:szCs w:val="18"/>
      </w:rPr>
      <w:t xml:space="preserve">Wickens (2012) </w:t>
    </w:r>
    <w:proofErr w:type="gramStart"/>
    <w:r>
      <w:rPr>
        <w:color w:val="777777"/>
        <w:sz w:val="18"/>
        <w:szCs w:val="18"/>
      </w:rPr>
      <w:t>Extensions  |</w:t>
    </w:r>
    <w:proofErr w:type="gramEnd"/>
    <w:r>
      <w:rPr>
        <w:color w:val="777777"/>
        <w:sz w:val="18"/>
        <w:szCs w:val="18"/>
      </w:rPr>
      <w:t xml:space="preserve">  Vietnam Renewable Energy </w:t>
    </w:r>
    <w:proofErr w:type="gramStart"/>
    <w:r>
      <w:rPr>
        <w:color w:val="777777"/>
        <w:sz w:val="18"/>
        <w:szCs w:val="18"/>
      </w:rPr>
      <w:t>DSGE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4F777C">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4F777C">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F5F7E" w14:textId="77777777" w:rsidR="00CB47AE" w:rsidRDefault="00CB47AE">
      <w:r>
        <w:separator/>
      </w:r>
    </w:p>
  </w:footnote>
  <w:footnote w:type="continuationSeparator" w:id="0">
    <w:p w14:paraId="3AD717AB" w14:textId="77777777" w:rsidR="00CB47AE" w:rsidRDefault="00CB4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DDDA" w14:textId="77777777" w:rsidR="009C5414" w:rsidRDefault="00000000">
    <w:pPr>
      <w:pBdr>
        <w:bottom w:val="single" w:sz="4" w:space="1" w:color="2E75B6"/>
      </w:pBdr>
      <w:tabs>
        <w:tab w:val="right" w:pos="9026"/>
      </w:tabs>
    </w:pPr>
    <w:r>
      <w:rPr>
        <w:b/>
        <w:bCs/>
        <w:color w:val="1F3864"/>
        <w:sz w:val="18"/>
        <w:szCs w:val="18"/>
      </w:rPr>
      <w:t xml:space="preserve">ADVISORY </w:t>
    </w:r>
    <w:proofErr w:type="gramStart"/>
    <w:r>
      <w:rPr>
        <w:b/>
        <w:bCs/>
        <w:color w:val="1F3864"/>
        <w:sz w:val="18"/>
        <w:szCs w:val="18"/>
      </w:rPr>
      <w:t xml:space="preserve">MEMO  </w:t>
    </w:r>
    <w:r>
      <w:rPr>
        <w:color w:val="555555"/>
        <w:sz w:val="18"/>
        <w:szCs w:val="18"/>
      </w:rPr>
      <w:t>|</w:t>
    </w:r>
    <w:proofErr w:type="gramEnd"/>
    <w:r>
      <w:rPr>
        <w:color w:val="555555"/>
        <w:sz w:val="18"/>
        <w:szCs w:val="18"/>
      </w:rPr>
      <w:t xml:space="preserve"> Vietnam DSGE Capstone — Wickens (2012) Extensions Synthesis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C06EA"/>
    <w:multiLevelType w:val="hybridMultilevel"/>
    <w:tmpl w:val="B9488E84"/>
    <w:lvl w:ilvl="0" w:tplc="C1DA519E">
      <w:start w:val="1"/>
      <w:numFmt w:val="decimal"/>
      <w:lvlText w:val="%1."/>
      <w:lvlJc w:val="left"/>
      <w:pPr>
        <w:ind w:left="720" w:hanging="360"/>
      </w:pPr>
    </w:lvl>
    <w:lvl w:ilvl="1" w:tplc="7CEA82F4">
      <w:numFmt w:val="decimal"/>
      <w:lvlText w:val=""/>
      <w:lvlJc w:val="left"/>
    </w:lvl>
    <w:lvl w:ilvl="2" w:tplc="30EE9FD8">
      <w:numFmt w:val="decimal"/>
      <w:lvlText w:val=""/>
      <w:lvlJc w:val="left"/>
    </w:lvl>
    <w:lvl w:ilvl="3" w:tplc="A574BFBC">
      <w:numFmt w:val="decimal"/>
      <w:lvlText w:val=""/>
      <w:lvlJc w:val="left"/>
    </w:lvl>
    <w:lvl w:ilvl="4" w:tplc="03E6E288">
      <w:numFmt w:val="decimal"/>
      <w:lvlText w:val=""/>
      <w:lvlJc w:val="left"/>
    </w:lvl>
    <w:lvl w:ilvl="5" w:tplc="2C807E84">
      <w:numFmt w:val="decimal"/>
      <w:lvlText w:val=""/>
      <w:lvlJc w:val="left"/>
    </w:lvl>
    <w:lvl w:ilvl="6" w:tplc="156E9BA6">
      <w:numFmt w:val="decimal"/>
      <w:lvlText w:val=""/>
      <w:lvlJc w:val="left"/>
    </w:lvl>
    <w:lvl w:ilvl="7" w:tplc="96549A62">
      <w:numFmt w:val="decimal"/>
      <w:lvlText w:val=""/>
      <w:lvlJc w:val="left"/>
    </w:lvl>
    <w:lvl w:ilvl="8" w:tplc="253E3AFE">
      <w:numFmt w:val="decimal"/>
      <w:lvlText w:val=""/>
      <w:lvlJc w:val="left"/>
    </w:lvl>
  </w:abstractNum>
  <w:abstractNum w:abstractNumId="1" w15:restartNumberingAfterBreak="0">
    <w:nsid w:val="1B9D1151"/>
    <w:multiLevelType w:val="hybridMultilevel"/>
    <w:tmpl w:val="C4A0A6AA"/>
    <w:lvl w:ilvl="0" w:tplc="7C789F8A">
      <w:start w:val="1"/>
      <w:numFmt w:val="bullet"/>
      <w:lvlText w:val="●"/>
      <w:lvlJc w:val="left"/>
      <w:pPr>
        <w:ind w:left="720" w:hanging="360"/>
      </w:pPr>
    </w:lvl>
    <w:lvl w:ilvl="1" w:tplc="15108218">
      <w:start w:val="1"/>
      <w:numFmt w:val="bullet"/>
      <w:lvlText w:val="○"/>
      <w:lvlJc w:val="left"/>
      <w:pPr>
        <w:ind w:left="1440" w:hanging="360"/>
      </w:pPr>
    </w:lvl>
    <w:lvl w:ilvl="2" w:tplc="69D202BE">
      <w:start w:val="1"/>
      <w:numFmt w:val="bullet"/>
      <w:lvlText w:val="■"/>
      <w:lvlJc w:val="left"/>
      <w:pPr>
        <w:ind w:left="2160" w:hanging="360"/>
      </w:pPr>
    </w:lvl>
    <w:lvl w:ilvl="3" w:tplc="965E1416">
      <w:start w:val="1"/>
      <w:numFmt w:val="bullet"/>
      <w:lvlText w:val="●"/>
      <w:lvlJc w:val="left"/>
      <w:pPr>
        <w:ind w:left="2880" w:hanging="360"/>
      </w:pPr>
    </w:lvl>
    <w:lvl w:ilvl="4" w:tplc="E99A7D20">
      <w:start w:val="1"/>
      <w:numFmt w:val="bullet"/>
      <w:lvlText w:val="○"/>
      <w:lvlJc w:val="left"/>
      <w:pPr>
        <w:ind w:left="3600" w:hanging="360"/>
      </w:pPr>
    </w:lvl>
    <w:lvl w:ilvl="5" w:tplc="C268A12A">
      <w:start w:val="1"/>
      <w:numFmt w:val="bullet"/>
      <w:lvlText w:val="■"/>
      <w:lvlJc w:val="left"/>
      <w:pPr>
        <w:ind w:left="4320" w:hanging="360"/>
      </w:pPr>
    </w:lvl>
    <w:lvl w:ilvl="6" w:tplc="3522B3FE">
      <w:start w:val="1"/>
      <w:numFmt w:val="bullet"/>
      <w:lvlText w:val="●"/>
      <w:lvlJc w:val="left"/>
      <w:pPr>
        <w:ind w:left="5040" w:hanging="360"/>
      </w:pPr>
    </w:lvl>
    <w:lvl w:ilvl="7" w:tplc="C72A53FE">
      <w:start w:val="1"/>
      <w:numFmt w:val="bullet"/>
      <w:lvlText w:val="●"/>
      <w:lvlJc w:val="left"/>
      <w:pPr>
        <w:ind w:left="5760" w:hanging="360"/>
      </w:pPr>
    </w:lvl>
    <w:lvl w:ilvl="8" w:tplc="9552E0E8">
      <w:start w:val="1"/>
      <w:numFmt w:val="bullet"/>
      <w:lvlText w:val="●"/>
      <w:lvlJc w:val="left"/>
      <w:pPr>
        <w:ind w:left="6480" w:hanging="360"/>
      </w:pPr>
    </w:lvl>
  </w:abstractNum>
  <w:abstractNum w:abstractNumId="2" w15:restartNumberingAfterBreak="0">
    <w:nsid w:val="35D31FDD"/>
    <w:multiLevelType w:val="hybridMultilevel"/>
    <w:tmpl w:val="44560834"/>
    <w:lvl w:ilvl="0" w:tplc="2DF8D8D4">
      <w:start w:val="1"/>
      <w:numFmt w:val="bullet"/>
      <w:lvlText w:val="•"/>
      <w:lvlJc w:val="left"/>
      <w:pPr>
        <w:ind w:left="720" w:hanging="360"/>
      </w:pPr>
    </w:lvl>
    <w:lvl w:ilvl="1" w:tplc="F690B666">
      <w:start w:val="1"/>
      <w:numFmt w:val="bullet"/>
      <w:lvlText w:val="◦"/>
      <w:lvlJc w:val="left"/>
      <w:pPr>
        <w:ind w:left="1080" w:hanging="360"/>
      </w:pPr>
    </w:lvl>
    <w:lvl w:ilvl="2" w:tplc="E3EEB9EA">
      <w:numFmt w:val="decimal"/>
      <w:lvlText w:val=""/>
      <w:lvlJc w:val="left"/>
    </w:lvl>
    <w:lvl w:ilvl="3" w:tplc="F7844B5E">
      <w:numFmt w:val="decimal"/>
      <w:lvlText w:val=""/>
      <w:lvlJc w:val="left"/>
    </w:lvl>
    <w:lvl w:ilvl="4" w:tplc="D7EADAD0">
      <w:numFmt w:val="decimal"/>
      <w:lvlText w:val=""/>
      <w:lvlJc w:val="left"/>
    </w:lvl>
    <w:lvl w:ilvl="5" w:tplc="168095D0">
      <w:numFmt w:val="decimal"/>
      <w:lvlText w:val=""/>
      <w:lvlJc w:val="left"/>
    </w:lvl>
    <w:lvl w:ilvl="6" w:tplc="B9B4D5AC">
      <w:numFmt w:val="decimal"/>
      <w:lvlText w:val=""/>
      <w:lvlJc w:val="left"/>
    </w:lvl>
    <w:lvl w:ilvl="7" w:tplc="AE80EB08">
      <w:numFmt w:val="decimal"/>
      <w:lvlText w:val=""/>
      <w:lvlJc w:val="left"/>
    </w:lvl>
    <w:lvl w:ilvl="8" w:tplc="182EE132">
      <w:numFmt w:val="decimal"/>
      <w:lvlText w:val=""/>
      <w:lvlJc w:val="left"/>
    </w:lvl>
  </w:abstractNum>
  <w:num w:numId="1" w16cid:durableId="748500981">
    <w:abstractNumId w:val="1"/>
    <w:lvlOverride w:ilvl="0">
      <w:startOverride w:val="1"/>
    </w:lvlOverride>
  </w:num>
  <w:num w:numId="2" w16cid:durableId="15920823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414"/>
    <w:rsid w:val="004F777C"/>
    <w:rsid w:val="009C5414"/>
    <w:rsid w:val="00B22CE7"/>
    <w:rsid w:val="00CB4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BDCAF"/>
  <w15:docId w15:val="{279E7F08-1DCC-4E98-A9BE-98B102AC2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spacing w:before="20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4553</Words>
  <Characters>25956</Characters>
  <Application>Microsoft Office Word</Application>
  <DocSecurity>0</DocSecurity>
  <Lines>216</Lines>
  <Paragraphs>60</Paragraphs>
  <ScaleCrop>false</ScaleCrop>
  <Company/>
  <LinksUpToDate>false</LinksUpToDate>
  <CharactersWithSpaces>30449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Wickens DSGE Extensions Advisory Memo</dc:title>
  <dc:creator>Research Advisory</dc:creator>
  <dc:description>Advisory synthesis memo: Wickens (2012) extensions for Vietnam DSGE capstone</dc:description>
  <cp:lastModifiedBy>Toàn Nguyễn</cp:lastModifiedBy>
  <cp:revision>2</cp:revision>
  <dcterms:created xsi:type="dcterms:W3CDTF">2026-03-21T09:10:00Z</dcterms:created>
  <dcterms:modified xsi:type="dcterms:W3CDTF">2026-03-21T09:21:00Z</dcterms:modified>
</cp:coreProperties>
</file>