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
        <w:spacing w:after="120"/>
      </w:pPr>
      <w:r>
        <w:rPr>
          <w:b/>
          <w:color w:val="000000"/>
          <w:sz w:val="34"/>
        </w:rPr>
        <w:t>Reflexión del proyecto LICING</w:t>
      </w:r>
    </w:p>
    <w:p>
      <w:pPr>
        <w:spacing w:after="60"/>
      </w:pPr>
      <w:r>
        <w:t>Thomas Leighton · APT122 · Fase 2</w:t>
      </w:r>
    </w:p>
    <w:p>
      <w:r>
        <w:rPr>
          <w:sz w:val="20"/>
        </w:rPr>
        <w:t>Equipo  Thomas Leighton, Diego Sandoval y Miguel Mancilla</w:t>
        <w:br/>
        <w:t>Cliente  Hotel Plaza San Francisco</w:t>
        <w:br/>
        <w:t>Docente  Arturo Vargas · Antecedentes al 25 de octubre de 2026</w:t>
      </w:r>
    </w:p>
    <w:p>
      <w:r>
        <w:rPr>
          <w:sz w:val="18"/>
        </w:rPr>
        <w:t>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w:t>
      </w:r>
    </w:p>
    <w:p>
      <w:r>
        <w:rPr>
          <w:sz w:val="18"/>
        </w:rPr>
        <w:t>La reflexión se basa en el avance documentado de LICING y en la revisión c5beed4 del repositorio. El cierre de cada actividad debe contrastarse con la carta Gantt y sus evidencias.</w:t>
      </w:r>
    </w:p>
    <w:tbl>
      <w:tblPr>
        <w:tblStyle w:val="Tablaconcuadrcula"/>
        <w:tblW w:w="0" w:type="auto"/>
        <w:tblBorders>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0080"/>
      </w:tblGrid>
      <w:tr w:rsidR="004F2A8B" w14:paraId="0CADB624" w14:textId="77777777" w:rsidTr="3D28A338">
        <w:trPr>
          <w:trHeight/>
          <w:cantSplit/>
        </w:trPr>
        <w:tc>
          <w:tcPr>
            <w:tcW w:w="10076" w:type="dxa"/>
            <w:vAlign w:val="center"/>
            <w:tcMar>
              <w:top w:w="70" w:type="dxa"/>
              <w:left w:w="100" w:type="dxa"/>
              <w:bottom w:w="70" w:type="dxa"/>
              <w:right w:w="100" w:type="dxa"/>
            </w:tcMar>
            <w:shd w:fill="DFEAF4" w:val="clear"/>
          </w:tcPr>
          <w:p>
            <w:pPr>
              <w:keepNext/>
              <w:spacing w:after="0"/>
            </w:pPr>
            <w:r>
              <w:rPr>
                <w:b/>
                <w:color w:val="000000"/>
                <w:sz w:val="22"/>
              </w:rPr>
              <w:t>1 Avances respecto de la planificación</w:t>
            </w:r>
          </w:p>
        </w:tc>
      </w:tr>
      <w:tr w:rsidR="004F2A8B" w14:paraId="6ED2840D" w14:textId="77777777" w:rsidTr="3D28A338">
        <w:trPr>
          <w:trHeight/>
          <w:cantSplit/>
        </w:trPr>
        <w:tc>
          <w:tcPr>
            <w:tcW w:w="10076" w:type="dxa"/>
            <w:shd w:fill="FFFFFF" w:val="clear"/>
            <w:vAlign w:val="center"/>
            <w:tcMar>
              <w:top w:w="70" w:type="dxa"/>
              <w:left w:w="100" w:type="dxa"/>
              <w:bottom w:w="70" w:type="dxa"/>
              <w:right w:w="100" w:type="dxa"/>
            </w:tcMar>
          </w:tcPr>
          <w:p>
            <w:pPr>
              <w:spacing w:after="140"/>
            </w:pPr>
            <w:r>
              <w:rPr>
                <w:b/>
                <w:sz w:val="21"/>
              </w:rPr>
              <w:t>¿Has podido cumplir todas las actividades en los tiempos definidos? ¿Qué factores han facilitado o dificultado el desarrollo de las actividades de tu plan de trabajo?</w:t>
            </w:r>
          </w:p>
          <w:p>
            <w:pPr>
              <w:spacing w:line="259" w:lineRule="auto" w:after="120"/>
            </w:pPr>
            <w:r>
              <w:rPr>
                <w:color w:val="000000"/>
                <w:sz w:val="22"/>
              </w:rPr>
              <w:t>Aún tenemos actividades pendientes y no podemos considerar cumplido todo el plan de trabajo. El avance más concreto está en la obtención y consulta de licitaciones y Compras Ágiles, las fichas de oportunidades y su preselección para el hotel. También contamos con un dashboard y una publicación en Vercel. Debemos contrastar estos resultados con las fechas de la carta Gantt para precisar qué actividades requieren reprogramación.</w:t>
            </w:r>
          </w:p>
          <w:p>
            <w:pPr>
              <w:spacing w:line="259" w:lineRule="auto" w:after="120"/>
            </w:pPr>
            <w:r>
              <w:rPr>
                <w:color w:val="000000"/>
                <w:sz w:val="22"/>
              </w:rPr>
              <w:t>El uso de GitHub, las pruebas registradas y la integración de la interfaz con la API han facilitado el avance. Las dificultades se concentran en los tiempos de procesamiento, la lectura de documentos y los falsos positivos de clasificación. Además, el seguimiento comercial y la reportería siguen pendientes. Para la evaluación del 28 de octubre necesitamos acreditar seis de los once casos de uso completos y probados; esa meta todavía no está demostrada.</w:t>
            </w:r>
          </w:p>
        </w:tc>
      </w:tr>
    </w:tbl>
    <w:p>
      <w:pPr>
        <w:spacing w:after="60" w:before="0" w:line="240" w:lineRule="auto"/>
      </w:pPr>
      <w:r>
        <w:rPr>
          <w:sz w:val="6"/>
        </w:rPr>
      </w:r>
    </w:p>
    <w:tbl>
      <w:tblPr>
        <w:tblStyle w:val="Tablaconcuadrcula"/>
        <w:tblW w:w="0" w:type="auto"/>
        <w:tblBorders>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0080"/>
      </w:tblGrid>
      <w:tr w:rsidR="004F2A8B" w14:paraId="470EE228" w14:textId="77777777" w:rsidTr="3D28A338">
        <w:trPr>
          <w:trHeight/>
          <w:cantSplit/>
        </w:trPr>
        <w:tc>
          <w:tcPr>
            <w:tcW w:w="10076" w:type="dxa"/>
            <w:vAlign w:val="center"/>
            <w:tcMar>
              <w:top w:w="70" w:type="dxa"/>
              <w:left w:w="100" w:type="dxa"/>
              <w:bottom w:w="70" w:type="dxa"/>
              <w:right w:w="100" w:type="dxa"/>
            </w:tcMar>
            <w:shd w:fill="DFEAF4" w:val="clear"/>
          </w:tcPr>
          <w:p>
            <w:pPr>
              <w:keepNext/>
              <w:spacing w:after="0"/>
            </w:pPr>
            <w:r>
              <w:rPr>
                <w:b/>
                <w:color w:val="000000"/>
                <w:sz w:val="22"/>
              </w:rPr>
              <w:t>2 Manejo de las dificultades</w:t>
            </w:r>
          </w:p>
        </w:tc>
      </w:tr>
      <w:tr w:rsidR="004F2A8B" w14:paraId="49566276" w14:textId="77777777" w:rsidTr="3D28A338">
        <w:trPr>
          <w:trHeight/>
          <w:cantSplit/>
        </w:trPr>
        <w:tc>
          <w:tcPr>
            <w:tcW w:w="10076" w:type="dxa"/>
            <w:shd w:fill="FFFFFF" w:val="clear"/>
            <w:vAlign w:val="center"/>
            <w:tcMar>
              <w:top w:w="70" w:type="dxa"/>
              <w:left w:w="100" w:type="dxa"/>
              <w:bottom w:w="70" w:type="dxa"/>
              <w:right w:w="100" w:type="dxa"/>
            </w:tcMar>
          </w:tcPr>
          <w:p>
            <w:pPr>
              <w:spacing w:after="140"/>
            </w:pPr>
            <w:r>
              <w:rPr>
                <w:b/>
                <w:sz w:val="21"/>
              </w:rPr>
              <w:t>¿De qué manera has enfrentado y/o planeas enfrentar las dificultades que han afectado el desarrollo de tu Proyecto APT?</w:t>
            </w:r>
          </w:p>
          <w:p>
            <w:pPr>
              <w:spacing w:line="259" w:lineRule="auto" w:after="120"/>
            </w:pPr>
            <w:r>
              <w:rPr>
                <w:color w:val="000000"/>
                <w:sz w:val="22"/>
              </w:rPr>
              <w:t>Hemos abordado los errores de clasificación ajustando las reglas y agregando pruebas de regresión. Por ejemplo, se corrigieron oportunidades que confundían alimentación eléctrica con alimentación de personas. También se incorporó el guardado del avance por grupos en Compra Ágil para permitir la continuidad del procesamiento. Estas correcciones deben comprobarse en la versión publicada.</w:t>
            </w:r>
          </w:p>
          <w:p>
            <w:pPr>
              <w:spacing w:line="259" w:lineRule="auto" w:after="120"/>
            </w:pPr>
            <w:r>
              <w:rPr>
                <w:color w:val="000000"/>
                <w:sz w:val="22"/>
              </w:rPr>
              <w:t>Para el siguiente ciclo proponemos priorizar el recorrido de ingreso, consulta, ficha, preselección y dashboard. Registraremos los pasos, el resultado esperado y el obtenido, junto con la versión y las capturas. Las funciones que dependen de datos temporales deben mantenerse identificadas como demostración. También necesitamos revisar los fallos pendientes de lectura PDF y solicitar retroalimentación del hotel sobre una muestra de oportunidades.</w:t>
            </w:r>
          </w:p>
        </w:tc>
      </w:tr>
    </w:tbl>
    <w:p>
      <w:r>
        <w:br w:type="page"/>
      </w:r>
    </w:p>
    <w:tbl>
      <w:tblPr>
        <w:tblStyle w:val="Tablaconcuadrcula"/>
        <w:tblW w:w="0" w:type="auto"/>
        <w:tblBorders>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0080"/>
      </w:tblGrid>
      <w:tr w:rsidR="004F2A8B" w14:paraId="30581879" w14:textId="77777777" w:rsidTr="3D28A338">
        <w:trPr>
          <w:trHeight/>
          <w:cantSplit/>
        </w:trPr>
        <w:tc>
          <w:tcPr>
            <w:tcW w:w="10076" w:type="dxa"/>
            <w:vAlign w:val="center"/>
            <w:tcMar>
              <w:top w:w="70" w:type="dxa"/>
              <w:left w:w="100" w:type="dxa"/>
              <w:bottom w:w="70" w:type="dxa"/>
              <w:right w:w="100" w:type="dxa"/>
            </w:tcMar>
            <w:shd w:fill="DFEAF4" w:val="clear"/>
          </w:tcPr>
          <w:p>
            <w:pPr>
              <w:keepNext/>
              <w:spacing w:after="0"/>
            </w:pPr>
            <w:r>
              <w:rPr>
                <w:b/>
                <w:color w:val="000000"/>
                <w:sz w:val="22"/>
              </w:rPr>
              <w:t>3 Evaluación de nuestro trabajo</w:t>
            </w:r>
          </w:p>
        </w:tc>
      </w:tr>
      <w:tr w:rsidR="004F2A8B" w14:paraId="6AA73947" w14:textId="77777777" w:rsidTr="3D28A338">
        <w:trPr>
          <w:trHeight/>
          <w:cantSplit/>
        </w:trPr>
        <w:tc>
          <w:tcPr>
            <w:tcW w:w="10076" w:type="dxa"/>
            <w:shd w:fill="FFFFFF" w:val="clear"/>
            <w:vAlign w:val="center"/>
            <w:tcMar>
              <w:top w:w="70" w:type="dxa"/>
              <w:left w:w="100" w:type="dxa"/>
              <w:bottom w:w="70" w:type="dxa"/>
              <w:right w:w="100" w:type="dxa"/>
            </w:tcMar>
          </w:tcPr>
          <w:p>
            <w:pPr>
              <w:spacing w:after="140"/>
            </w:pPr>
            <w:r>
              <w:rPr>
                <w:b/>
                <w:sz w:val="21"/>
              </w:rPr>
              <w:t>¿Cómo evalúas tu trabajo? ¿Qué destacas y qué podrías hacer para mejorar tu trabajo?</w:t>
            </w:r>
          </w:p>
          <w:p>
            <w:pPr>
              <w:spacing w:line="259" w:lineRule="auto" w:after="120"/>
            </w:pPr>
            <w:r>
              <w:rPr>
                <w:color w:val="000000"/>
                <w:sz w:val="22"/>
              </w:rPr>
              <w:t>Evaluamos el avance técnico como positivo, aunque el proyecto todavía requiere cierres funcionales y evidencia de uso. Destacamos la integración de los datos con la interfaz y la posibilidad de explicar por qué una oportunidad se preselecciona, se descarta o requiere revisión. Las correcciones de términos ambiguos muestran que las reglas deben probarse con ejemplos concretos del contexto hotelero.</w:t>
            </w:r>
          </w:p>
          <w:p>
            <w:pPr>
              <w:spacing w:line="259" w:lineRule="auto" w:after="120"/>
            </w:pPr>
            <w:r>
              <w:rPr>
                <w:color w:val="000000"/>
                <w:sz w:val="22"/>
              </w:rPr>
              <w:t>Nuestra principal mejora debe ser definir qué significa terminar cada actividad. Una pantalla disponible o una compilación correcta no bastan para cerrar un caso de uso. Debemos comprobar su recorrido completo, la persistencia de sus cambios y sus errores esperados. También necesitamos mantener alineados el informe, el README y el Excel semanal, distinguiendo lo implementado, lo probado y lo pendiente.</w:t>
            </w:r>
          </w:p>
        </w:tc>
      </w:tr>
    </w:tbl>
    <w:p>
      <w:pPr>
        <w:spacing w:after="60" w:before="0" w:line="240" w:lineRule="auto"/>
      </w:pPr>
      <w:r>
        <w:rPr>
          <w:sz w:val="6"/>
        </w:rPr>
      </w:r>
    </w:p>
    <w:tbl>
      <w:tblPr>
        <w:tblStyle w:val="Tablaconcuadrcula"/>
        <w:tblW w:w="0" w:type="auto"/>
        <w:tblBorders>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0080"/>
      </w:tblGrid>
      <w:tr w:rsidR="004F2A8B" w14:paraId="7AB5404D" w14:textId="77777777" w:rsidTr="3D28A338">
        <w:trPr>
          <w:trHeight/>
          <w:cantSplit/>
        </w:trPr>
        <w:tc>
          <w:tcPr>
            <w:tcW w:w="10076" w:type="dxa"/>
            <w:vAlign w:val="center"/>
            <w:tcMar>
              <w:top w:w="70" w:type="dxa"/>
              <w:left w:w="100" w:type="dxa"/>
              <w:bottom w:w="70" w:type="dxa"/>
              <w:right w:w="100" w:type="dxa"/>
            </w:tcMar>
            <w:shd w:fill="DFEAF4" w:val="clear"/>
          </w:tcPr>
          <w:p>
            <w:pPr>
              <w:keepNext/>
              <w:spacing w:after="0"/>
            </w:pPr>
            <w:r>
              <w:rPr>
                <w:b/>
                <w:color w:val="000000"/>
                <w:sz w:val="22"/>
              </w:rPr>
              <w:t>4 Inquietudes y retroalimentación</w:t>
            </w:r>
          </w:p>
        </w:tc>
      </w:tr>
      <w:tr w:rsidR="004F2A8B" w14:paraId="73E50CEC" w14:textId="77777777" w:rsidTr="3D28A338">
        <w:trPr>
          <w:trHeight/>
          <w:cantSplit/>
        </w:trPr>
        <w:tc>
          <w:tcPr>
            <w:tcW w:w="10076" w:type="dxa"/>
            <w:shd w:fill="FFFFFF" w:val="clear"/>
            <w:vAlign w:val="center"/>
            <w:tcMar>
              <w:top w:w="70" w:type="dxa"/>
              <w:left w:w="100" w:type="dxa"/>
              <w:bottom w:w="70" w:type="dxa"/>
              <w:right w:w="100" w:type="dxa"/>
            </w:tcMar>
          </w:tcPr>
          <w:p>
            <w:pPr>
              <w:spacing w:after="140"/>
            </w:pPr>
            <w:r>
              <w:rPr>
                <w:b/>
                <w:sz w:val="21"/>
              </w:rPr>
              <w:t>¿Qué inquietudes te quedan sobre cómo proceder? ¿Qué pregunta te gustaría hacerle a tu docente o a tus pares?</w:t>
            </w:r>
          </w:p>
          <w:p>
            <w:pPr>
              <w:spacing w:line="259" w:lineRule="auto" w:after="120"/>
            </w:pPr>
            <w:r>
              <w:rPr>
                <w:color w:val="000000"/>
                <w:sz w:val="22"/>
              </w:rPr>
              <w:t>Nuestra inquietud principal es cómo acotar la entrega para que el avance pueda revisarse con claridad. Queremos confirmar con el docente si la prioridad propuesta para cerrar consulta, validación de identidad de la oportunidad, preselección y dashboard es adecuada, y qué evidencia espera para considerar resuelto cada caso de uso. Con once casos, el mínimo para superar el 50% corresponde a seis cierres verificables.</w:t>
            </w:r>
          </w:p>
          <w:p>
            <w:pPr>
              <w:spacing w:line="259" w:lineRule="auto" w:after="120"/>
            </w:pPr>
            <w:r>
              <w:rPr>
                <w:color w:val="000000"/>
                <w:sz w:val="22"/>
              </w:rPr>
              <w:t>También queremos consultar cómo debe justificarse una reprogramación de la carta Gantt y qué profundidad de análisis de bases se espera en esta fase. A nuestros pares les pediríamos probar el recorrido principal y señalar pasos confusos o resultados inconsistentes. Al hotel debemos consultar si los motivos de clasificación y la información de la ficha permiten decidir qué oportunidades revisar comercialmente.</w:t>
            </w:r>
          </w:p>
        </w:tc>
      </w:tr>
    </w:tbl>
    <w:p>
      <w:r>
        <w:br w:type="page"/>
      </w:r>
    </w:p>
    <w:tbl>
      <w:tblPr>
        <w:tblStyle w:val="Tablaconcuadrcula"/>
        <w:tblW w:w="0" w:type="auto"/>
        <w:tblBorders>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0080"/>
      </w:tblGrid>
      <w:tr w:rsidR="004F2A8B" w14:paraId="3CC82F9F" w14:textId="77777777" w:rsidTr="3D28A338">
        <w:trPr>
          <w:trHeight/>
          <w:cantSplit/>
        </w:trPr>
        <w:tc>
          <w:tcPr>
            <w:tcW w:w="10076" w:type="dxa"/>
            <w:vAlign w:val="center"/>
            <w:tcMar>
              <w:top w:w="70" w:type="dxa"/>
              <w:left w:w="100" w:type="dxa"/>
              <w:bottom w:w="70" w:type="dxa"/>
              <w:right w:w="100" w:type="dxa"/>
            </w:tcMar>
            <w:shd w:fill="DFEAF4" w:val="clear"/>
          </w:tcPr>
          <w:p>
            <w:pPr>
              <w:keepNext/>
              <w:spacing w:after="0"/>
            </w:pPr>
            <w:r>
              <w:rPr>
                <w:b/>
                <w:color w:val="000000"/>
                <w:sz w:val="22"/>
              </w:rPr>
              <w:t>5 Distribución de actividades</w:t>
            </w:r>
          </w:p>
        </w:tc>
      </w:tr>
      <w:tr w:rsidR="004F2A8B" w14:paraId="7C63D85E" w14:textId="77777777" w:rsidTr="3D28A338">
        <w:trPr>
          <w:trHeight/>
          <w:cantSplit/>
        </w:trPr>
        <w:tc>
          <w:tcPr>
            <w:tcW w:w="10076" w:type="dxa"/>
            <w:shd w:fill="FFFFFF" w:val="clear"/>
            <w:vAlign w:val="center"/>
            <w:tcMar>
              <w:top w:w="70" w:type="dxa"/>
              <w:left w:w="100" w:type="dxa"/>
              <w:bottom w:w="70" w:type="dxa"/>
              <w:right w:w="100" w:type="dxa"/>
            </w:tcMar>
          </w:tcPr>
          <w:p>
            <w:pPr>
              <w:spacing w:after="140"/>
            </w:pPr>
            <w:r>
              <w:rPr>
                <w:b/>
                <w:sz w:val="21"/>
              </w:rPr>
              <w:t>¿Consideran que las actividades deben ser redistribuidas entre los miembros del grupo? ¿Hay nuevas actividades que deban ser asignadas a algún miembro del grupo?</w:t>
            </w:r>
          </w:p>
          <w:p>
            <w:pPr>
              <w:spacing w:line="259" w:lineRule="auto" w:after="120"/>
            </w:pPr>
            <w:r>
              <w:rPr>
                <w:color w:val="000000"/>
                <w:sz w:val="22"/>
              </w:rPr>
              <w:t>Consideramos conveniente revisar la distribución del trabajo antes de asignar nuevas funciones. Proponemos separar el cierre de la integración y los datos, la validación de la interfaz y los casos de uso, y la actualización de documentación y evidencias. Cada actividad debería tener una persona responsable y otra que revise el resultado. La asignación entre Thomas, Diego y Miguel debe acordarse según la carga pendiente y quedar registrada.</w:t>
            </w:r>
          </w:p>
          <w:p>
            <w:pPr>
              <w:spacing w:line="259" w:lineRule="auto" w:after="120"/>
            </w:pPr>
            <w:r>
              <w:rPr>
                <w:color w:val="000000"/>
                <w:sz w:val="22"/>
              </w:rPr>
              <w:t>Hay tareas nuevas que requieren atención explícita: validar la aplicación publicada, completar las capturas de los módulos, relacionar cada prueba con su caso de uso y actualizar semanalmente el Excel. También debemos preparar la entrega al hotel y registrar sus observaciones. La redistribución debe permitir que las pruebas y la documentación avancen junto con el desarrollo, sin concentrar todos los cierres en una sola persona.</w:t>
            </w:r>
          </w:p>
        </w:tc>
      </w:tr>
    </w:tbl>
    <w:p>
      <w:pPr>
        <w:spacing w:after="60" w:before="0" w:line="240" w:lineRule="auto"/>
      </w:pPr>
      <w:r>
        <w:rPr>
          <w:sz w:val="6"/>
        </w:rPr>
      </w:r>
    </w:p>
    <w:tbl>
      <w:tblPr>
        <w:tblStyle w:val="Tablaconcuadrcula"/>
        <w:tblW w:w="0" w:type="auto"/>
        <w:tblBorders>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0080"/>
      </w:tblGrid>
      <w:tr w:rsidR="004F2A8B" w14:paraId="054A764B" w14:textId="77777777" w:rsidTr="3D28A338">
        <w:trPr>
          <w:trHeight/>
          <w:cantSplit/>
        </w:trPr>
        <w:tc>
          <w:tcPr>
            <w:tcW w:w="10076" w:type="dxa"/>
            <w:vAlign w:val="center"/>
            <w:tcMar>
              <w:top w:w="70" w:type="dxa"/>
              <w:left w:w="100" w:type="dxa"/>
              <w:bottom w:w="70" w:type="dxa"/>
              <w:right w:w="100" w:type="dxa"/>
            </w:tcMar>
            <w:shd w:fill="DFEAF4" w:val="clear"/>
          </w:tcPr>
          <w:p>
            <w:pPr>
              <w:keepNext/>
              <w:spacing w:after="0"/>
            </w:pPr>
            <w:r>
              <w:rPr>
                <w:b/>
                <w:color w:val="000000"/>
                <w:sz w:val="22"/>
              </w:rPr>
              <w:t>6 Evaluación del trabajo grupal</w:t>
            </w:r>
          </w:p>
        </w:tc>
      </w:tr>
      <w:tr w:rsidR="004F2A8B" w14:paraId="2DC141D8" w14:textId="77777777" w:rsidTr="3D28A338">
        <w:trPr>
          <w:trHeight/>
          <w:cantSplit/>
        </w:trPr>
        <w:tc>
          <w:tcPr>
            <w:tcW w:w="10076" w:type="dxa"/>
            <w:shd w:fill="FFFFFF" w:val="clear"/>
            <w:vAlign w:val="center"/>
            <w:tcMar>
              <w:top w:w="70" w:type="dxa"/>
              <w:left w:w="100" w:type="dxa"/>
              <w:bottom w:w="70" w:type="dxa"/>
              <w:right w:w="100" w:type="dxa"/>
            </w:tcMar>
          </w:tcPr>
          <w:p>
            <w:pPr>
              <w:spacing w:after="140"/>
            </w:pPr>
            <w:r>
              <w:rPr>
                <w:b/>
                <w:sz w:val="21"/>
              </w:rPr>
              <w:t>¿Cómo evalúan el trabajo en grupo? ¿Qué aspectos positivos destacan? ¿Qué aspectos podrían mejorar?</w:t>
            </w:r>
          </w:p>
          <w:p>
            <w:pPr>
              <w:spacing w:line="259" w:lineRule="auto" w:after="120"/>
            </w:pPr>
            <w:r>
              <w:rPr>
                <w:color w:val="000000"/>
                <w:sz w:val="22"/>
              </w:rPr>
              <w:t>Evaluamos el trabajo grupal a partir de los resultados integrados en LICING y de los pendientes que aún compartimos. Contar con un repositorio común y documentos de avance permite revisar los cambios y discutir prioridades con una referencia concreta. Valoramos que la solución se mantenga vinculada a la necesidad del hotel de identificar oportunidades de alojamiento, salones y alimentación.</w:t>
            </w:r>
          </w:p>
          <w:p>
            <w:pPr>
              <w:spacing w:line="259" w:lineRule="auto" w:after="120"/>
            </w:pPr>
            <w:r>
              <w:rPr>
                <w:color w:val="000000"/>
                <w:sz w:val="22"/>
              </w:rPr>
              <w:t>Podemos mejorar la coordinación haciendo más visible quién realiza cada actividad, qué depende de otro integrante y qué evidencia falta para cerrarla. Proponemos una revisión semanal breve de la carta Gantt y del Excel, además de una revisión cruzada de las funciones antes de presentarlas. El objetivo es que todos podamos explicar el estado real de la entrega y detectar bloqueos a tiempo, dejando los acuerdos y las observaciones por escrito.</w:t>
            </w:r>
          </w:p>
        </w:tc>
      </w:tr>
    </w:tbl>
    <w:sectPr w:rsidR="004F2A8B" w:rsidSect="009C76B3">
      <w:headerReference w:type="default" r:id="rId12"/>
      <w:footerReference w:type="default" r:id="rId13"/>
      <w:headerReference w:type="first" r:id="rId14"/>
      <w:headerReference w:type="even" r:id="rId18"/>
      <w:footerReference w:type="first" r:id="rId19"/>
      <w:footerReference w:type="even" r:id="rId20"/>
      <w:pgSz w:w="12240" w:h="15840" w:code="1"/>
      <w:pgMar w:top="1656" w:right="1080" w:bottom="1008" w:left="1080" w:header="504" w:footer="46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right"/>
    </w:pPr>
    <w:r>
      <w:rPr>
        <w:sz w:val="18"/>
      </w:rPr>
      <w:t xml:space="preserve">Página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Página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Página </w:t>
    </w:r>
    <w:fldSimple w:instr="PAG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000000"/>
              <w:sz w:val="24"/>
              <w:szCs w:val="24"/>
            </w:rPr>
          </w:pPr>
          <w:r>
            <w:rPr>
              <w:rFonts w:ascii="Century Gothic" w:eastAsia="Century Gothic" w:hAnsi="Century Gothic" w:cs="Century Gothic"/>
              <w:b/>
              <w:color w:val="000000"/>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000000"/>
              <w:sz w:val="24"/>
              <w:szCs w:val="24"/>
            </w:rPr>
          </w:pPr>
          <w:r w:rsidRPr="00F261FE">
            <w:rPr>
              <w:rFonts w:ascii="Century Gothic" w:eastAsia="Century Gothic" w:hAnsi="Century Gothic" w:cs="Century Gothic"/>
              <w:b/>
              <w:color w:val="000000"/>
              <w:sz w:val="24"/>
              <w:szCs w:val="24"/>
            </w:rPr>
            <w:t xml:space="preserve">Fase </w:t>
          </w:r>
          <w:r>
            <w:rPr>
              <w:rFonts w:ascii="Century Gothic" w:eastAsia="Century Gothic" w:hAnsi="Century Gothic" w:cs="Century Gothic"/>
              <w:b/>
              <w:color w:val="000000"/>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000000"/>
              <w:sz w:val="24"/>
              <w:szCs w:val="24"/>
              <w:lang w:val="es-ES" w:eastAsia="es-ES"/>
            </w:rPr>
          </w:pPr>
          <w:r>
            <w:rPr>
              <w:rFonts w:ascii="Century Gothic" w:eastAsiaTheme="minorEastAsia" w:hAnsi="Century Gothic"/>
              <w:b/>
              <w:color w:val="000000"/>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Técnico en Geomática</w:t>
          </w:r>
        </w:p>
        <w:p w14:paraId="2AB05556" w14:textId="5683B02A" w:rsidR="009C76B3" w:rsidRDefault="009C76B3" w:rsidP="009C76B3">
          <w:pPr>
            <w:rPr>
              <w:rFonts w:ascii="Century Gothic" w:eastAsiaTheme="minorEastAsia" w:hAnsi="Century Gothic"/>
              <w:color w:val="000000"/>
              <w:sz w:val="24"/>
              <w:szCs w:val="24"/>
              <w:lang w:eastAsia="es-ES"/>
            </w:rPr>
          </w:pPr>
          <w:r>
            <w:rPr>
              <w:rFonts w:ascii="Century Gothic" w:eastAsiaTheme="minorEastAsia" w:hAnsi="Century Gothic"/>
              <w:color w:val="000000"/>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after="120"/>
    </w:pPr>
    <w:rPr>
      <w:rFonts w:ascii="Calibri" w:hAnsi="Calibri"/>
      <w:color w:val="000000"/>
      <w:sz w:val="22"/>
    </w:rPr>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000000"/>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000000"/>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000000"/>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del proyecto LICING</dc:title>
  <dc:creator>Thomas Leighton</dc:creator>
  <cp:lastModifiedBy>Victoria Acevedo D</cp:lastModifiedBy>
  <cp:revision>42</cp:revision>
  <cp:lastPrinted>2019-12-16T20:10:00Z</cp:lastPrinted>
  <dcterms:created xsi:type="dcterms:W3CDTF">2021-12-31T12:50:00Z</dcterms:created>
  <dcterms:modified xsi:type="dcterms:W3CDTF">2023-02-06T15:09:00Z</dcterms:modified>
  <dc:subject>APT122 Reflexión del avance y trabajo grupal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