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0E38F7" w14:textId="77777777" w:rsidR="00A27EB8" w:rsidRPr="00116C17" w:rsidRDefault="00000000">
      <w:pPr>
        <w:jc w:val="center"/>
        <w:rPr>
          <w:rFonts w:ascii="Arial" w:hAnsi="Arial" w:cs="Arial"/>
        </w:rPr>
      </w:pPr>
      <w:r w:rsidRPr="00116C17">
        <w:rPr>
          <w:rFonts w:ascii="Arial" w:hAnsi="Arial" w:cs="Arial"/>
          <w:b/>
          <w:color w:val="1F4E79"/>
          <w:sz w:val="40"/>
        </w:rPr>
        <w:t>JUSTIFICACIÓN DE ARQUITECTURA</w:t>
      </w:r>
    </w:p>
    <w:p w14:paraId="56AC3C76" w14:textId="77777777" w:rsidR="00A27EB8" w:rsidRPr="00116C17" w:rsidRDefault="00000000">
      <w:pPr>
        <w:jc w:val="center"/>
        <w:rPr>
          <w:rFonts w:ascii="Arial" w:hAnsi="Arial" w:cs="Arial"/>
        </w:rPr>
      </w:pPr>
      <w:r w:rsidRPr="00116C17">
        <w:rPr>
          <w:rFonts w:ascii="Arial" w:hAnsi="Arial" w:cs="Arial"/>
          <w:b/>
          <w:sz w:val="28"/>
        </w:rPr>
        <w:t>Asistente Virtual para Licitaciones – Mercado Público</w:t>
      </w:r>
    </w:p>
    <w:p w14:paraId="289867D1" w14:textId="77777777" w:rsidR="00A27EB8" w:rsidRPr="00116C17" w:rsidRDefault="00000000">
      <w:pPr>
        <w:jc w:val="center"/>
        <w:rPr>
          <w:rFonts w:ascii="Arial" w:hAnsi="Arial" w:cs="Arial"/>
        </w:rPr>
      </w:pPr>
      <w:r w:rsidRPr="00116C17">
        <w:rPr>
          <w:rFonts w:ascii="Arial" w:hAnsi="Arial" w:cs="Arial"/>
          <w:i/>
        </w:rPr>
        <w:t>Proyecto LICING WEB | Documento de fundamentación técnica</w:t>
      </w:r>
    </w:p>
    <w:p w14:paraId="79D37472" w14:textId="77777777" w:rsidR="00A27EB8" w:rsidRPr="00116C17" w:rsidRDefault="00000000">
      <w:pPr>
        <w:pStyle w:val="Ttulo1"/>
        <w:spacing w:before="200" w:after="100"/>
        <w:rPr>
          <w:rFonts w:ascii="Arial" w:hAnsi="Arial" w:cs="Arial"/>
        </w:rPr>
      </w:pPr>
      <w:r w:rsidRPr="00116C17">
        <w:rPr>
          <w:rFonts w:ascii="Arial" w:hAnsi="Arial" w:cs="Arial"/>
        </w:rPr>
        <w:t>1. Propósito del documento</w:t>
      </w:r>
    </w:p>
    <w:p w14:paraId="40272A1B" w14:textId="77777777" w:rsidR="00A27EB8" w:rsidRPr="00116C17" w:rsidRDefault="00000000">
      <w:pPr>
        <w:rPr>
          <w:rFonts w:ascii="Arial" w:hAnsi="Arial" w:cs="Arial"/>
        </w:rPr>
      </w:pPr>
      <w:r w:rsidRPr="00116C17">
        <w:rPr>
          <w:rFonts w:ascii="Arial" w:hAnsi="Arial" w:cs="Arial"/>
        </w:rPr>
        <w:t>Este documento fundamenta la arquitectura propuesta para LICING WEB, una aplicación web orientada a la detección, análisis y seguimiento de oportunidades de licitación de Mercado Público para el Hotel Plaza San Francisco. La justificación vincula cada decisión técnica con los requerimientos de negocio, los IDs de requisitos funcionales y no funcionales, y los componentes representados en el diagrama de arquitectura.</w:t>
      </w:r>
    </w:p>
    <w:p w14:paraId="39872ED7" w14:textId="77777777" w:rsidR="00A27EB8" w:rsidRPr="00116C17" w:rsidRDefault="00000000">
      <w:pPr>
        <w:rPr>
          <w:rFonts w:ascii="Arial" w:hAnsi="Arial" w:cs="Arial"/>
        </w:rPr>
      </w:pPr>
      <w:r w:rsidRPr="00116C17">
        <w:rPr>
          <w:rFonts w:ascii="Arial" w:hAnsi="Arial" w:cs="Arial"/>
        </w:rPr>
        <w:t>La arquitectura busca reducir la revisión manual de oportunidades, mejorar la precisión al validar licitaciones y documentos, y entregar información utilizable para la toma de decisiones comerciales. Por ello se privilegia una solución web, segura, desacoplada y capaz de procesar documentos sin bloquear la experiencia del usuario.</w:t>
      </w:r>
    </w:p>
    <w:p w14:paraId="121CD090" w14:textId="77777777" w:rsidR="00A27EB8" w:rsidRPr="00116C17" w:rsidRDefault="00000000">
      <w:pPr>
        <w:pStyle w:val="Ttulo1"/>
        <w:spacing w:before="200" w:after="100"/>
        <w:rPr>
          <w:rFonts w:ascii="Arial" w:hAnsi="Arial" w:cs="Arial"/>
        </w:rPr>
      </w:pPr>
      <w:r w:rsidRPr="00116C17">
        <w:rPr>
          <w:rFonts w:ascii="Arial" w:hAnsi="Arial" w:cs="Arial"/>
        </w:rPr>
        <w:t>2. Necesidades que resuelve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408"/>
        <w:gridCol w:w="3408"/>
        <w:gridCol w:w="3408"/>
      </w:tblGrid>
      <w:tr w:rsidR="00A27EB8" w:rsidRPr="00116C17" w14:paraId="1FC6A8B4" w14:textId="77777777">
        <w:trPr>
          <w:jc w:val="center"/>
        </w:trPr>
        <w:tc>
          <w:tcPr>
            <w:tcW w:w="3408" w:type="dxa"/>
            <w:shd w:val="clear" w:color="auto" w:fill="1F4E79"/>
            <w:vAlign w:val="center"/>
          </w:tcPr>
          <w:p w14:paraId="7679F1B6" w14:textId="77777777" w:rsidR="00A27EB8" w:rsidRPr="00116C17" w:rsidRDefault="00000000">
            <w:pPr>
              <w:rPr>
                <w:rFonts w:ascii="Arial" w:hAnsi="Arial" w:cs="Arial"/>
              </w:rPr>
            </w:pPr>
            <w:r w:rsidRPr="00116C17">
              <w:rPr>
                <w:rFonts w:ascii="Arial" w:hAnsi="Arial" w:cs="Arial"/>
                <w:b/>
                <w:color w:val="FFFFFF"/>
                <w:sz w:val="17"/>
              </w:rPr>
              <w:t>Necesidad de negocio</w:t>
            </w:r>
          </w:p>
        </w:tc>
        <w:tc>
          <w:tcPr>
            <w:tcW w:w="3408" w:type="dxa"/>
            <w:shd w:val="clear" w:color="auto" w:fill="1F4E79"/>
            <w:vAlign w:val="center"/>
          </w:tcPr>
          <w:p w14:paraId="3F3AC54F" w14:textId="77777777" w:rsidR="00A27EB8" w:rsidRPr="00116C17" w:rsidRDefault="00000000">
            <w:pPr>
              <w:rPr>
                <w:rFonts w:ascii="Arial" w:hAnsi="Arial" w:cs="Arial"/>
              </w:rPr>
            </w:pPr>
            <w:r w:rsidRPr="00116C17">
              <w:rPr>
                <w:rFonts w:ascii="Arial" w:hAnsi="Arial" w:cs="Arial"/>
                <w:b/>
                <w:color w:val="FFFFFF"/>
                <w:sz w:val="17"/>
              </w:rPr>
              <w:t>Implicancia técnica</w:t>
            </w:r>
          </w:p>
        </w:tc>
        <w:tc>
          <w:tcPr>
            <w:tcW w:w="3408" w:type="dxa"/>
            <w:shd w:val="clear" w:color="auto" w:fill="1F4E79"/>
            <w:vAlign w:val="center"/>
          </w:tcPr>
          <w:p w14:paraId="4CB03AA5" w14:textId="77777777" w:rsidR="00A27EB8" w:rsidRPr="00116C17" w:rsidRDefault="00000000">
            <w:pPr>
              <w:rPr>
                <w:rFonts w:ascii="Arial" w:hAnsi="Arial" w:cs="Arial"/>
              </w:rPr>
            </w:pPr>
            <w:r w:rsidRPr="00116C17">
              <w:rPr>
                <w:rFonts w:ascii="Arial" w:hAnsi="Arial" w:cs="Arial"/>
                <w:b/>
                <w:color w:val="FFFFFF"/>
                <w:sz w:val="17"/>
              </w:rPr>
              <w:t>Respuesta arquitectónica</w:t>
            </w:r>
          </w:p>
        </w:tc>
      </w:tr>
      <w:tr w:rsidR="00A27EB8" w:rsidRPr="00116C17" w14:paraId="5DB5EE5E" w14:textId="77777777">
        <w:trPr>
          <w:jc w:val="center"/>
        </w:trPr>
        <w:tc>
          <w:tcPr>
            <w:tcW w:w="3408" w:type="dxa"/>
            <w:vAlign w:val="center"/>
          </w:tcPr>
          <w:p w14:paraId="2342D649" w14:textId="77777777" w:rsidR="00A27EB8" w:rsidRPr="00116C17" w:rsidRDefault="00000000">
            <w:pPr>
              <w:rPr>
                <w:rFonts w:ascii="Arial" w:hAnsi="Arial" w:cs="Arial"/>
              </w:rPr>
            </w:pPr>
            <w:r w:rsidRPr="00116C17">
              <w:rPr>
                <w:rFonts w:ascii="Arial" w:hAnsi="Arial" w:cs="Arial"/>
                <w:sz w:val="17"/>
              </w:rPr>
              <w:t>Búsqueda semántica de oportunidades de alojamiento, eventos y catering.</w:t>
            </w:r>
          </w:p>
        </w:tc>
        <w:tc>
          <w:tcPr>
            <w:tcW w:w="3408" w:type="dxa"/>
            <w:vAlign w:val="center"/>
          </w:tcPr>
          <w:p w14:paraId="562380A4" w14:textId="77777777" w:rsidR="00A27EB8" w:rsidRPr="00116C17" w:rsidRDefault="00000000">
            <w:pPr>
              <w:rPr>
                <w:rFonts w:ascii="Arial" w:hAnsi="Arial" w:cs="Arial"/>
              </w:rPr>
            </w:pPr>
            <w:r w:rsidRPr="00116C17">
              <w:rPr>
                <w:rFonts w:ascii="Arial" w:hAnsi="Arial" w:cs="Arial"/>
                <w:sz w:val="17"/>
              </w:rPr>
              <w:t>Se requiere un backend que aplique reglas, filtros y análisis de texto.</w:t>
            </w:r>
          </w:p>
        </w:tc>
        <w:tc>
          <w:tcPr>
            <w:tcW w:w="3408" w:type="dxa"/>
            <w:vAlign w:val="center"/>
          </w:tcPr>
          <w:p w14:paraId="2B0AF06A" w14:textId="77777777" w:rsidR="00A27EB8" w:rsidRPr="00116C17" w:rsidRDefault="00000000">
            <w:pPr>
              <w:rPr>
                <w:rFonts w:ascii="Arial" w:hAnsi="Arial" w:cs="Arial"/>
              </w:rPr>
            </w:pPr>
            <w:r w:rsidRPr="00116C17">
              <w:rPr>
                <w:rFonts w:ascii="Arial" w:hAnsi="Arial" w:cs="Arial"/>
              </w:rPr>
              <w:t>AWS Lambda Backend y módulo IA/ML para clasificar y analizar contenido.</w:t>
            </w:r>
          </w:p>
        </w:tc>
      </w:tr>
      <w:tr w:rsidR="00A27EB8" w:rsidRPr="00116C17" w14:paraId="1688C966" w14:textId="77777777">
        <w:trPr>
          <w:jc w:val="center"/>
        </w:trPr>
        <w:tc>
          <w:tcPr>
            <w:tcW w:w="3408" w:type="dxa"/>
            <w:vAlign w:val="center"/>
          </w:tcPr>
          <w:p w14:paraId="27868084" w14:textId="77777777" w:rsidR="00A27EB8" w:rsidRPr="00116C17" w:rsidRDefault="00000000">
            <w:pPr>
              <w:rPr>
                <w:rFonts w:ascii="Arial" w:hAnsi="Arial" w:cs="Arial"/>
              </w:rPr>
            </w:pPr>
            <w:r w:rsidRPr="00116C17">
              <w:rPr>
                <w:rFonts w:ascii="Arial" w:hAnsi="Arial" w:cs="Arial"/>
                <w:sz w:val="17"/>
              </w:rPr>
              <w:t>Consulta de Mercado Público y validación del ID contra detalle y adjuntos.</w:t>
            </w:r>
          </w:p>
        </w:tc>
        <w:tc>
          <w:tcPr>
            <w:tcW w:w="3408" w:type="dxa"/>
            <w:vAlign w:val="center"/>
          </w:tcPr>
          <w:p w14:paraId="6DFCFECC" w14:textId="77777777" w:rsidR="00A27EB8" w:rsidRPr="00116C17" w:rsidRDefault="00000000">
            <w:pPr>
              <w:rPr>
                <w:rFonts w:ascii="Arial" w:hAnsi="Arial" w:cs="Arial"/>
              </w:rPr>
            </w:pPr>
            <w:r w:rsidRPr="00116C17">
              <w:rPr>
                <w:rFonts w:ascii="Arial" w:hAnsi="Arial" w:cs="Arial"/>
                <w:sz w:val="17"/>
              </w:rPr>
              <w:t>La aplicación necesita salir de forma controlada hacia un servicio externo.</w:t>
            </w:r>
          </w:p>
        </w:tc>
        <w:tc>
          <w:tcPr>
            <w:tcW w:w="3408" w:type="dxa"/>
            <w:vAlign w:val="center"/>
          </w:tcPr>
          <w:p w14:paraId="1DC7D6D1" w14:textId="77777777" w:rsidR="00A27EB8" w:rsidRPr="00116C17" w:rsidRDefault="00000000">
            <w:pPr>
              <w:rPr>
                <w:rFonts w:ascii="Arial" w:hAnsi="Arial" w:cs="Arial"/>
              </w:rPr>
            </w:pPr>
            <w:r w:rsidRPr="00116C17">
              <w:rPr>
                <w:rFonts w:ascii="Arial" w:hAnsi="Arial" w:cs="Arial"/>
                <w:sz w:val="17"/>
              </w:rPr>
              <w:t>NAT Gateway en subred pública; las cargas de aplicación permanecen en subred privada.</w:t>
            </w:r>
          </w:p>
        </w:tc>
      </w:tr>
      <w:tr w:rsidR="00A27EB8" w:rsidRPr="00116C17" w14:paraId="673D944E" w14:textId="77777777">
        <w:trPr>
          <w:jc w:val="center"/>
        </w:trPr>
        <w:tc>
          <w:tcPr>
            <w:tcW w:w="3408" w:type="dxa"/>
            <w:vAlign w:val="center"/>
          </w:tcPr>
          <w:p w14:paraId="18A30DBF" w14:textId="77777777" w:rsidR="00A27EB8" w:rsidRPr="00116C17" w:rsidRDefault="00000000">
            <w:pPr>
              <w:rPr>
                <w:rFonts w:ascii="Arial" w:hAnsi="Arial" w:cs="Arial"/>
              </w:rPr>
            </w:pPr>
            <w:r w:rsidRPr="00116C17">
              <w:rPr>
                <w:rFonts w:ascii="Arial" w:hAnsi="Arial" w:cs="Arial"/>
                <w:sz w:val="17"/>
              </w:rPr>
              <w:t>Análisis de TDR de hasta 50 páginas, con extracción de fechas, presupuesto y requisitos.</w:t>
            </w:r>
          </w:p>
        </w:tc>
        <w:tc>
          <w:tcPr>
            <w:tcW w:w="3408" w:type="dxa"/>
            <w:vAlign w:val="center"/>
          </w:tcPr>
          <w:p w14:paraId="42531B00" w14:textId="77777777" w:rsidR="00A27EB8" w:rsidRPr="00116C17" w:rsidRDefault="00000000">
            <w:pPr>
              <w:rPr>
                <w:rFonts w:ascii="Arial" w:hAnsi="Arial" w:cs="Arial"/>
              </w:rPr>
            </w:pPr>
            <w:r w:rsidRPr="00116C17">
              <w:rPr>
                <w:rFonts w:ascii="Arial" w:hAnsi="Arial" w:cs="Arial"/>
                <w:sz w:val="17"/>
              </w:rPr>
              <w:t>El procesamiento puede ser costoso y no debe afectar las solicitudes web.</w:t>
            </w:r>
          </w:p>
        </w:tc>
        <w:tc>
          <w:tcPr>
            <w:tcW w:w="3408" w:type="dxa"/>
            <w:vAlign w:val="center"/>
          </w:tcPr>
          <w:p w14:paraId="093F94D6" w14:textId="77777777" w:rsidR="00A27EB8" w:rsidRPr="00116C17" w:rsidRDefault="00000000">
            <w:pPr>
              <w:rPr>
                <w:rFonts w:ascii="Arial" w:hAnsi="Arial" w:cs="Arial"/>
              </w:rPr>
            </w:pPr>
            <w:r w:rsidRPr="00116C17">
              <w:rPr>
                <w:rFonts w:ascii="Arial" w:hAnsi="Arial" w:cs="Arial"/>
                <w:sz w:val="17"/>
              </w:rPr>
              <w:t>SQS desacopla el trabajo; Lambda procesa tareas asíncronas y entrega resultados al componente IA/ML.</w:t>
            </w:r>
          </w:p>
        </w:tc>
      </w:tr>
      <w:tr w:rsidR="00A27EB8" w:rsidRPr="00116C17" w14:paraId="03C36008" w14:textId="77777777">
        <w:trPr>
          <w:jc w:val="center"/>
        </w:trPr>
        <w:tc>
          <w:tcPr>
            <w:tcW w:w="3408" w:type="dxa"/>
            <w:vAlign w:val="center"/>
          </w:tcPr>
          <w:p w14:paraId="406F67E0" w14:textId="77777777" w:rsidR="00A27EB8" w:rsidRPr="00116C17" w:rsidRDefault="00000000">
            <w:pPr>
              <w:rPr>
                <w:rFonts w:ascii="Arial" w:hAnsi="Arial" w:cs="Arial"/>
              </w:rPr>
            </w:pPr>
            <w:r w:rsidRPr="00116C17">
              <w:rPr>
                <w:rFonts w:ascii="Arial" w:hAnsi="Arial" w:cs="Arial"/>
                <w:sz w:val="17"/>
              </w:rPr>
              <w:t>Control presupuestario, dashboard y reportes para gerencia.</w:t>
            </w:r>
          </w:p>
        </w:tc>
        <w:tc>
          <w:tcPr>
            <w:tcW w:w="3408" w:type="dxa"/>
            <w:vAlign w:val="center"/>
          </w:tcPr>
          <w:p w14:paraId="0CF0D9AA" w14:textId="77777777" w:rsidR="00A27EB8" w:rsidRPr="00116C17" w:rsidRDefault="00000000">
            <w:pPr>
              <w:rPr>
                <w:rFonts w:ascii="Arial" w:hAnsi="Arial" w:cs="Arial"/>
              </w:rPr>
            </w:pPr>
            <w:r w:rsidRPr="00116C17">
              <w:rPr>
                <w:rFonts w:ascii="Arial" w:hAnsi="Arial" w:cs="Arial"/>
                <w:sz w:val="17"/>
              </w:rPr>
              <w:t>Se necesita persistencia consistente y consultas para usuarios, oportunidades, estados y métricas.</w:t>
            </w:r>
          </w:p>
        </w:tc>
        <w:tc>
          <w:tcPr>
            <w:tcW w:w="3408" w:type="dxa"/>
            <w:vAlign w:val="center"/>
          </w:tcPr>
          <w:p w14:paraId="0EDB07B5" w14:textId="77777777" w:rsidR="00A27EB8" w:rsidRPr="00116C17" w:rsidRDefault="00000000">
            <w:pPr>
              <w:rPr>
                <w:rFonts w:ascii="Arial" w:hAnsi="Arial" w:cs="Arial"/>
              </w:rPr>
            </w:pPr>
            <w:r w:rsidRPr="00116C17">
              <w:rPr>
                <w:rFonts w:ascii="Arial" w:hAnsi="Arial" w:cs="Arial"/>
                <w:sz w:val="17"/>
              </w:rPr>
              <w:t>PostgreSQL en capa de datos; backend centraliza reglas de negocio y expone datos a la interfaz.</w:t>
            </w:r>
          </w:p>
        </w:tc>
      </w:tr>
      <w:tr w:rsidR="00A27EB8" w:rsidRPr="00116C17" w14:paraId="59B50A97" w14:textId="77777777">
        <w:trPr>
          <w:jc w:val="center"/>
        </w:trPr>
        <w:tc>
          <w:tcPr>
            <w:tcW w:w="3408" w:type="dxa"/>
            <w:vAlign w:val="center"/>
          </w:tcPr>
          <w:p w14:paraId="7947CC00" w14:textId="77777777" w:rsidR="00A27EB8" w:rsidRPr="00116C17" w:rsidRDefault="00000000">
            <w:pPr>
              <w:rPr>
                <w:rFonts w:ascii="Arial" w:hAnsi="Arial" w:cs="Arial"/>
              </w:rPr>
            </w:pPr>
            <w:r w:rsidRPr="00116C17">
              <w:rPr>
                <w:rFonts w:ascii="Arial" w:hAnsi="Arial" w:cs="Arial"/>
                <w:sz w:val="17"/>
              </w:rPr>
              <w:t>Uso exclusivamente web, UX simple y sin scripts locales.</w:t>
            </w:r>
          </w:p>
        </w:tc>
        <w:tc>
          <w:tcPr>
            <w:tcW w:w="3408" w:type="dxa"/>
            <w:vAlign w:val="center"/>
          </w:tcPr>
          <w:p w14:paraId="526A0593" w14:textId="77777777" w:rsidR="00A27EB8" w:rsidRPr="00116C17" w:rsidRDefault="00000000">
            <w:pPr>
              <w:rPr>
                <w:rFonts w:ascii="Arial" w:hAnsi="Arial" w:cs="Arial"/>
              </w:rPr>
            </w:pPr>
            <w:r w:rsidRPr="00116C17">
              <w:rPr>
                <w:rFonts w:ascii="Arial" w:hAnsi="Arial" w:cs="Arial"/>
                <w:sz w:val="17"/>
              </w:rPr>
              <w:t>La solución debe ser accesible desde navegador y compatible con restricciones corporativas.</w:t>
            </w:r>
          </w:p>
        </w:tc>
        <w:tc>
          <w:tcPr>
            <w:tcW w:w="3408" w:type="dxa"/>
            <w:vAlign w:val="center"/>
          </w:tcPr>
          <w:p w14:paraId="4864AFB2" w14:textId="77777777" w:rsidR="00A27EB8" w:rsidRPr="00116C17" w:rsidRDefault="00000000">
            <w:pPr>
              <w:rPr>
                <w:rFonts w:ascii="Arial" w:hAnsi="Arial" w:cs="Arial"/>
              </w:rPr>
            </w:pPr>
            <w:r w:rsidRPr="00116C17">
              <w:rPr>
                <w:rFonts w:ascii="Arial" w:hAnsi="Arial" w:cs="Arial"/>
                <w:sz w:val="17"/>
              </w:rPr>
              <w:t>LICING WEB consume HTTPS mediante API Gateway; toda la lógica se ejecuta en la nube.</w:t>
            </w:r>
          </w:p>
        </w:tc>
      </w:tr>
      <w:tr w:rsidR="00A27EB8" w:rsidRPr="00116C17" w14:paraId="1C099D96" w14:textId="77777777">
        <w:trPr>
          <w:jc w:val="center"/>
        </w:trPr>
        <w:tc>
          <w:tcPr>
            <w:tcW w:w="3408" w:type="dxa"/>
            <w:vAlign w:val="center"/>
          </w:tcPr>
          <w:p w14:paraId="11643546" w14:textId="77777777" w:rsidR="00A27EB8" w:rsidRPr="00116C17" w:rsidRDefault="00000000">
            <w:pPr>
              <w:rPr>
                <w:rFonts w:ascii="Arial" w:hAnsi="Arial" w:cs="Arial"/>
              </w:rPr>
            </w:pPr>
            <w:r w:rsidRPr="00116C17">
              <w:rPr>
                <w:rFonts w:ascii="Arial" w:hAnsi="Arial" w:cs="Arial"/>
                <w:sz w:val="17"/>
              </w:rPr>
              <w:t>Protección de información, usuarios y documentos.</w:t>
            </w:r>
          </w:p>
        </w:tc>
        <w:tc>
          <w:tcPr>
            <w:tcW w:w="3408" w:type="dxa"/>
            <w:vAlign w:val="center"/>
          </w:tcPr>
          <w:p w14:paraId="4C5C7FEB" w14:textId="77777777" w:rsidR="00A27EB8" w:rsidRPr="00116C17" w:rsidRDefault="00000000">
            <w:pPr>
              <w:rPr>
                <w:rFonts w:ascii="Arial" w:hAnsi="Arial" w:cs="Arial"/>
              </w:rPr>
            </w:pPr>
            <w:r w:rsidRPr="00116C17">
              <w:rPr>
                <w:rFonts w:ascii="Arial" w:hAnsi="Arial" w:cs="Arial"/>
                <w:sz w:val="17"/>
              </w:rPr>
              <w:t>Se requieren autenticación, autorización, mínimo privilegio y cifrado.</w:t>
            </w:r>
          </w:p>
        </w:tc>
        <w:tc>
          <w:tcPr>
            <w:tcW w:w="3408" w:type="dxa"/>
            <w:vAlign w:val="center"/>
          </w:tcPr>
          <w:p w14:paraId="13A42AC6" w14:textId="77777777" w:rsidR="00A27EB8" w:rsidRPr="00116C17" w:rsidRDefault="00000000">
            <w:pPr>
              <w:rPr>
                <w:rFonts w:ascii="Arial" w:hAnsi="Arial" w:cs="Arial"/>
              </w:rPr>
            </w:pPr>
            <w:r w:rsidRPr="00116C17">
              <w:rPr>
                <w:rFonts w:ascii="Arial" w:hAnsi="Arial" w:cs="Arial"/>
                <w:sz w:val="17"/>
              </w:rPr>
              <w:t>JWT/roles en API Gateway, IAM Roles para servicios y KMS para proteger datos almacenados.</w:t>
            </w:r>
          </w:p>
        </w:tc>
      </w:tr>
    </w:tbl>
    <w:p w14:paraId="37EF4B0D" w14:textId="77777777" w:rsidR="00A27EB8" w:rsidRPr="00116C17" w:rsidRDefault="00000000">
      <w:pPr>
        <w:pStyle w:val="Ttulo1"/>
        <w:spacing w:before="200" w:after="100"/>
        <w:rPr>
          <w:rFonts w:ascii="Arial" w:hAnsi="Arial" w:cs="Arial"/>
        </w:rPr>
      </w:pPr>
      <w:r w:rsidRPr="00116C17">
        <w:rPr>
          <w:rFonts w:ascii="Arial" w:hAnsi="Arial" w:cs="Arial"/>
        </w:rPr>
        <w:t>3. Descripción de la arquitectura</w:t>
      </w:r>
    </w:p>
    <w:p w14:paraId="721EF71B" w14:textId="77777777" w:rsidR="00A27EB8" w:rsidRPr="00116C17" w:rsidRDefault="00000000">
      <w:pPr>
        <w:rPr>
          <w:rFonts w:ascii="Arial" w:hAnsi="Arial" w:cs="Arial"/>
        </w:rPr>
      </w:pPr>
      <w:r w:rsidRPr="00116C17">
        <w:rPr>
          <w:rFonts w:ascii="Arial" w:hAnsi="Arial" w:cs="Arial"/>
        </w:rPr>
        <w:t>La solución se organiza en capas. El usuario accede a LICING WEB mediante HTTPS. API Gateway constituye el punto de entrada único y valida JWT y roles antes de enrutar la solicitud a la capa de aplicación. El backend principal se implementa como una función AWS Lambda dentro de la subred privada de aplicación. Gestiona usuarios, oportunidades, filtros, seguimiento, dashboard y reportes bajo demanda.</w:t>
      </w:r>
    </w:p>
    <w:p w14:paraId="28FAA84B" w14:textId="77777777" w:rsidR="00A27EB8" w:rsidRPr="00116C17" w:rsidRDefault="00000000">
      <w:pPr>
        <w:rPr>
          <w:rFonts w:ascii="Arial" w:hAnsi="Arial" w:cs="Arial"/>
        </w:rPr>
      </w:pPr>
      <w:r w:rsidRPr="00116C17">
        <w:rPr>
          <w:rFonts w:ascii="Arial" w:hAnsi="Arial" w:cs="Arial"/>
        </w:rPr>
        <w:t>Cuando una licitación requiere análisis, el backend publica una orden en Amazon SQS. Lambda consume esa orden y ejecuta el procesamiento de forma desacoplada, coordinándose con el servicio IA/ML para generar el análisis. Los datos operacionales y resultados se almacenan en PostgreSQL en la subred de datos; KMS cifra la información. CloudWatch concentra logs y métricas. Para las consultas salientes hacia Mercado Público, las cargas privadas utilizan NAT Gateway, sin quedar expuestas directamente a Internet.</w:t>
      </w:r>
    </w:p>
    <w:p w14:paraId="331704DD" w14:textId="77777777" w:rsidR="00A27EB8" w:rsidRPr="00116C17" w:rsidRDefault="00000000">
      <w:pPr>
        <w:jc w:val="center"/>
        <w:rPr>
          <w:rFonts w:ascii="Arial" w:hAnsi="Arial" w:cs="Arial"/>
        </w:rPr>
      </w:pPr>
      <w:r w:rsidRPr="00116C17">
        <w:rPr>
          <w:rFonts w:ascii="Arial" w:hAnsi="Arial" w:cs="Arial"/>
          <w:noProof/>
        </w:rPr>
        <w:lastRenderedPageBreak/>
        <w:drawing>
          <wp:inline distT="0" distB="0" distL="0" distR="0" wp14:anchorId="4727EAAD" wp14:editId="6162C2D7">
            <wp:extent cx="5029200" cy="6678297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agrama-de-Arquitectura-Licing.jp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66782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224DEE" w14:textId="77777777" w:rsidR="00A27EB8" w:rsidRPr="00116C17" w:rsidRDefault="00000000">
      <w:pPr>
        <w:jc w:val="center"/>
        <w:rPr>
          <w:rFonts w:ascii="Arial" w:hAnsi="Arial" w:cs="Arial"/>
        </w:rPr>
      </w:pPr>
      <w:r w:rsidRPr="00116C17">
        <w:rPr>
          <w:rFonts w:ascii="Arial" w:hAnsi="Arial" w:cs="Arial"/>
          <w:i/>
        </w:rPr>
        <w:t>Figura 1. Diagrama de arquitectura propuesto para LICING WEB.</w:t>
      </w:r>
    </w:p>
    <w:p w14:paraId="72B6A0E8" w14:textId="77777777" w:rsidR="00116C17" w:rsidRDefault="00116C17">
      <w:pPr>
        <w:pStyle w:val="Ttulo1"/>
        <w:spacing w:before="200" w:after="100"/>
        <w:rPr>
          <w:rFonts w:ascii="Arial" w:hAnsi="Arial" w:cs="Arial"/>
        </w:rPr>
      </w:pPr>
    </w:p>
    <w:p w14:paraId="41C6E436" w14:textId="77777777" w:rsidR="00116C17" w:rsidRDefault="00116C17" w:rsidP="00116C17"/>
    <w:p w14:paraId="274750CC" w14:textId="77777777" w:rsidR="00116C17" w:rsidRDefault="00116C17" w:rsidP="00116C17"/>
    <w:p w14:paraId="13946841" w14:textId="77777777" w:rsidR="00116C17" w:rsidRPr="00116C17" w:rsidRDefault="00116C17" w:rsidP="00116C17"/>
    <w:p w14:paraId="0AB66011" w14:textId="773977D2" w:rsidR="00A27EB8" w:rsidRPr="00116C17" w:rsidRDefault="00000000">
      <w:pPr>
        <w:pStyle w:val="Ttulo1"/>
        <w:spacing w:before="200" w:after="100"/>
        <w:rPr>
          <w:rFonts w:ascii="Arial" w:hAnsi="Arial" w:cs="Arial"/>
        </w:rPr>
      </w:pPr>
      <w:r w:rsidRPr="00116C17">
        <w:rPr>
          <w:rFonts w:ascii="Arial" w:hAnsi="Arial" w:cs="Arial"/>
        </w:rPr>
        <w:lastRenderedPageBreak/>
        <w:t>4. Argumentación por componente y trazabilidad de requisitos</w:t>
      </w:r>
    </w:p>
    <w:p w14:paraId="11901683" w14:textId="77777777" w:rsidR="00A27EB8" w:rsidRPr="00116C17" w:rsidRDefault="00000000">
      <w:pPr>
        <w:rPr>
          <w:rFonts w:ascii="Arial" w:hAnsi="Arial" w:cs="Arial"/>
        </w:rPr>
      </w:pPr>
      <w:r w:rsidRPr="00116C17">
        <w:rPr>
          <w:rFonts w:ascii="Arial" w:hAnsi="Arial" w:cs="Arial"/>
        </w:rPr>
        <w:t>En esta sección se mantiene la estructura de fundamentación por componente y se incorpora la trazabilidad solicitada. Los IDs indican qué requisito funcional (RF) o no funcional (RNF) implementa directamente el componente o al cual entrega soporte técnico.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556"/>
        <w:gridCol w:w="2556"/>
        <w:gridCol w:w="2556"/>
        <w:gridCol w:w="2556"/>
      </w:tblGrid>
      <w:tr w:rsidR="00A27EB8" w:rsidRPr="00116C17" w14:paraId="60CE0406" w14:textId="77777777">
        <w:trPr>
          <w:jc w:val="center"/>
        </w:trPr>
        <w:tc>
          <w:tcPr>
            <w:tcW w:w="2556" w:type="dxa"/>
            <w:shd w:val="clear" w:color="auto" w:fill="1F4E79"/>
            <w:vAlign w:val="center"/>
          </w:tcPr>
          <w:p w14:paraId="5FBC6B1E" w14:textId="77777777" w:rsidR="00A27EB8" w:rsidRPr="00116C17" w:rsidRDefault="00000000">
            <w:pPr>
              <w:rPr>
                <w:rFonts w:ascii="Arial" w:hAnsi="Arial" w:cs="Arial"/>
              </w:rPr>
            </w:pPr>
            <w:r w:rsidRPr="00116C17">
              <w:rPr>
                <w:rFonts w:ascii="Arial" w:hAnsi="Arial" w:cs="Arial"/>
                <w:b/>
                <w:color w:val="FFFFFF"/>
                <w:sz w:val="17"/>
              </w:rPr>
              <w:t>Componente</w:t>
            </w:r>
          </w:p>
        </w:tc>
        <w:tc>
          <w:tcPr>
            <w:tcW w:w="2556" w:type="dxa"/>
            <w:shd w:val="clear" w:color="auto" w:fill="1F4E79"/>
            <w:vAlign w:val="center"/>
          </w:tcPr>
          <w:p w14:paraId="5A663B55" w14:textId="77777777" w:rsidR="00A27EB8" w:rsidRPr="00116C17" w:rsidRDefault="00000000">
            <w:pPr>
              <w:rPr>
                <w:rFonts w:ascii="Arial" w:hAnsi="Arial" w:cs="Arial"/>
              </w:rPr>
            </w:pPr>
            <w:r w:rsidRPr="00116C17">
              <w:rPr>
                <w:rFonts w:ascii="Arial" w:hAnsi="Arial" w:cs="Arial"/>
                <w:b/>
                <w:color w:val="FFFFFF"/>
                <w:sz w:val="17"/>
              </w:rPr>
              <w:t>RF/RNF asociados</w:t>
            </w:r>
          </w:p>
        </w:tc>
        <w:tc>
          <w:tcPr>
            <w:tcW w:w="2556" w:type="dxa"/>
            <w:shd w:val="clear" w:color="auto" w:fill="1F4E79"/>
            <w:vAlign w:val="center"/>
          </w:tcPr>
          <w:p w14:paraId="1EFF1920" w14:textId="77777777" w:rsidR="00A27EB8" w:rsidRPr="00116C17" w:rsidRDefault="00000000">
            <w:pPr>
              <w:rPr>
                <w:rFonts w:ascii="Arial" w:hAnsi="Arial" w:cs="Arial"/>
              </w:rPr>
            </w:pPr>
            <w:r w:rsidRPr="00116C17">
              <w:rPr>
                <w:rFonts w:ascii="Arial" w:hAnsi="Arial" w:cs="Arial"/>
                <w:b/>
                <w:color w:val="FFFFFF"/>
                <w:sz w:val="17"/>
              </w:rPr>
              <w:t>Justificación</w:t>
            </w:r>
          </w:p>
        </w:tc>
        <w:tc>
          <w:tcPr>
            <w:tcW w:w="2556" w:type="dxa"/>
            <w:shd w:val="clear" w:color="auto" w:fill="1F4E79"/>
            <w:vAlign w:val="center"/>
          </w:tcPr>
          <w:p w14:paraId="3B73B405" w14:textId="77777777" w:rsidR="00A27EB8" w:rsidRPr="00116C17" w:rsidRDefault="00000000">
            <w:pPr>
              <w:rPr>
                <w:rFonts w:ascii="Arial" w:hAnsi="Arial" w:cs="Arial"/>
              </w:rPr>
            </w:pPr>
            <w:r w:rsidRPr="00116C17">
              <w:rPr>
                <w:rFonts w:ascii="Arial" w:hAnsi="Arial" w:cs="Arial"/>
                <w:b/>
                <w:color w:val="FFFFFF"/>
                <w:sz w:val="17"/>
              </w:rPr>
              <w:t>Valor para el proyecto</w:t>
            </w:r>
          </w:p>
        </w:tc>
      </w:tr>
      <w:tr w:rsidR="00A27EB8" w:rsidRPr="00116C17" w14:paraId="5C7B6095" w14:textId="77777777">
        <w:trPr>
          <w:jc w:val="center"/>
        </w:trPr>
        <w:tc>
          <w:tcPr>
            <w:tcW w:w="2556" w:type="dxa"/>
            <w:vAlign w:val="center"/>
          </w:tcPr>
          <w:p w14:paraId="5A7D3CB6" w14:textId="77777777" w:rsidR="00A27EB8" w:rsidRPr="00116C17" w:rsidRDefault="00000000">
            <w:pPr>
              <w:rPr>
                <w:rFonts w:ascii="Arial" w:hAnsi="Arial" w:cs="Arial"/>
                <w:sz w:val="18"/>
                <w:szCs w:val="24"/>
              </w:rPr>
            </w:pPr>
            <w:r w:rsidRPr="00116C17">
              <w:rPr>
                <w:rFonts w:ascii="Arial" w:hAnsi="Arial" w:cs="Arial"/>
                <w:sz w:val="18"/>
                <w:szCs w:val="24"/>
              </w:rPr>
              <w:t>LICING WEB + HTTPS</w:t>
            </w:r>
          </w:p>
        </w:tc>
        <w:tc>
          <w:tcPr>
            <w:tcW w:w="2556" w:type="dxa"/>
            <w:vAlign w:val="center"/>
          </w:tcPr>
          <w:p w14:paraId="118EE67D" w14:textId="77777777" w:rsidR="00A27EB8" w:rsidRPr="00116C17" w:rsidRDefault="00000000">
            <w:pPr>
              <w:rPr>
                <w:rFonts w:ascii="Arial" w:hAnsi="Arial" w:cs="Arial"/>
                <w:sz w:val="18"/>
                <w:szCs w:val="24"/>
              </w:rPr>
            </w:pPr>
            <w:r w:rsidRPr="00116C17">
              <w:rPr>
                <w:rFonts w:ascii="Arial" w:hAnsi="Arial" w:cs="Arial"/>
                <w:sz w:val="18"/>
                <w:szCs w:val="24"/>
              </w:rPr>
              <w:t>RF-05, RF-08, RF-15, RF-16, RF-17, RF-18, RF-19, RF-20; RNF-01, RNF-02, RNF-04, RNF-05</w:t>
            </w:r>
          </w:p>
        </w:tc>
        <w:tc>
          <w:tcPr>
            <w:tcW w:w="2556" w:type="dxa"/>
            <w:vAlign w:val="center"/>
          </w:tcPr>
          <w:p w14:paraId="322D111E" w14:textId="77777777" w:rsidR="00A27EB8" w:rsidRPr="00116C17" w:rsidRDefault="00000000">
            <w:pPr>
              <w:rPr>
                <w:rFonts w:ascii="Arial" w:hAnsi="Arial" w:cs="Arial"/>
                <w:sz w:val="18"/>
                <w:szCs w:val="24"/>
              </w:rPr>
            </w:pPr>
            <w:r w:rsidRPr="00116C17">
              <w:rPr>
                <w:rFonts w:ascii="Arial" w:hAnsi="Arial" w:cs="Arial"/>
                <w:sz w:val="18"/>
                <w:szCs w:val="24"/>
              </w:rPr>
              <w:t>Materializa la aplicación web y evita scripts en equipos corporativos. Permite configurar criterios, consultar oportunidades, gestionar estados, usar dashboard y generar informes.</w:t>
            </w:r>
          </w:p>
        </w:tc>
        <w:tc>
          <w:tcPr>
            <w:tcW w:w="2556" w:type="dxa"/>
            <w:vAlign w:val="center"/>
          </w:tcPr>
          <w:p w14:paraId="05F67F39" w14:textId="77777777" w:rsidR="00A27EB8" w:rsidRPr="00116C17" w:rsidRDefault="00000000">
            <w:pPr>
              <w:rPr>
                <w:rFonts w:ascii="Arial" w:hAnsi="Arial" w:cs="Arial"/>
                <w:sz w:val="18"/>
                <w:szCs w:val="24"/>
              </w:rPr>
            </w:pPr>
            <w:r w:rsidRPr="00116C17">
              <w:rPr>
                <w:rFonts w:ascii="Arial" w:hAnsi="Arial" w:cs="Arial"/>
                <w:sz w:val="18"/>
                <w:szCs w:val="24"/>
              </w:rPr>
              <w:t xml:space="preserve">Entrega un punto de uso simple para el equipo de eventos y </w:t>
            </w:r>
            <w:proofErr w:type="gramStart"/>
            <w:r w:rsidRPr="00116C17">
              <w:rPr>
                <w:rFonts w:ascii="Arial" w:hAnsi="Arial" w:cs="Arial"/>
                <w:sz w:val="18"/>
                <w:szCs w:val="24"/>
              </w:rPr>
              <w:t>reduce</w:t>
            </w:r>
            <w:proofErr w:type="gramEnd"/>
            <w:r w:rsidRPr="00116C17">
              <w:rPr>
                <w:rFonts w:ascii="Arial" w:hAnsi="Arial" w:cs="Arial"/>
                <w:sz w:val="18"/>
                <w:szCs w:val="24"/>
              </w:rPr>
              <w:t xml:space="preserve"> problemas asociados a firewall o antivirus </w:t>
            </w:r>
            <w:proofErr w:type="gramStart"/>
            <w:r w:rsidRPr="00116C17">
              <w:rPr>
                <w:rFonts w:ascii="Arial" w:hAnsi="Arial" w:cs="Arial"/>
                <w:sz w:val="18"/>
                <w:szCs w:val="24"/>
              </w:rPr>
              <w:t>locales</w:t>
            </w:r>
            <w:proofErr w:type="gramEnd"/>
            <w:r w:rsidRPr="00116C17">
              <w:rPr>
                <w:rFonts w:ascii="Arial" w:hAnsi="Arial" w:cs="Arial"/>
                <w:sz w:val="18"/>
                <w:szCs w:val="24"/>
              </w:rPr>
              <w:t>.</w:t>
            </w:r>
          </w:p>
        </w:tc>
      </w:tr>
      <w:tr w:rsidR="00A27EB8" w:rsidRPr="00116C17" w14:paraId="50B35A44" w14:textId="77777777">
        <w:trPr>
          <w:jc w:val="center"/>
        </w:trPr>
        <w:tc>
          <w:tcPr>
            <w:tcW w:w="2556" w:type="dxa"/>
            <w:vAlign w:val="center"/>
          </w:tcPr>
          <w:p w14:paraId="04351AC9" w14:textId="77777777" w:rsidR="00A27EB8" w:rsidRPr="00116C17" w:rsidRDefault="00000000">
            <w:pPr>
              <w:rPr>
                <w:rFonts w:ascii="Arial" w:hAnsi="Arial" w:cs="Arial"/>
                <w:sz w:val="18"/>
                <w:szCs w:val="24"/>
              </w:rPr>
            </w:pPr>
            <w:r w:rsidRPr="00116C17">
              <w:rPr>
                <w:rFonts w:ascii="Arial" w:hAnsi="Arial" w:cs="Arial"/>
                <w:sz w:val="18"/>
                <w:szCs w:val="24"/>
              </w:rPr>
              <w:t>Amazon API Gateway</w:t>
            </w:r>
          </w:p>
        </w:tc>
        <w:tc>
          <w:tcPr>
            <w:tcW w:w="2556" w:type="dxa"/>
            <w:vAlign w:val="center"/>
          </w:tcPr>
          <w:p w14:paraId="04513EA8" w14:textId="77777777" w:rsidR="00A27EB8" w:rsidRPr="00116C17" w:rsidRDefault="00000000">
            <w:pPr>
              <w:rPr>
                <w:rFonts w:ascii="Arial" w:hAnsi="Arial" w:cs="Arial"/>
                <w:sz w:val="18"/>
                <w:szCs w:val="24"/>
              </w:rPr>
            </w:pPr>
            <w:r w:rsidRPr="00116C17">
              <w:rPr>
                <w:rFonts w:ascii="Arial" w:hAnsi="Arial" w:cs="Arial"/>
                <w:sz w:val="18"/>
                <w:szCs w:val="24"/>
              </w:rPr>
              <w:t>RNF-01, RNF-02, RNF-05; soporte RF-01 a RF-20</w:t>
            </w:r>
          </w:p>
        </w:tc>
        <w:tc>
          <w:tcPr>
            <w:tcW w:w="2556" w:type="dxa"/>
            <w:vAlign w:val="center"/>
          </w:tcPr>
          <w:p w14:paraId="3BDD57E6" w14:textId="77777777" w:rsidR="00A27EB8" w:rsidRPr="00116C17" w:rsidRDefault="00000000">
            <w:pPr>
              <w:rPr>
                <w:rFonts w:ascii="Arial" w:hAnsi="Arial" w:cs="Arial"/>
                <w:sz w:val="18"/>
                <w:szCs w:val="24"/>
              </w:rPr>
            </w:pPr>
            <w:r w:rsidRPr="00116C17">
              <w:rPr>
                <w:rFonts w:ascii="Arial" w:hAnsi="Arial" w:cs="Arial"/>
                <w:sz w:val="18"/>
                <w:szCs w:val="24"/>
              </w:rPr>
              <w:t>Centraliza el acceso público, HTTPS, validación JWT y autorización por roles antes de llegar al backend.</w:t>
            </w:r>
          </w:p>
        </w:tc>
        <w:tc>
          <w:tcPr>
            <w:tcW w:w="2556" w:type="dxa"/>
            <w:vAlign w:val="center"/>
          </w:tcPr>
          <w:p w14:paraId="3581D41E" w14:textId="77777777" w:rsidR="00A27EB8" w:rsidRPr="00116C17" w:rsidRDefault="00000000">
            <w:pPr>
              <w:rPr>
                <w:rFonts w:ascii="Arial" w:hAnsi="Arial" w:cs="Arial"/>
                <w:sz w:val="18"/>
                <w:szCs w:val="24"/>
              </w:rPr>
            </w:pPr>
            <w:r w:rsidRPr="00116C17">
              <w:rPr>
                <w:rFonts w:ascii="Arial" w:hAnsi="Arial" w:cs="Arial"/>
                <w:sz w:val="18"/>
                <w:szCs w:val="24"/>
              </w:rPr>
              <w:t>Disminuye la exposición del backend y aplica controles homogéneos de acceso.</w:t>
            </w:r>
          </w:p>
        </w:tc>
      </w:tr>
      <w:tr w:rsidR="00A27EB8" w:rsidRPr="00116C17" w14:paraId="7BCAFC10" w14:textId="77777777">
        <w:trPr>
          <w:jc w:val="center"/>
        </w:trPr>
        <w:tc>
          <w:tcPr>
            <w:tcW w:w="2556" w:type="dxa"/>
            <w:vAlign w:val="center"/>
          </w:tcPr>
          <w:p w14:paraId="0B9AB49A" w14:textId="77777777" w:rsidR="00A27EB8" w:rsidRPr="00116C17" w:rsidRDefault="00000000">
            <w:pPr>
              <w:rPr>
                <w:rFonts w:ascii="Arial" w:hAnsi="Arial" w:cs="Arial"/>
                <w:sz w:val="18"/>
                <w:szCs w:val="24"/>
              </w:rPr>
            </w:pPr>
            <w:r w:rsidRPr="00116C17">
              <w:rPr>
                <w:rFonts w:ascii="Arial" w:hAnsi="Arial" w:cs="Arial"/>
                <w:sz w:val="18"/>
                <w:szCs w:val="24"/>
              </w:rPr>
              <w:t>VPC, subred pública y subredes privadas</w:t>
            </w:r>
          </w:p>
        </w:tc>
        <w:tc>
          <w:tcPr>
            <w:tcW w:w="2556" w:type="dxa"/>
            <w:vAlign w:val="center"/>
          </w:tcPr>
          <w:p w14:paraId="490F3FE0" w14:textId="77777777" w:rsidR="00A27EB8" w:rsidRPr="00116C17" w:rsidRDefault="00000000">
            <w:pPr>
              <w:rPr>
                <w:rFonts w:ascii="Arial" w:hAnsi="Arial" w:cs="Arial"/>
                <w:sz w:val="18"/>
                <w:szCs w:val="24"/>
              </w:rPr>
            </w:pPr>
            <w:r w:rsidRPr="00116C17">
              <w:rPr>
                <w:rFonts w:ascii="Arial" w:hAnsi="Arial" w:cs="Arial"/>
                <w:sz w:val="18"/>
                <w:szCs w:val="24"/>
              </w:rPr>
              <w:t>RNF-01, RNF-02, RNF-05; soporte RF-01 a RF-20</w:t>
            </w:r>
          </w:p>
        </w:tc>
        <w:tc>
          <w:tcPr>
            <w:tcW w:w="2556" w:type="dxa"/>
            <w:vAlign w:val="center"/>
          </w:tcPr>
          <w:p w14:paraId="69125C99" w14:textId="77777777" w:rsidR="00A27EB8" w:rsidRPr="00116C17" w:rsidRDefault="00000000">
            <w:pPr>
              <w:rPr>
                <w:rFonts w:ascii="Arial" w:hAnsi="Arial" w:cs="Arial"/>
                <w:sz w:val="18"/>
                <w:szCs w:val="24"/>
              </w:rPr>
            </w:pPr>
            <w:r w:rsidRPr="00116C17">
              <w:rPr>
                <w:rFonts w:ascii="Arial" w:hAnsi="Arial" w:cs="Arial"/>
                <w:sz w:val="18"/>
                <w:szCs w:val="24"/>
              </w:rPr>
              <w:t xml:space="preserve">Separa recursos expuestos </w:t>
            </w:r>
            <w:proofErr w:type="gramStart"/>
            <w:r w:rsidRPr="00116C17">
              <w:rPr>
                <w:rFonts w:ascii="Arial" w:hAnsi="Arial" w:cs="Arial"/>
                <w:sz w:val="18"/>
                <w:szCs w:val="24"/>
              </w:rPr>
              <w:t>a</w:t>
            </w:r>
            <w:proofErr w:type="gramEnd"/>
            <w:r w:rsidRPr="00116C17">
              <w:rPr>
                <w:rFonts w:ascii="Arial" w:hAnsi="Arial" w:cs="Arial"/>
                <w:sz w:val="18"/>
                <w:szCs w:val="24"/>
              </w:rPr>
              <w:t xml:space="preserve"> Internet de la capa de aplicación y de datos.</w:t>
            </w:r>
          </w:p>
        </w:tc>
        <w:tc>
          <w:tcPr>
            <w:tcW w:w="2556" w:type="dxa"/>
            <w:vAlign w:val="center"/>
          </w:tcPr>
          <w:p w14:paraId="00774CD3" w14:textId="77777777" w:rsidR="00A27EB8" w:rsidRPr="00116C17" w:rsidRDefault="00000000">
            <w:pPr>
              <w:rPr>
                <w:rFonts w:ascii="Arial" w:hAnsi="Arial" w:cs="Arial"/>
                <w:sz w:val="18"/>
                <w:szCs w:val="24"/>
              </w:rPr>
            </w:pPr>
            <w:r w:rsidRPr="00116C17">
              <w:rPr>
                <w:rFonts w:ascii="Arial" w:hAnsi="Arial" w:cs="Arial"/>
                <w:sz w:val="18"/>
                <w:szCs w:val="24"/>
              </w:rPr>
              <w:t>El backend y las bases de datos no reciben tráfico público directo.</w:t>
            </w:r>
          </w:p>
        </w:tc>
      </w:tr>
      <w:tr w:rsidR="00A27EB8" w:rsidRPr="00116C17" w14:paraId="50BD8161" w14:textId="77777777">
        <w:trPr>
          <w:jc w:val="center"/>
        </w:trPr>
        <w:tc>
          <w:tcPr>
            <w:tcW w:w="2556" w:type="dxa"/>
            <w:vAlign w:val="center"/>
          </w:tcPr>
          <w:p w14:paraId="3534E19C" w14:textId="77777777" w:rsidR="00A27EB8" w:rsidRPr="00116C17" w:rsidRDefault="00000000">
            <w:pPr>
              <w:rPr>
                <w:rFonts w:ascii="Arial" w:hAnsi="Arial" w:cs="Arial"/>
                <w:sz w:val="18"/>
                <w:szCs w:val="24"/>
              </w:rPr>
            </w:pPr>
            <w:r w:rsidRPr="00116C17">
              <w:rPr>
                <w:rFonts w:ascii="Arial" w:hAnsi="Arial" w:cs="Arial"/>
                <w:sz w:val="18"/>
                <w:szCs w:val="24"/>
              </w:rPr>
              <w:t>NAT Gateway</w:t>
            </w:r>
          </w:p>
        </w:tc>
        <w:tc>
          <w:tcPr>
            <w:tcW w:w="2556" w:type="dxa"/>
            <w:vAlign w:val="center"/>
          </w:tcPr>
          <w:p w14:paraId="48BFDCFC" w14:textId="77777777" w:rsidR="00A27EB8" w:rsidRPr="00116C17" w:rsidRDefault="00000000">
            <w:pPr>
              <w:rPr>
                <w:rFonts w:ascii="Arial" w:hAnsi="Arial" w:cs="Arial"/>
                <w:sz w:val="18"/>
                <w:szCs w:val="24"/>
              </w:rPr>
            </w:pPr>
            <w:r w:rsidRPr="00116C17">
              <w:rPr>
                <w:rFonts w:ascii="Arial" w:hAnsi="Arial" w:cs="Arial"/>
                <w:sz w:val="18"/>
                <w:szCs w:val="24"/>
              </w:rPr>
              <w:t>RF-01, RF-07, RF-08; RNF-05</w:t>
            </w:r>
          </w:p>
        </w:tc>
        <w:tc>
          <w:tcPr>
            <w:tcW w:w="2556" w:type="dxa"/>
            <w:vAlign w:val="center"/>
          </w:tcPr>
          <w:p w14:paraId="038D9C0C" w14:textId="77777777" w:rsidR="00A27EB8" w:rsidRPr="00116C17" w:rsidRDefault="00000000">
            <w:pPr>
              <w:rPr>
                <w:rFonts w:ascii="Arial" w:hAnsi="Arial" w:cs="Arial"/>
                <w:sz w:val="18"/>
                <w:szCs w:val="24"/>
              </w:rPr>
            </w:pPr>
            <w:r w:rsidRPr="00116C17">
              <w:rPr>
                <w:rFonts w:ascii="Arial" w:hAnsi="Arial" w:cs="Arial"/>
                <w:sz w:val="18"/>
                <w:szCs w:val="24"/>
              </w:rPr>
              <w:t>Permite salida desde recursos privados hacia Mercado Público y servicios externos autorizados.</w:t>
            </w:r>
          </w:p>
        </w:tc>
        <w:tc>
          <w:tcPr>
            <w:tcW w:w="2556" w:type="dxa"/>
            <w:vAlign w:val="center"/>
          </w:tcPr>
          <w:p w14:paraId="6AA82C6F" w14:textId="77777777" w:rsidR="00A27EB8" w:rsidRPr="00116C17" w:rsidRDefault="00000000">
            <w:pPr>
              <w:rPr>
                <w:rFonts w:ascii="Arial" w:hAnsi="Arial" w:cs="Arial"/>
                <w:sz w:val="18"/>
                <w:szCs w:val="24"/>
              </w:rPr>
            </w:pPr>
            <w:r w:rsidRPr="00116C17">
              <w:rPr>
                <w:rFonts w:ascii="Arial" w:hAnsi="Arial" w:cs="Arial"/>
                <w:sz w:val="18"/>
                <w:szCs w:val="24"/>
              </w:rPr>
              <w:t>Consulta la fuente externa sin abrir conexiones entrantes a los funciones bajo demanda.</w:t>
            </w:r>
          </w:p>
        </w:tc>
      </w:tr>
      <w:tr w:rsidR="00A27EB8" w:rsidRPr="00116C17" w14:paraId="60B13161" w14:textId="77777777">
        <w:trPr>
          <w:jc w:val="center"/>
        </w:trPr>
        <w:tc>
          <w:tcPr>
            <w:tcW w:w="2556" w:type="dxa"/>
            <w:vAlign w:val="center"/>
          </w:tcPr>
          <w:p w14:paraId="11194507" w14:textId="77777777" w:rsidR="00A27EB8" w:rsidRPr="00116C17" w:rsidRDefault="00000000">
            <w:pPr>
              <w:rPr>
                <w:rFonts w:ascii="Arial" w:hAnsi="Arial" w:cs="Arial"/>
                <w:sz w:val="18"/>
                <w:szCs w:val="24"/>
              </w:rPr>
            </w:pPr>
            <w:r w:rsidRPr="00116C17">
              <w:rPr>
                <w:rFonts w:ascii="Arial" w:hAnsi="Arial" w:cs="Arial"/>
                <w:sz w:val="18"/>
                <w:szCs w:val="24"/>
              </w:rPr>
              <w:t>AWS Lambda Backend</w:t>
            </w:r>
          </w:p>
        </w:tc>
        <w:tc>
          <w:tcPr>
            <w:tcW w:w="2556" w:type="dxa"/>
            <w:vAlign w:val="center"/>
          </w:tcPr>
          <w:p w14:paraId="1179C868" w14:textId="77777777" w:rsidR="00A27EB8" w:rsidRPr="00116C17" w:rsidRDefault="00000000">
            <w:pPr>
              <w:rPr>
                <w:rFonts w:ascii="Arial" w:hAnsi="Arial" w:cs="Arial"/>
                <w:sz w:val="18"/>
                <w:szCs w:val="24"/>
              </w:rPr>
            </w:pPr>
            <w:r w:rsidRPr="00116C17">
              <w:rPr>
                <w:rFonts w:ascii="Arial" w:hAnsi="Arial" w:cs="Arial"/>
                <w:sz w:val="18"/>
                <w:szCs w:val="24"/>
              </w:rPr>
              <w:t>RF-01, RF-02, RF-04 a RF-08, RF-14 a RF-20; RNF-01, RNF-02, RNF-03</w:t>
            </w:r>
          </w:p>
        </w:tc>
        <w:tc>
          <w:tcPr>
            <w:tcW w:w="2556" w:type="dxa"/>
            <w:vAlign w:val="center"/>
          </w:tcPr>
          <w:p w14:paraId="0809ED5D" w14:textId="77777777" w:rsidR="00A27EB8" w:rsidRPr="00116C17" w:rsidRDefault="00000000">
            <w:pPr>
              <w:rPr>
                <w:rFonts w:ascii="Arial" w:hAnsi="Arial" w:cs="Arial"/>
                <w:sz w:val="18"/>
                <w:szCs w:val="24"/>
              </w:rPr>
            </w:pPr>
            <w:r w:rsidRPr="00116C17">
              <w:rPr>
                <w:rFonts w:ascii="Arial" w:hAnsi="Arial" w:cs="Arial"/>
                <w:sz w:val="18"/>
                <w:szCs w:val="24"/>
              </w:rPr>
              <w:t>Implementa bajo demanda la lógica Python: usuarios, oportunidades, filtros, reglas, validación, presupuesto, seguimiento, dashboard y reportes.</w:t>
            </w:r>
          </w:p>
        </w:tc>
        <w:tc>
          <w:tcPr>
            <w:tcW w:w="2556" w:type="dxa"/>
            <w:vAlign w:val="center"/>
          </w:tcPr>
          <w:p w14:paraId="7FE3C95F" w14:textId="77777777" w:rsidR="00A27EB8" w:rsidRPr="00116C17" w:rsidRDefault="00000000">
            <w:pPr>
              <w:rPr>
                <w:rFonts w:ascii="Arial" w:hAnsi="Arial" w:cs="Arial"/>
                <w:sz w:val="18"/>
                <w:szCs w:val="24"/>
              </w:rPr>
            </w:pPr>
            <w:r w:rsidRPr="00116C17">
              <w:rPr>
                <w:rFonts w:ascii="Arial" w:hAnsi="Arial" w:cs="Arial"/>
                <w:sz w:val="18"/>
                <w:szCs w:val="24"/>
              </w:rPr>
              <w:t>Elimina la administración de un clúster persistente y se ajusta al uso de un único usuario con carga intermitente.</w:t>
            </w:r>
          </w:p>
        </w:tc>
      </w:tr>
      <w:tr w:rsidR="00A27EB8" w:rsidRPr="00116C17" w14:paraId="0EA60D31" w14:textId="77777777">
        <w:trPr>
          <w:jc w:val="center"/>
        </w:trPr>
        <w:tc>
          <w:tcPr>
            <w:tcW w:w="2556" w:type="dxa"/>
            <w:vAlign w:val="center"/>
          </w:tcPr>
          <w:p w14:paraId="08C0376D" w14:textId="77777777" w:rsidR="00A27EB8" w:rsidRPr="00116C17" w:rsidRDefault="00000000">
            <w:pPr>
              <w:rPr>
                <w:rFonts w:ascii="Arial" w:hAnsi="Arial" w:cs="Arial"/>
                <w:sz w:val="18"/>
                <w:szCs w:val="24"/>
              </w:rPr>
            </w:pPr>
            <w:r w:rsidRPr="00116C17">
              <w:rPr>
                <w:rFonts w:ascii="Arial" w:hAnsi="Arial" w:cs="Arial"/>
                <w:sz w:val="18"/>
                <w:szCs w:val="24"/>
              </w:rPr>
              <w:t>Amazon SQS</w:t>
            </w:r>
          </w:p>
        </w:tc>
        <w:tc>
          <w:tcPr>
            <w:tcW w:w="2556" w:type="dxa"/>
            <w:vAlign w:val="center"/>
          </w:tcPr>
          <w:p w14:paraId="511AF443" w14:textId="77777777" w:rsidR="00A27EB8" w:rsidRPr="00116C17" w:rsidRDefault="00000000">
            <w:pPr>
              <w:rPr>
                <w:rFonts w:ascii="Arial" w:hAnsi="Arial" w:cs="Arial"/>
                <w:sz w:val="18"/>
                <w:szCs w:val="24"/>
              </w:rPr>
            </w:pPr>
            <w:r w:rsidRPr="00116C17">
              <w:rPr>
                <w:rFonts w:ascii="Arial" w:hAnsi="Arial" w:cs="Arial"/>
                <w:sz w:val="18"/>
                <w:szCs w:val="24"/>
              </w:rPr>
              <w:t>RF-09 a RF-13; RNF-06</w:t>
            </w:r>
          </w:p>
        </w:tc>
        <w:tc>
          <w:tcPr>
            <w:tcW w:w="2556" w:type="dxa"/>
            <w:vAlign w:val="center"/>
          </w:tcPr>
          <w:p w14:paraId="121999DD" w14:textId="77777777" w:rsidR="00A27EB8" w:rsidRPr="00116C17" w:rsidRDefault="00000000">
            <w:pPr>
              <w:rPr>
                <w:rFonts w:ascii="Arial" w:hAnsi="Arial" w:cs="Arial"/>
                <w:sz w:val="18"/>
                <w:szCs w:val="24"/>
              </w:rPr>
            </w:pPr>
            <w:r w:rsidRPr="00116C17">
              <w:rPr>
                <w:rFonts w:ascii="Arial" w:hAnsi="Arial" w:cs="Arial"/>
                <w:sz w:val="18"/>
                <w:szCs w:val="24"/>
              </w:rPr>
              <w:t>Convierte la solicitud de análisis documental en un mensaje persistente.</w:t>
            </w:r>
          </w:p>
        </w:tc>
        <w:tc>
          <w:tcPr>
            <w:tcW w:w="2556" w:type="dxa"/>
            <w:vAlign w:val="center"/>
          </w:tcPr>
          <w:p w14:paraId="7B307FDC" w14:textId="77777777" w:rsidR="00A27EB8" w:rsidRPr="00116C17" w:rsidRDefault="00000000">
            <w:pPr>
              <w:rPr>
                <w:rFonts w:ascii="Arial" w:hAnsi="Arial" w:cs="Arial"/>
                <w:sz w:val="18"/>
                <w:szCs w:val="24"/>
              </w:rPr>
            </w:pPr>
            <w:r w:rsidRPr="00116C17">
              <w:rPr>
                <w:rFonts w:ascii="Arial" w:hAnsi="Arial" w:cs="Arial"/>
                <w:sz w:val="18"/>
                <w:szCs w:val="24"/>
              </w:rPr>
              <w:t>Evita que el usuario espere procesos largos y absorbe picos de documentos por analizar.</w:t>
            </w:r>
          </w:p>
        </w:tc>
      </w:tr>
      <w:tr w:rsidR="00A27EB8" w:rsidRPr="00116C17" w14:paraId="6522CC66" w14:textId="77777777">
        <w:trPr>
          <w:jc w:val="center"/>
        </w:trPr>
        <w:tc>
          <w:tcPr>
            <w:tcW w:w="2556" w:type="dxa"/>
            <w:vAlign w:val="center"/>
          </w:tcPr>
          <w:p w14:paraId="1354C46E" w14:textId="77777777" w:rsidR="00A27EB8" w:rsidRPr="00116C17" w:rsidRDefault="00000000">
            <w:pPr>
              <w:rPr>
                <w:rFonts w:ascii="Arial" w:hAnsi="Arial" w:cs="Arial"/>
                <w:sz w:val="18"/>
                <w:szCs w:val="24"/>
              </w:rPr>
            </w:pPr>
            <w:r w:rsidRPr="00116C17">
              <w:rPr>
                <w:rFonts w:ascii="Arial" w:hAnsi="Arial" w:cs="Arial"/>
                <w:sz w:val="18"/>
                <w:szCs w:val="24"/>
              </w:rPr>
              <w:t>AWS Lambda Procesadora</w:t>
            </w:r>
          </w:p>
        </w:tc>
        <w:tc>
          <w:tcPr>
            <w:tcW w:w="2556" w:type="dxa"/>
            <w:vAlign w:val="center"/>
          </w:tcPr>
          <w:p w14:paraId="36006935" w14:textId="77777777" w:rsidR="00A27EB8" w:rsidRPr="00116C17" w:rsidRDefault="00000000">
            <w:pPr>
              <w:rPr>
                <w:rFonts w:ascii="Arial" w:hAnsi="Arial" w:cs="Arial"/>
                <w:sz w:val="18"/>
                <w:szCs w:val="24"/>
              </w:rPr>
            </w:pPr>
            <w:r w:rsidRPr="00116C17">
              <w:rPr>
                <w:rFonts w:ascii="Arial" w:hAnsi="Arial" w:cs="Arial"/>
                <w:sz w:val="18"/>
                <w:szCs w:val="24"/>
              </w:rPr>
              <w:t>RF-09 a RF-13; RNF-03, RNF-06</w:t>
            </w:r>
          </w:p>
        </w:tc>
        <w:tc>
          <w:tcPr>
            <w:tcW w:w="2556" w:type="dxa"/>
            <w:vAlign w:val="center"/>
          </w:tcPr>
          <w:p w14:paraId="48D0E767" w14:textId="77777777" w:rsidR="00A27EB8" w:rsidRPr="00116C17" w:rsidRDefault="00000000">
            <w:pPr>
              <w:rPr>
                <w:rFonts w:ascii="Arial" w:hAnsi="Arial" w:cs="Arial"/>
                <w:sz w:val="18"/>
                <w:szCs w:val="24"/>
              </w:rPr>
            </w:pPr>
            <w:r w:rsidRPr="00116C17">
              <w:rPr>
                <w:rFonts w:ascii="Arial" w:hAnsi="Arial" w:cs="Arial"/>
                <w:sz w:val="18"/>
                <w:szCs w:val="24"/>
              </w:rPr>
              <w:t>Procesa los trabajos encolados y gatilla el análisis documental bajo demanda.</w:t>
            </w:r>
          </w:p>
        </w:tc>
        <w:tc>
          <w:tcPr>
            <w:tcW w:w="2556" w:type="dxa"/>
            <w:vAlign w:val="center"/>
          </w:tcPr>
          <w:p w14:paraId="114A2965" w14:textId="77777777" w:rsidR="00A27EB8" w:rsidRPr="00116C17" w:rsidRDefault="00000000">
            <w:pPr>
              <w:rPr>
                <w:rFonts w:ascii="Arial" w:hAnsi="Arial" w:cs="Arial"/>
                <w:sz w:val="18"/>
                <w:szCs w:val="24"/>
              </w:rPr>
            </w:pPr>
            <w:r w:rsidRPr="00116C17">
              <w:rPr>
                <w:rFonts w:ascii="Arial" w:hAnsi="Arial" w:cs="Arial"/>
                <w:sz w:val="18"/>
                <w:szCs w:val="24"/>
              </w:rPr>
              <w:t>Reduce acoplamiento entre consulta web y trabajo intensivo; permite procesamiento asíncrono.</w:t>
            </w:r>
          </w:p>
        </w:tc>
      </w:tr>
      <w:tr w:rsidR="00A27EB8" w:rsidRPr="00116C17" w14:paraId="31864477" w14:textId="77777777">
        <w:trPr>
          <w:jc w:val="center"/>
        </w:trPr>
        <w:tc>
          <w:tcPr>
            <w:tcW w:w="2556" w:type="dxa"/>
            <w:vAlign w:val="center"/>
          </w:tcPr>
          <w:p w14:paraId="0308548D" w14:textId="77777777" w:rsidR="00A27EB8" w:rsidRPr="00116C17" w:rsidRDefault="00000000">
            <w:pPr>
              <w:rPr>
                <w:rFonts w:ascii="Arial" w:hAnsi="Arial" w:cs="Arial"/>
                <w:sz w:val="18"/>
                <w:szCs w:val="24"/>
              </w:rPr>
            </w:pPr>
            <w:r w:rsidRPr="00116C17">
              <w:rPr>
                <w:rFonts w:ascii="Arial" w:hAnsi="Arial" w:cs="Arial"/>
                <w:sz w:val="18"/>
                <w:szCs w:val="24"/>
              </w:rPr>
              <w:t>Servicio IA/ML</w:t>
            </w:r>
          </w:p>
        </w:tc>
        <w:tc>
          <w:tcPr>
            <w:tcW w:w="2556" w:type="dxa"/>
            <w:vAlign w:val="center"/>
          </w:tcPr>
          <w:p w14:paraId="71A0637C" w14:textId="77777777" w:rsidR="00A27EB8" w:rsidRPr="00116C17" w:rsidRDefault="00000000">
            <w:pPr>
              <w:rPr>
                <w:rFonts w:ascii="Arial" w:hAnsi="Arial" w:cs="Arial"/>
                <w:sz w:val="18"/>
                <w:szCs w:val="24"/>
              </w:rPr>
            </w:pPr>
            <w:r w:rsidRPr="00116C17">
              <w:rPr>
                <w:rFonts w:ascii="Arial" w:hAnsi="Arial" w:cs="Arial"/>
                <w:sz w:val="18"/>
                <w:szCs w:val="24"/>
              </w:rPr>
              <w:t>RF-03, RF-09, RF-10, RF-11, RF-12, RF-13; RNF-06</w:t>
            </w:r>
          </w:p>
        </w:tc>
        <w:tc>
          <w:tcPr>
            <w:tcW w:w="2556" w:type="dxa"/>
            <w:vAlign w:val="center"/>
          </w:tcPr>
          <w:p w14:paraId="31158A14" w14:textId="77777777" w:rsidR="00A27EB8" w:rsidRPr="00116C17" w:rsidRDefault="00000000">
            <w:pPr>
              <w:rPr>
                <w:rFonts w:ascii="Arial" w:hAnsi="Arial" w:cs="Arial"/>
                <w:sz w:val="18"/>
                <w:szCs w:val="24"/>
              </w:rPr>
            </w:pPr>
            <w:r w:rsidRPr="00116C17">
              <w:rPr>
                <w:rFonts w:ascii="Arial" w:hAnsi="Arial" w:cs="Arial"/>
                <w:sz w:val="18"/>
                <w:szCs w:val="24"/>
              </w:rPr>
              <w:t>Implementa búsqueda semántica y análisis de TDR: resumen, servicios, fechas, presupuesto y requisitos administrativos.</w:t>
            </w:r>
          </w:p>
        </w:tc>
        <w:tc>
          <w:tcPr>
            <w:tcW w:w="2556" w:type="dxa"/>
            <w:vAlign w:val="center"/>
          </w:tcPr>
          <w:p w14:paraId="225EFFC1" w14:textId="77777777" w:rsidR="00A27EB8" w:rsidRPr="00116C17" w:rsidRDefault="00000000">
            <w:pPr>
              <w:rPr>
                <w:rFonts w:ascii="Arial" w:hAnsi="Arial" w:cs="Arial"/>
                <w:sz w:val="18"/>
                <w:szCs w:val="24"/>
              </w:rPr>
            </w:pPr>
            <w:r w:rsidRPr="00116C17">
              <w:rPr>
                <w:rFonts w:ascii="Arial" w:hAnsi="Arial" w:cs="Arial"/>
                <w:sz w:val="18"/>
                <w:szCs w:val="24"/>
              </w:rPr>
              <w:t>Responde al elemento diferenciador: filtrar por intención y no sólo coincidencia exacta.</w:t>
            </w:r>
          </w:p>
        </w:tc>
      </w:tr>
      <w:tr w:rsidR="00A27EB8" w:rsidRPr="00116C17" w14:paraId="7B2D0775" w14:textId="77777777">
        <w:trPr>
          <w:jc w:val="center"/>
        </w:trPr>
        <w:tc>
          <w:tcPr>
            <w:tcW w:w="2556" w:type="dxa"/>
            <w:vAlign w:val="center"/>
          </w:tcPr>
          <w:p w14:paraId="06FD494C" w14:textId="77777777" w:rsidR="00A27EB8" w:rsidRPr="00116C17" w:rsidRDefault="00000000">
            <w:pPr>
              <w:rPr>
                <w:rFonts w:ascii="Arial" w:hAnsi="Arial" w:cs="Arial"/>
                <w:sz w:val="18"/>
                <w:szCs w:val="24"/>
              </w:rPr>
            </w:pPr>
            <w:r w:rsidRPr="00116C17">
              <w:rPr>
                <w:rFonts w:ascii="Arial" w:hAnsi="Arial" w:cs="Arial"/>
                <w:sz w:val="18"/>
                <w:szCs w:val="24"/>
              </w:rPr>
              <w:t>PostgreSQL + KMS</w:t>
            </w:r>
          </w:p>
        </w:tc>
        <w:tc>
          <w:tcPr>
            <w:tcW w:w="2556" w:type="dxa"/>
            <w:vAlign w:val="center"/>
          </w:tcPr>
          <w:p w14:paraId="3DF1A7B3" w14:textId="77777777" w:rsidR="00A27EB8" w:rsidRPr="00116C17" w:rsidRDefault="00000000">
            <w:pPr>
              <w:rPr>
                <w:rFonts w:ascii="Arial" w:hAnsi="Arial" w:cs="Arial"/>
                <w:sz w:val="18"/>
                <w:szCs w:val="24"/>
              </w:rPr>
            </w:pPr>
            <w:r w:rsidRPr="00116C17">
              <w:rPr>
                <w:rFonts w:ascii="Arial" w:hAnsi="Arial" w:cs="Arial"/>
                <w:sz w:val="18"/>
                <w:szCs w:val="24"/>
              </w:rPr>
              <w:t>PostgreSQL: RF-01, RF-05, RF-07 a RF-20. KMS: soporte RNF-05 y RF con datos persistidos.</w:t>
            </w:r>
          </w:p>
        </w:tc>
        <w:tc>
          <w:tcPr>
            <w:tcW w:w="2556" w:type="dxa"/>
            <w:vAlign w:val="center"/>
          </w:tcPr>
          <w:p w14:paraId="7ABB559E" w14:textId="77777777" w:rsidR="00A27EB8" w:rsidRPr="00116C17" w:rsidRDefault="00000000">
            <w:pPr>
              <w:rPr>
                <w:rFonts w:ascii="Arial" w:hAnsi="Arial" w:cs="Arial"/>
                <w:sz w:val="18"/>
                <w:szCs w:val="24"/>
              </w:rPr>
            </w:pPr>
            <w:r w:rsidRPr="00116C17">
              <w:rPr>
                <w:rFonts w:ascii="Arial" w:hAnsi="Arial" w:cs="Arial"/>
                <w:sz w:val="18"/>
                <w:szCs w:val="24"/>
              </w:rPr>
              <w:t>Mantiene oportunidades, configuraciones, análisis, alertas, costos, estados e indicadores; KMS cifra la información.</w:t>
            </w:r>
          </w:p>
        </w:tc>
        <w:tc>
          <w:tcPr>
            <w:tcW w:w="2556" w:type="dxa"/>
            <w:vAlign w:val="center"/>
          </w:tcPr>
          <w:p w14:paraId="7FD07532" w14:textId="77777777" w:rsidR="00A27EB8" w:rsidRPr="00116C17" w:rsidRDefault="00000000">
            <w:pPr>
              <w:rPr>
                <w:rFonts w:ascii="Arial" w:hAnsi="Arial" w:cs="Arial"/>
                <w:sz w:val="18"/>
                <w:szCs w:val="24"/>
              </w:rPr>
            </w:pPr>
            <w:r w:rsidRPr="00116C17">
              <w:rPr>
                <w:rFonts w:ascii="Arial" w:hAnsi="Arial" w:cs="Arial"/>
                <w:sz w:val="18"/>
                <w:szCs w:val="24"/>
              </w:rPr>
              <w:t>Da soporte al dashboard, reportes y trazabilidad, protegiendo información comercial almacenada.</w:t>
            </w:r>
          </w:p>
        </w:tc>
      </w:tr>
      <w:tr w:rsidR="00A27EB8" w:rsidRPr="00116C17" w14:paraId="7682C87E" w14:textId="77777777">
        <w:trPr>
          <w:jc w:val="center"/>
        </w:trPr>
        <w:tc>
          <w:tcPr>
            <w:tcW w:w="2556" w:type="dxa"/>
            <w:vAlign w:val="center"/>
          </w:tcPr>
          <w:p w14:paraId="0983FCEF" w14:textId="77777777" w:rsidR="00A27EB8" w:rsidRPr="00116C17" w:rsidRDefault="00000000">
            <w:pPr>
              <w:rPr>
                <w:rFonts w:ascii="Arial" w:hAnsi="Arial" w:cs="Arial"/>
                <w:sz w:val="18"/>
                <w:szCs w:val="24"/>
              </w:rPr>
            </w:pPr>
            <w:r w:rsidRPr="00116C17">
              <w:rPr>
                <w:rFonts w:ascii="Arial" w:hAnsi="Arial" w:cs="Arial"/>
                <w:sz w:val="18"/>
                <w:szCs w:val="24"/>
              </w:rPr>
              <w:t>IAM Roles, Security Groups y monitoreo</w:t>
            </w:r>
          </w:p>
        </w:tc>
        <w:tc>
          <w:tcPr>
            <w:tcW w:w="2556" w:type="dxa"/>
            <w:vAlign w:val="center"/>
          </w:tcPr>
          <w:p w14:paraId="278AFFD1" w14:textId="77777777" w:rsidR="00A27EB8" w:rsidRPr="00116C17" w:rsidRDefault="00000000">
            <w:pPr>
              <w:rPr>
                <w:rFonts w:ascii="Arial" w:hAnsi="Arial" w:cs="Arial"/>
                <w:sz w:val="18"/>
                <w:szCs w:val="24"/>
              </w:rPr>
            </w:pPr>
            <w:r w:rsidRPr="00116C17">
              <w:rPr>
                <w:rFonts w:ascii="Arial" w:hAnsi="Arial" w:cs="Arial"/>
                <w:sz w:val="18"/>
                <w:szCs w:val="24"/>
              </w:rPr>
              <w:t>IAM/Security Groups: RNF-05; monitoreo: RNF-05, RNF-06; soporte RF-01, RF-07, RF-09 a RF-13, RF-19 y RF-20</w:t>
            </w:r>
          </w:p>
        </w:tc>
        <w:tc>
          <w:tcPr>
            <w:tcW w:w="2556" w:type="dxa"/>
            <w:vAlign w:val="center"/>
          </w:tcPr>
          <w:p w14:paraId="1A84C819" w14:textId="77777777" w:rsidR="00A27EB8" w:rsidRPr="00116C17" w:rsidRDefault="00000000">
            <w:pPr>
              <w:rPr>
                <w:rFonts w:ascii="Arial" w:hAnsi="Arial" w:cs="Arial"/>
                <w:sz w:val="18"/>
                <w:szCs w:val="24"/>
              </w:rPr>
            </w:pPr>
            <w:r w:rsidRPr="00116C17">
              <w:rPr>
                <w:rFonts w:ascii="Arial" w:hAnsi="Arial" w:cs="Arial"/>
                <w:sz w:val="18"/>
                <w:szCs w:val="24"/>
              </w:rPr>
              <w:t>IAM aplica mínimo privilegio, Security Groups restringen tráfico, y logs/métricas entregan observabilidad.</w:t>
            </w:r>
          </w:p>
        </w:tc>
        <w:tc>
          <w:tcPr>
            <w:tcW w:w="2556" w:type="dxa"/>
            <w:vAlign w:val="center"/>
          </w:tcPr>
          <w:p w14:paraId="72FD3262" w14:textId="77777777" w:rsidR="00A27EB8" w:rsidRPr="00116C17" w:rsidRDefault="00000000">
            <w:pPr>
              <w:rPr>
                <w:rFonts w:ascii="Arial" w:hAnsi="Arial" w:cs="Arial"/>
                <w:sz w:val="18"/>
                <w:szCs w:val="24"/>
              </w:rPr>
            </w:pPr>
            <w:r w:rsidRPr="00116C17">
              <w:rPr>
                <w:rFonts w:ascii="Arial" w:hAnsi="Arial" w:cs="Arial"/>
                <w:sz w:val="18"/>
                <w:szCs w:val="24"/>
              </w:rPr>
              <w:t>Mejora seguridad operacional, auditoría y diagnóstico de errores de integración y procesamiento.</w:t>
            </w:r>
          </w:p>
        </w:tc>
      </w:tr>
    </w:tbl>
    <w:p w14:paraId="76C23848" w14:textId="77777777" w:rsidR="00116C17" w:rsidRDefault="00116C17">
      <w:pPr>
        <w:pStyle w:val="Ttulo1"/>
        <w:spacing w:before="200" w:after="100"/>
        <w:rPr>
          <w:rFonts w:ascii="Arial" w:hAnsi="Arial" w:cs="Arial"/>
        </w:rPr>
      </w:pPr>
    </w:p>
    <w:p w14:paraId="63A81FB8" w14:textId="77777777" w:rsidR="00116C17" w:rsidRDefault="00116C17">
      <w:pPr>
        <w:pStyle w:val="Ttulo1"/>
        <w:spacing w:before="200" w:after="100"/>
        <w:rPr>
          <w:rFonts w:ascii="Arial" w:hAnsi="Arial" w:cs="Arial"/>
        </w:rPr>
      </w:pPr>
    </w:p>
    <w:p w14:paraId="74E3D77D" w14:textId="77777777" w:rsidR="00116C17" w:rsidRPr="00116C17" w:rsidRDefault="00116C17" w:rsidP="00116C17"/>
    <w:p w14:paraId="12528363" w14:textId="13F61C4B" w:rsidR="00A27EB8" w:rsidRPr="00116C17" w:rsidRDefault="00000000">
      <w:pPr>
        <w:pStyle w:val="Ttulo1"/>
        <w:spacing w:before="200" w:after="100"/>
        <w:rPr>
          <w:rFonts w:ascii="Arial" w:hAnsi="Arial" w:cs="Arial"/>
        </w:rPr>
      </w:pPr>
      <w:r w:rsidRPr="00116C17">
        <w:rPr>
          <w:rFonts w:ascii="Arial" w:hAnsi="Arial" w:cs="Arial"/>
        </w:rPr>
        <w:lastRenderedPageBreak/>
        <w:t>5. Flujo de operación</w:t>
      </w:r>
    </w:p>
    <w:p w14:paraId="028718F4" w14:textId="77777777" w:rsidR="00A27EB8" w:rsidRPr="00116C17" w:rsidRDefault="00000000">
      <w:pPr>
        <w:pStyle w:val="Listaconnmeros"/>
        <w:rPr>
          <w:rFonts w:ascii="Arial" w:hAnsi="Arial" w:cs="Arial"/>
        </w:rPr>
      </w:pPr>
      <w:r w:rsidRPr="00116C17">
        <w:rPr>
          <w:rFonts w:ascii="Arial" w:hAnsi="Arial" w:cs="Arial"/>
        </w:rPr>
        <w:t>El usuario ingresa a LICING WEB mediante HTTPS y se autentica. API Gateway valida el JWT y el rol antes de permitir el acceso.</w:t>
      </w:r>
    </w:p>
    <w:p w14:paraId="13D4EDA9" w14:textId="77777777" w:rsidR="00A27EB8" w:rsidRPr="00116C17" w:rsidRDefault="00000000">
      <w:pPr>
        <w:pStyle w:val="Listaconnmeros"/>
        <w:rPr>
          <w:rFonts w:ascii="Arial" w:hAnsi="Arial" w:cs="Arial"/>
        </w:rPr>
      </w:pPr>
      <w:r w:rsidRPr="00116C17">
        <w:rPr>
          <w:rFonts w:ascii="Arial" w:hAnsi="Arial" w:cs="Arial"/>
        </w:rPr>
        <w:t>El usuario configura o ejecuta una búsqueda. El backend en Lambda Backend aplica reglas de palabras clave, categorías, ubicación, monto y umbrales definidos para el negocio.</w:t>
      </w:r>
    </w:p>
    <w:p w14:paraId="6AAE1588" w14:textId="77777777" w:rsidR="00A27EB8" w:rsidRPr="00116C17" w:rsidRDefault="00000000">
      <w:pPr>
        <w:pStyle w:val="Listaconnmeros"/>
        <w:rPr>
          <w:rFonts w:ascii="Arial" w:hAnsi="Arial" w:cs="Arial"/>
        </w:rPr>
      </w:pPr>
      <w:r w:rsidRPr="00116C17">
        <w:rPr>
          <w:rFonts w:ascii="Arial" w:hAnsi="Arial" w:cs="Arial"/>
        </w:rPr>
        <w:t>El backend consulta la fuente autorizada de Mercado Público mediante NAT Gateway, obtiene el detalle y valida el identificador con los documentos adjuntos.</w:t>
      </w:r>
    </w:p>
    <w:p w14:paraId="337CE889" w14:textId="77777777" w:rsidR="00A27EB8" w:rsidRPr="00116C17" w:rsidRDefault="00000000">
      <w:pPr>
        <w:pStyle w:val="Listaconnmeros"/>
        <w:rPr>
          <w:rFonts w:ascii="Arial" w:hAnsi="Arial" w:cs="Arial"/>
        </w:rPr>
      </w:pPr>
      <w:r w:rsidRPr="00116C17">
        <w:rPr>
          <w:rFonts w:ascii="Arial" w:hAnsi="Arial" w:cs="Arial"/>
        </w:rPr>
        <w:t>Si se debe analizar una licitación o sus TDR, el backend envía un mensaje a SQS. La respuesta al usuario puede ser inmediata: “análisis en proceso”.</w:t>
      </w:r>
    </w:p>
    <w:p w14:paraId="59F19959" w14:textId="77777777" w:rsidR="00A27EB8" w:rsidRPr="00116C17" w:rsidRDefault="00000000">
      <w:pPr>
        <w:pStyle w:val="Listaconnmeros"/>
        <w:rPr>
          <w:rFonts w:ascii="Arial" w:hAnsi="Arial" w:cs="Arial"/>
        </w:rPr>
      </w:pPr>
      <w:r w:rsidRPr="00116C17">
        <w:rPr>
          <w:rFonts w:ascii="Arial" w:hAnsi="Arial" w:cs="Arial"/>
        </w:rPr>
        <w:t>Lambda consume el mensaje y coordina el análisis IA/ML. Se extraen servicios requeridos, fechas, presupuesto y documentos administrativos obligatorios.</w:t>
      </w:r>
    </w:p>
    <w:p w14:paraId="2494D369" w14:textId="77777777" w:rsidR="00A27EB8" w:rsidRPr="00116C17" w:rsidRDefault="00000000">
      <w:pPr>
        <w:pStyle w:val="Listaconnmeros"/>
        <w:rPr>
          <w:rFonts w:ascii="Arial" w:hAnsi="Arial" w:cs="Arial"/>
        </w:rPr>
      </w:pPr>
      <w:r w:rsidRPr="00116C17">
        <w:rPr>
          <w:rFonts w:ascii="Arial" w:hAnsi="Arial" w:cs="Arial"/>
        </w:rPr>
        <w:t>Los resultados quedan persistidos en PostgreSQL y se muestran en el detalle de la oportunidad, alertas, dashboard y reportes.</w:t>
      </w:r>
    </w:p>
    <w:p w14:paraId="7C7F2215" w14:textId="77777777" w:rsidR="00A27EB8" w:rsidRPr="00116C17" w:rsidRDefault="00000000">
      <w:pPr>
        <w:pStyle w:val="Listaconnmeros"/>
        <w:rPr>
          <w:rFonts w:ascii="Arial" w:hAnsi="Arial" w:cs="Arial"/>
        </w:rPr>
      </w:pPr>
      <w:r w:rsidRPr="00116C17">
        <w:rPr>
          <w:rFonts w:ascii="Arial" w:hAnsi="Arial" w:cs="Arial"/>
        </w:rPr>
        <w:t>Logs, métricas y alarmas permiten detectar fallas de integración, mensajes no procesados, errores de aplicación o degradación de base de datos.</w:t>
      </w:r>
    </w:p>
    <w:p w14:paraId="344B6FA6" w14:textId="77777777" w:rsidR="00A27EB8" w:rsidRPr="00116C17" w:rsidRDefault="00000000">
      <w:pPr>
        <w:pStyle w:val="Ttulo1"/>
        <w:spacing w:before="200" w:after="100"/>
        <w:rPr>
          <w:rFonts w:ascii="Arial" w:hAnsi="Arial" w:cs="Arial"/>
        </w:rPr>
      </w:pPr>
      <w:r w:rsidRPr="00116C17">
        <w:rPr>
          <w:rFonts w:ascii="Arial" w:hAnsi="Arial" w:cs="Arial"/>
        </w:rPr>
        <w:t>6. Cumplimiento de atributos de calidad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408"/>
        <w:gridCol w:w="3408"/>
        <w:gridCol w:w="3408"/>
      </w:tblGrid>
      <w:tr w:rsidR="00A27EB8" w:rsidRPr="00116C17" w14:paraId="7B1CF717" w14:textId="77777777">
        <w:trPr>
          <w:jc w:val="center"/>
        </w:trPr>
        <w:tc>
          <w:tcPr>
            <w:tcW w:w="3408" w:type="dxa"/>
            <w:shd w:val="clear" w:color="auto" w:fill="1F4E79"/>
            <w:vAlign w:val="center"/>
          </w:tcPr>
          <w:p w14:paraId="4D06FC0F" w14:textId="77777777" w:rsidR="00A27EB8" w:rsidRPr="00116C17" w:rsidRDefault="00000000">
            <w:pPr>
              <w:rPr>
                <w:rFonts w:ascii="Arial" w:hAnsi="Arial" w:cs="Arial"/>
              </w:rPr>
            </w:pPr>
            <w:r w:rsidRPr="00116C17">
              <w:rPr>
                <w:rFonts w:ascii="Arial" w:hAnsi="Arial" w:cs="Arial"/>
                <w:b/>
                <w:color w:val="FFFFFF"/>
                <w:sz w:val="17"/>
              </w:rPr>
              <w:t>Atributo</w:t>
            </w:r>
          </w:p>
        </w:tc>
        <w:tc>
          <w:tcPr>
            <w:tcW w:w="3408" w:type="dxa"/>
            <w:shd w:val="clear" w:color="auto" w:fill="1F4E79"/>
            <w:vAlign w:val="center"/>
          </w:tcPr>
          <w:p w14:paraId="2000B39A" w14:textId="77777777" w:rsidR="00A27EB8" w:rsidRPr="00116C17" w:rsidRDefault="00000000">
            <w:pPr>
              <w:rPr>
                <w:rFonts w:ascii="Arial" w:hAnsi="Arial" w:cs="Arial"/>
              </w:rPr>
            </w:pPr>
            <w:r w:rsidRPr="00116C17">
              <w:rPr>
                <w:rFonts w:ascii="Arial" w:hAnsi="Arial" w:cs="Arial"/>
                <w:b/>
                <w:color w:val="FFFFFF"/>
                <w:sz w:val="17"/>
              </w:rPr>
              <w:t>Cómo lo aborda la arquitectura</w:t>
            </w:r>
          </w:p>
        </w:tc>
        <w:tc>
          <w:tcPr>
            <w:tcW w:w="3408" w:type="dxa"/>
            <w:shd w:val="clear" w:color="auto" w:fill="1F4E79"/>
            <w:vAlign w:val="center"/>
          </w:tcPr>
          <w:p w14:paraId="55F6E0DA" w14:textId="77777777" w:rsidR="00A27EB8" w:rsidRPr="00116C17" w:rsidRDefault="00000000">
            <w:pPr>
              <w:rPr>
                <w:rFonts w:ascii="Arial" w:hAnsi="Arial" w:cs="Arial"/>
              </w:rPr>
            </w:pPr>
            <w:r w:rsidRPr="00116C17">
              <w:rPr>
                <w:rFonts w:ascii="Arial" w:hAnsi="Arial" w:cs="Arial"/>
                <w:b/>
                <w:color w:val="FFFFFF"/>
                <w:sz w:val="17"/>
              </w:rPr>
              <w:t>Evidencia en el diseño</w:t>
            </w:r>
          </w:p>
        </w:tc>
      </w:tr>
      <w:tr w:rsidR="00A27EB8" w:rsidRPr="00116C17" w14:paraId="6C6313DD" w14:textId="77777777">
        <w:trPr>
          <w:jc w:val="center"/>
        </w:trPr>
        <w:tc>
          <w:tcPr>
            <w:tcW w:w="3408" w:type="dxa"/>
            <w:vAlign w:val="center"/>
          </w:tcPr>
          <w:p w14:paraId="21401CC7" w14:textId="77777777" w:rsidR="00A27EB8" w:rsidRPr="00116C17" w:rsidRDefault="00000000">
            <w:pPr>
              <w:rPr>
                <w:rFonts w:ascii="Arial" w:hAnsi="Arial" w:cs="Arial"/>
                <w:szCs w:val="20"/>
              </w:rPr>
            </w:pPr>
            <w:r w:rsidRPr="00116C17">
              <w:rPr>
                <w:rFonts w:ascii="Arial" w:hAnsi="Arial" w:cs="Arial"/>
                <w:szCs w:val="20"/>
              </w:rPr>
              <w:t>Seguridad</w:t>
            </w:r>
          </w:p>
        </w:tc>
        <w:tc>
          <w:tcPr>
            <w:tcW w:w="3408" w:type="dxa"/>
            <w:vAlign w:val="center"/>
          </w:tcPr>
          <w:p w14:paraId="339CB5AB" w14:textId="77777777" w:rsidR="00A27EB8" w:rsidRPr="00116C17" w:rsidRDefault="00000000">
            <w:pPr>
              <w:rPr>
                <w:rFonts w:ascii="Arial" w:hAnsi="Arial" w:cs="Arial"/>
                <w:szCs w:val="20"/>
              </w:rPr>
            </w:pPr>
            <w:r w:rsidRPr="00116C17">
              <w:rPr>
                <w:rFonts w:ascii="Arial" w:hAnsi="Arial" w:cs="Arial"/>
                <w:szCs w:val="20"/>
              </w:rPr>
              <w:t>Defensa por capas: HTTPS, API Gateway, JWT/roles, subredes privadas, Security Groups, IAM y KMS.</w:t>
            </w:r>
          </w:p>
        </w:tc>
        <w:tc>
          <w:tcPr>
            <w:tcW w:w="3408" w:type="dxa"/>
            <w:vAlign w:val="center"/>
          </w:tcPr>
          <w:p w14:paraId="1DF21D84" w14:textId="77777777" w:rsidR="00A27EB8" w:rsidRPr="00116C17" w:rsidRDefault="00000000">
            <w:pPr>
              <w:rPr>
                <w:rFonts w:ascii="Arial" w:hAnsi="Arial" w:cs="Arial"/>
                <w:szCs w:val="20"/>
              </w:rPr>
            </w:pPr>
            <w:r w:rsidRPr="00116C17">
              <w:rPr>
                <w:rFonts w:ascii="Arial" w:hAnsi="Arial" w:cs="Arial"/>
                <w:szCs w:val="20"/>
              </w:rPr>
              <w:t>Sólo el borde de API Gateway se expone; aplicación y datos quedan en segmentos privados.</w:t>
            </w:r>
          </w:p>
        </w:tc>
      </w:tr>
      <w:tr w:rsidR="00A27EB8" w:rsidRPr="00116C17" w14:paraId="5E207C84" w14:textId="77777777">
        <w:trPr>
          <w:jc w:val="center"/>
        </w:trPr>
        <w:tc>
          <w:tcPr>
            <w:tcW w:w="3408" w:type="dxa"/>
            <w:vAlign w:val="center"/>
          </w:tcPr>
          <w:p w14:paraId="2FFDE6FE" w14:textId="77777777" w:rsidR="00A27EB8" w:rsidRPr="00116C17" w:rsidRDefault="00000000">
            <w:pPr>
              <w:rPr>
                <w:rFonts w:ascii="Arial" w:hAnsi="Arial" w:cs="Arial"/>
                <w:szCs w:val="20"/>
              </w:rPr>
            </w:pPr>
            <w:r w:rsidRPr="00116C17">
              <w:rPr>
                <w:rFonts w:ascii="Arial" w:hAnsi="Arial" w:cs="Arial"/>
                <w:szCs w:val="20"/>
              </w:rPr>
              <w:t>Rendimiento</w:t>
            </w:r>
          </w:p>
        </w:tc>
        <w:tc>
          <w:tcPr>
            <w:tcW w:w="3408" w:type="dxa"/>
            <w:vAlign w:val="center"/>
          </w:tcPr>
          <w:p w14:paraId="3A9372B8" w14:textId="77777777" w:rsidR="00A27EB8" w:rsidRPr="00116C17" w:rsidRDefault="00000000">
            <w:pPr>
              <w:rPr>
                <w:rFonts w:ascii="Arial" w:hAnsi="Arial" w:cs="Arial"/>
                <w:szCs w:val="20"/>
              </w:rPr>
            </w:pPr>
            <w:r w:rsidRPr="00116C17">
              <w:rPr>
                <w:rFonts w:ascii="Arial" w:hAnsi="Arial" w:cs="Arial"/>
                <w:szCs w:val="20"/>
              </w:rPr>
              <w:t>El análisis pesado se separa de operaciones interactivas.</w:t>
            </w:r>
          </w:p>
        </w:tc>
        <w:tc>
          <w:tcPr>
            <w:tcW w:w="3408" w:type="dxa"/>
            <w:vAlign w:val="center"/>
          </w:tcPr>
          <w:p w14:paraId="45A4CB85" w14:textId="77777777" w:rsidR="00A27EB8" w:rsidRPr="00116C17" w:rsidRDefault="00000000">
            <w:pPr>
              <w:rPr>
                <w:rFonts w:ascii="Arial" w:hAnsi="Arial" w:cs="Arial"/>
                <w:szCs w:val="20"/>
              </w:rPr>
            </w:pPr>
            <w:r w:rsidRPr="00116C17">
              <w:rPr>
                <w:rFonts w:ascii="Arial" w:hAnsi="Arial" w:cs="Arial"/>
                <w:szCs w:val="20"/>
              </w:rPr>
              <w:t>SQS y la Lambda Procesadora evitan bloquear la Lambda Backend mientras se procesan TDR.</w:t>
            </w:r>
          </w:p>
        </w:tc>
      </w:tr>
      <w:tr w:rsidR="00A27EB8" w:rsidRPr="00116C17" w14:paraId="1B0C47F6" w14:textId="77777777">
        <w:trPr>
          <w:jc w:val="center"/>
        </w:trPr>
        <w:tc>
          <w:tcPr>
            <w:tcW w:w="3408" w:type="dxa"/>
            <w:vAlign w:val="center"/>
          </w:tcPr>
          <w:p w14:paraId="1F55AD92" w14:textId="77777777" w:rsidR="00A27EB8" w:rsidRPr="00116C17" w:rsidRDefault="00000000">
            <w:pPr>
              <w:rPr>
                <w:rFonts w:ascii="Arial" w:hAnsi="Arial" w:cs="Arial"/>
                <w:szCs w:val="20"/>
              </w:rPr>
            </w:pPr>
            <w:r w:rsidRPr="00116C17">
              <w:rPr>
                <w:rFonts w:ascii="Arial" w:hAnsi="Arial" w:cs="Arial"/>
                <w:szCs w:val="20"/>
              </w:rPr>
              <w:t>Escalabilidad</w:t>
            </w:r>
          </w:p>
        </w:tc>
        <w:tc>
          <w:tcPr>
            <w:tcW w:w="3408" w:type="dxa"/>
            <w:vAlign w:val="center"/>
          </w:tcPr>
          <w:p w14:paraId="34F076CF" w14:textId="77777777" w:rsidR="00A27EB8" w:rsidRPr="00116C17" w:rsidRDefault="00000000">
            <w:pPr>
              <w:rPr>
                <w:rFonts w:ascii="Arial" w:hAnsi="Arial" w:cs="Arial"/>
                <w:szCs w:val="20"/>
              </w:rPr>
            </w:pPr>
            <w:r w:rsidRPr="00116C17">
              <w:rPr>
                <w:rFonts w:ascii="Arial" w:hAnsi="Arial" w:cs="Arial"/>
                <w:szCs w:val="20"/>
              </w:rPr>
              <w:t>Contenedores y procesamiento bajo demanda escalan separadamente.</w:t>
            </w:r>
          </w:p>
        </w:tc>
        <w:tc>
          <w:tcPr>
            <w:tcW w:w="3408" w:type="dxa"/>
            <w:vAlign w:val="center"/>
          </w:tcPr>
          <w:p w14:paraId="080AA298" w14:textId="77777777" w:rsidR="00A27EB8" w:rsidRPr="00116C17" w:rsidRDefault="00000000">
            <w:pPr>
              <w:rPr>
                <w:rFonts w:ascii="Arial" w:hAnsi="Arial" w:cs="Arial"/>
                <w:szCs w:val="20"/>
              </w:rPr>
            </w:pPr>
            <w:r w:rsidRPr="00116C17">
              <w:rPr>
                <w:rFonts w:ascii="Arial" w:hAnsi="Arial" w:cs="Arial"/>
                <w:szCs w:val="20"/>
              </w:rPr>
              <w:t>Lambda Backend atiende tráfico web; Lambda aumenta capacidad de mensajes.</w:t>
            </w:r>
          </w:p>
        </w:tc>
      </w:tr>
      <w:tr w:rsidR="00A27EB8" w:rsidRPr="00116C17" w14:paraId="63EA0D49" w14:textId="77777777">
        <w:trPr>
          <w:jc w:val="center"/>
        </w:trPr>
        <w:tc>
          <w:tcPr>
            <w:tcW w:w="3408" w:type="dxa"/>
            <w:vAlign w:val="center"/>
          </w:tcPr>
          <w:p w14:paraId="41315852" w14:textId="77777777" w:rsidR="00A27EB8" w:rsidRPr="00116C17" w:rsidRDefault="00000000">
            <w:pPr>
              <w:rPr>
                <w:rFonts w:ascii="Arial" w:hAnsi="Arial" w:cs="Arial"/>
                <w:szCs w:val="20"/>
              </w:rPr>
            </w:pPr>
            <w:r w:rsidRPr="00116C17">
              <w:rPr>
                <w:rFonts w:ascii="Arial" w:hAnsi="Arial" w:cs="Arial"/>
                <w:szCs w:val="20"/>
              </w:rPr>
              <w:t>Mantenibilidad</w:t>
            </w:r>
          </w:p>
        </w:tc>
        <w:tc>
          <w:tcPr>
            <w:tcW w:w="3408" w:type="dxa"/>
            <w:vAlign w:val="center"/>
          </w:tcPr>
          <w:p w14:paraId="1D162539" w14:textId="77777777" w:rsidR="00A27EB8" w:rsidRPr="00116C17" w:rsidRDefault="00000000">
            <w:pPr>
              <w:rPr>
                <w:rFonts w:ascii="Arial" w:hAnsi="Arial" w:cs="Arial"/>
                <w:szCs w:val="20"/>
              </w:rPr>
            </w:pPr>
            <w:r w:rsidRPr="00116C17">
              <w:rPr>
                <w:rFonts w:ascii="Arial" w:hAnsi="Arial" w:cs="Arial"/>
                <w:szCs w:val="20"/>
              </w:rPr>
              <w:t>Separación entre acceso, aplicación, análisis y datos.</w:t>
            </w:r>
          </w:p>
        </w:tc>
        <w:tc>
          <w:tcPr>
            <w:tcW w:w="3408" w:type="dxa"/>
            <w:vAlign w:val="center"/>
          </w:tcPr>
          <w:p w14:paraId="759EB09A" w14:textId="77777777" w:rsidR="00A27EB8" w:rsidRPr="00116C17" w:rsidRDefault="00000000">
            <w:pPr>
              <w:rPr>
                <w:rFonts w:ascii="Arial" w:hAnsi="Arial" w:cs="Arial"/>
                <w:szCs w:val="20"/>
              </w:rPr>
            </w:pPr>
            <w:r w:rsidRPr="00116C17">
              <w:rPr>
                <w:rFonts w:ascii="Arial" w:hAnsi="Arial" w:cs="Arial"/>
                <w:szCs w:val="20"/>
              </w:rPr>
              <w:t>Cambios de IA/ML o procesador no exigen rediseñar el acceso web.</w:t>
            </w:r>
          </w:p>
        </w:tc>
      </w:tr>
      <w:tr w:rsidR="00A27EB8" w:rsidRPr="00116C17" w14:paraId="2DBFEF05" w14:textId="77777777">
        <w:trPr>
          <w:jc w:val="center"/>
        </w:trPr>
        <w:tc>
          <w:tcPr>
            <w:tcW w:w="3408" w:type="dxa"/>
            <w:vAlign w:val="center"/>
          </w:tcPr>
          <w:p w14:paraId="250CA7C7" w14:textId="77777777" w:rsidR="00A27EB8" w:rsidRPr="00116C17" w:rsidRDefault="00000000">
            <w:pPr>
              <w:rPr>
                <w:rFonts w:ascii="Arial" w:hAnsi="Arial" w:cs="Arial"/>
                <w:szCs w:val="20"/>
              </w:rPr>
            </w:pPr>
            <w:r w:rsidRPr="00116C17">
              <w:rPr>
                <w:rFonts w:ascii="Arial" w:hAnsi="Arial" w:cs="Arial"/>
                <w:szCs w:val="20"/>
              </w:rPr>
              <w:t>Trazabilidad</w:t>
            </w:r>
          </w:p>
        </w:tc>
        <w:tc>
          <w:tcPr>
            <w:tcW w:w="3408" w:type="dxa"/>
            <w:vAlign w:val="center"/>
          </w:tcPr>
          <w:p w14:paraId="718D333D" w14:textId="77777777" w:rsidR="00A27EB8" w:rsidRPr="00116C17" w:rsidRDefault="00000000">
            <w:pPr>
              <w:rPr>
                <w:rFonts w:ascii="Arial" w:hAnsi="Arial" w:cs="Arial"/>
                <w:szCs w:val="20"/>
              </w:rPr>
            </w:pPr>
            <w:r w:rsidRPr="00116C17">
              <w:rPr>
                <w:rFonts w:ascii="Arial" w:hAnsi="Arial" w:cs="Arial"/>
                <w:szCs w:val="20"/>
              </w:rPr>
              <w:t>Logs, métricas y persistencia de estados.</w:t>
            </w:r>
          </w:p>
        </w:tc>
        <w:tc>
          <w:tcPr>
            <w:tcW w:w="3408" w:type="dxa"/>
            <w:vAlign w:val="center"/>
          </w:tcPr>
          <w:p w14:paraId="50F3A2F8" w14:textId="77777777" w:rsidR="00A27EB8" w:rsidRPr="00116C17" w:rsidRDefault="00000000">
            <w:pPr>
              <w:rPr>
                <w:rFonts w:ascii="Arial" w:hAnsi="Arial" w:cs="Arial"/>
                <w:szCs w:val="20"/>
              </w:rPr>
            </w:pPr>
            <w:r w:rsidRPr="00116C17">
              <w:rPr>
                <w:rFonts w:ascii="Arial" w:hAnsi="Arial" w:cs="Arial"/>
                <w:szCs w:val="20"/>
              </w:rPr>
              <w:t>Se pueden auditar búsquedas, análisis, errores y evolución del embudo.</w:t>
            </w:r>
          </w:p>
        </w:tc>
      </w:tr>
      <w:tr w:rsidR="00A27EB8" w:rsidRPr="00116C17" w14:paraId="30E377F3" w14:textId="77777777">
        <w:trPr>
          <w:jc w:val="center"/>
        </w:trPr>
        <w:tc>
          <w:tcPr>
            <w:tcW w:w="3408" w:type="dxa"/>
            <w:vAlign w:val="center"/>
          </w:tcPr>
          <w:p w14:paraId="37414E03" w14:textId="77777777" w:rsidR="00A27EB8" w:rsidRPr="00116C17" w:rsidRDefault="00000000">
            <w:pPr>
              <w:rPr>
                <w:rFonts w:ascii="Arial" w:hAnsi="Arial" w:cs="Arial"/>
                <w:szCs w:val="20"/>
              </w:rPr>
            </w:pPr>
            <w:r w:rsidRPr="00116C17">
              <w:rPr>
                <w:rFonts w:ascii="Arial" w:hAnsi="Arial" w:cs="Arial"/>
                <w:szCs w:val="20"/>
              </w:rPr>
              <w:t>Usabilidad</w:t>
            </w:r>
          </w:p>
        </w:tc>
        <w:tc>
          <w:tcPr>
            <w:tcW w:w="3408" w:type="dxa"/>
            <w:vAlign w:val="center"/>
          </w:tcPr>
          <w:p w14:paraId="5F5A8F99" w14:textId="77777777" w:rsidR="00A27EB8" w:rsidRPr="00116C17" w:rsidRDefault="00000000">
            <w:pPr>
              <w:rPr>
                <w:rFonts w:ascii="Arial" w:hAnsi="Arial" w:cs="Arial"/>
                <w:szCs w:val="20"/>
              </w:rPr>
            </w:pPr>
            <w:r w:rsidRPr="00116C17">
              <w:rPr>
                <w:rFonts w:ascii="Arial" w:hAnsi="Arial" w:cs="Arial"/>
                <w:szCs w:val="20"/>
              </w:rPr>
              <w:t>Complejidad de AWS y análisis oculta tras la interfaz.</w:t>
            </w:r>
          </w:p>
        </w:tc>
        <w:tc>
          <w:tcPr>
            <w:tcW w:w="3408" w:type="dxa"/>
            <w:vAlign w:val="center"/>
          </w:tcPr>
          <w:p w14:paraId="3043B780" w14:textId="77777777" w:rsidR="00A27EB8" w:rsidRPr="00116C17" w:rsidRDefault="00000000">
            <w:pPr>
              <w:rPr>
                <w:rFonts w:ascii="Arial" w:hAnsi="Arial" w:cs="Arial"/>
                <w:szCs w:val="20"/>
              </w:rPr>
            </w:pPr>
            <w:r w:rsidRPr="00116C17">
              <w:rPr>
                <w:rFonts w:ascii="Arial" w:hAnsi="Arial" w:cs="Arial"/>
                <w:szCs w:val="20"/>
              </w:rPr>
              <w:t>El equipo de eventos opera búsquedas, alertas y resultados sin scripts.</w:t>
            </w:r>
          </w:p>
        </w:tc>
      </w:tr>
    </w:tbl>
    <w:p w14:paraId="217D85F0" w14:textId="77777777" w:rsidR="00A27EB8" w:rsidRPr="00116C17" w:rsidRDefault="00000000">
      <w:pPr>
        <w:pStyle w:val="Ttulo1"/>
        <w:spacing w:before="200" w:after="100"/>
        <w:rPr>
          <w:rFonts w:ascii="Arial" w:hAnsi="Arial" w:cs="Arial"/>
        </w:rPr>
      </w:pPr>
      <w:r w:rsidRPr="00116C17">
        <w:rPr>
          <w:rFonts w:ascii="Arial" w:hAnsi="Arial" w:cs="Arial"/>
        </w:rPr>
        <w:t>7. Consideraciones y mejoras recomendadas</w:t>
      </w:r>
    </w:p>
    <w:p w14:paraId="678807CD" w14:textId="77777777" w:rsidR="00A27EB8" w:rsidRPr="00116C17" w:rsidRDefault="00000000">
      <w:pPr>
        <w:rPr>
          <w:rFonts w:ascii="Arial" w:hAnsi="Arial" w:cs="Arial"/>
        </w:rPr>
      </w:pPr>
      <w:r w:rsidRPr="00116C17">
        <w:rPr>
          <w:rFonts w:ascii="Arial" w:hAnsi="Arial" w:cs="Arial"/>
        </w:rPr>
        <w:t>La arquitectura es adecuada como base para un MVP y una primera puesta en producción, pero debe completarse con decisiones de implementación y operación antes de una operación crítica:</w:t>
      </w:r>
    </w:p>
    <w:p w14:paraId="68A0257A" w14:textId="77777777" w:rsidR="00A27EB8" w:rsidRPr="00116C17" w:rsidRDefault="00000000">
      <w:pPr>
        <w:pStyle w:val="Listaconvietas"/>
        <w:rPr>
          <w:rFonts w:ascii="Arial" w:hAnsi="Arial" w:cs="Arial"/>
        </w:rPr>
      </w:pPr>
      <w:r w:rsidRPr="00116C17">
        <w:rPr>
          <w:rFonts w:ascii="Arial" w:hAnsi="Arial" w:cs="Arial"/>
        </w:rPr>
        <w:t>Validar la integración con Mercado Público mediante mecanismos oficiales, condiciones de uso, credenciales y límites autorizados; no se deben eludir Clave Única, MFA u otros controles del proveedor.</w:t>
      </w:r>
    </w:p>
    <w:p w14:paraId="62CAA9A3" w14:textId="77777777" w:rsidR="00A27EB8" w:rsidRPr="00116C17" w:rsidRDefault="00000000">
      <w:pPr>
        <w:pStyle w:val="Listaconvietas"/>
        <w:rPr>
          <w:rFonts w:ascii="Arial" w:hAnsi="Arial" w:cs="Arial"/>
        </w:rPr>
      </w:pPr>
      <w:r w:rsidRPr="00116C17">
        <w:rPr>
          <w:rFonts w:ascii="Arial" w:hAnsi="Arial" w:cs="Arial"/>
        </w:rPr>
        <w:t>Incorporar AWS Secrets Manager o Parameter Store para credenciales, claves de API y configuraciones sensibles.</w:t>
      </w:r>
    </w:p>
    <w:p w14:paraId="13DAB6C6" w14:textId="77777777" w:rsidR="00A27EB8" w:rsidRPr="00116C17" w:rsidRDefault="00000000">
      <w:pPr>
        <w:pStyle w:val="Listaconvietas"/>
        <w:rPr>
          <w:rFonts w:ascii="Arial" w:hAnsi="Arial" w:cs="Arial"/>
        </w:rPr>
      </w:pPr>
      <w:r w:rsidRPr="00116C17">
        <w:rPr>
          <w:rFonts w:ascii="Arial" w:hAnsi="Arial" w:cs="Arial"/>
        </w:rPr>
        <w:t>Configurar Dead-Letter Queue, reintentos y alarmas para mensajes SQS que no puedan procesarse.</w:t>
      </w:r>
    </w:p>
    <w:p w14:paraId="48A27444" w14:textId="77777777" w:rsidR="00A27EB8" w:rsidRPr="00116C17" w:rsidRDefault="00000000">
      <w:pPr>
        <w:pStyle w:val="Listaconvietas"/>
        <w:rPr>
          <w:rFonts w:ascii="Arial" w:hAnsi="Arial" w:cs="Arial"/>
        </w:rPr>
      </w:pPr>
      <w:r w:rsidRPr="00116C17">
        <w:rPr>
          <w:rFonts w:ascii="Arial" w:hAnsi="Arial" w:cs="Arial"/>
        </w:rPr>
        <w:t>Definir backups, recuperación probada, RPO, RTO y, si la criticidad lo requiere, alta disponibilidad de PostgreSQL.</w:t>
      </w:r>
    </w:p>
    <w:p w14:paraId="1B53203C" w14:textId="77777777" w:rsidR="00A27EB8" w:rsidRPr="00116C17" w:rsidRDefault="00000000">
      <w:pPr>
        <w:pStyle w:val="Listaconvietas"/>
        <w:rPr>
          <w:rFonts w:ascii="Arial" w:hAnsi="Arial" w:cs="Arial"/>
        </w:rPr>
      </w:pPr>
      <w:r w:rsidRPr="00116C17">
        <w:rPr>
          <w:rFonts w:ascii="Arial" w:hAnsi="Arial" w:cs="Arial"/>
        </w:rPr>
        <w:t>Evaluar despliegue en más de una zona de disponibilidad y políticas de escalamiento Lambda Backend; el diagrama se concentra en la Zona de Disponibilidad B.</w:t>
      </w:r>
    </w:p>
    <w:p w14:paraId="5F0854DE" w14:textId="77777777" w:rsidR="00A27EB8" w:rsidRPr="00116C17" w:rsidRDefault="00000000">
      <w:pPr>
        <w:pStyle w:val="Listaconvietas"/>
        <w:rPr>
          <w:rFonts w:ascii="Arial" w:hAnsi="Arial" w:cs="Arial"/>
        </w:rPr>
      </w:pPr>
      <w:r w:rsidRPr="00116C17">
        <w:rPr>
          <w:rFonts w:ascii="Arial" w:hAnsi="Arial" w:cs="Arial"/>
        </w:rPr>
        <w:t>Restringir Security Groups por mínimo privilegio, habilitar auditoría y definir retención de logs/documentos.</w:t>
      </w:r>
    </w:p>
    <w:p w14:paraId="5DACB5E4" w14:textId="77777777" w:rsidR="00A27EB8" w:rsidRPr="00116C17" w:rsidRDefault="00000000">
      <w:pPr>
        <w:pStyle w:val="Listaconvietas"/>
        <w:rPr>
          <w:rFonts w:ascii="Arial" w:hAnsi="Arial" w:cs="Arial"/>
        </w:rPr>
      </w:pPr>
      <w:r w:rsidRPr="00116C17">
        <w:rPr>
          <w:rFonts w:ascii="Arial" w:hAnsi="Arial" w:cs="Arial"/>
        </w:rPr>
        <w:t>Establecer pruebas de carga, seguridad, integración y aceptación con usuarios del área de eventos.</w:t>
      </w:r>
    </w:p>
    <w:p w14:paraId="45CAE596" w14:textId="77777777" w:rsidR="00A27EB8" w:rsidRPr="00116C17" w:rsidRDefault="00000000">
      <w:pPr>
        <w:pStyle w:val="Ttulo1"/>
        <w:spacing w:before="200" w:after="100"/>
        <w:rPr>
          <w:rFonts w:ascii="Arial" w:hAnsi="Arial" w:cs="Arial"/>
        </w:rPr>
      </w:pPr>
      <w:r w:rsidRPr="00116C17">
        <w:rPr>
          <w:rFonts w:ascii="Arial" w:hAnsi="Arial" w:cs="Arial"/>
        </w:rPr>
        <w:lastRenderedPageBreak/>
        <w:t>8. Conclusión</w:t>
      </w:r>
    </w:p>
    <w:p w14:paraId="13D68BB4" w14:textId="77777777" w:rsidR="00A27EB8" w:rsidRPr="00116C17" w:rsidRDefault="00000000">
      <w:pPr>
        <w:rPr>
          <w:rFonts w:ascii="Arial" w:hAnsi="Arial" w:cs="Arial"/>
        </w:rPr>
      </w:pPr>
      <w:r w:rsidRPr="00116C17">
        <w:rPr>
          <w:rFonts w:ascii="Arial" w:hAnsi="Arial" w:cs="Arial"/>
        </w:rPr>
        <w:t>La arquitectura propuesta es coherente con los objetivos de LICING WEB y ahora presenta trazabilidad explícita hacia RF-01 a RF-20 y RNF-01 a RNF-06. API Gateway, Lambda Backend, SQS, Lambda, IA/ML, PostgreSQL, KMS, IAM y monitoreo no son componentes aislados: cada uno cubre una necesidad funcional o una restricción operativa concreta.</w:t>
      </w:r>
    </w:p>
    <w:p w14:paraId="28BA348F" w14:textId="77777777" w:rsidR="00A27EB8" w:rsidRPr="00116C17" w:rsidRDefault="00000000">
      <w:pPr>
        <w:rPr>
          <w:rFonts w:ascii="Arial" w:hAnsi="Arial" w:cs="Arial"/>
        </w:rPr>
      </w:pPr>
      <w:r w:rsidRPr="00116C17">
        <w:rPr>
          <w:rFonts w:ascii="Arial" w:hAnsi="Arial" w:cs="Arial"/>
        </w:rPr>
        <w:t>El procesamiento asíncrono permite analizar TDR sin degradar la experiencia web; la segmentación de red y los controles de identidad protegen la aplicación; y la persistencia estructurada habilita dashboards e informes. Con las mejoras de resiliencia, gestión de secretos, respaldo y cumplimiento de la integración oficial, la solución puede evolucionar desde un MVP académico hacia una plataforma operable y segura.</w:t>
      </w:r>
    </w:p>
    <w:p w14:paraId="039A07BF" w14:textId="6347DA97" w:rsidR="00A27EB8" w:rsidRPr="00116C17" w:rsidRDefault="00A27EB8">
      <w:pPr>
        <w:rPr>
          <w:rFonts w:ascii="Arial" w:hAnsi="Arial" w:cs="Arial"/>
        </w:rPr>
      </w:pPr>
    </w:p>
    <w:sectPr w:rsidR="00A27EB8" w:rsidRPr="00116C17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64903555">
    <w:abstractNumId w:val="8"/>
  </w:num>
  <w:num w:numId="2" w16cid:durableId="1350644502">
    <w:abstractNumId w:val="6"/>
  </w:num>
  <w:num w:numId="3" w16cid:durableId="1036926446">
    <w:abstractNumId w:val="5"/>
  </w:num>
  <w:num w:numId="4" w16cid:durableId="491917115">
    <w:abstractNumId w:val="4"/>
  </w:num>
  <w:num w:numId="5" w16cid:durableId="1003050052">
    <w:abstractNumId w:val="7"/>
  </w:num>
  <w:num w:numId="6" w16cid:durableId="1574196344">
    <w:abstractNumId w:val="3"/>
  </w:num>
  <w:num w:numId="7" w16cid:durableId="650982079">
    <w:abstractNumId w:val="2"/>
  </w:num>
  <w:num w:numId="8" w16cid:durableId="1744716970">
    <w:abstractNumId w:val="1"/>
  </w:num>
  <w:num w:numId="9" w16cid:durableId="11095448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16C17"/>
    <w:rsid w:val="0015074B"/>
    <w:rsid w:val="0029639D"/>
    <w:rsid w:val="00326F90"/>
    <w:rsid w:val="004D1B16"/>
    <w:rsid w:val="00A27EB8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4A51562"/>
  <w14:defaultImageDpi w14:val="300"/>
  <w15:docId w15:val="{D4A95B1D-589E-4E73-8430-6B239EB3B4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5</Pages>
  <Words>1632</Words>
  <Characters>8978</Characters>
  <Application>Microsoft Office Word</Application>
  <DocSecurity>0</DocSecurity>
  <Lines>74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10589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MIGUEL . MANCILLA MERCADO</cp:lastModifiedBy>
  <cp:revision>2</cp:revision>
  <dcterms:created xsi:type="dcterms:W3CDTF">2013-12-23T23:15:00Z</dcterms:created>
  <dcterms:modified xsi:type="dcterms:W3CDTF">2026-09-11T22:07:00Z</dcterms:modified>
  <cp:category/>
</cp:coreProperties>
</file>