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00000"/>
          <w:rtl w:val="0"/>
        </w:rPr>
        <w:t xml:space="preserve">Especificación de requisitos funcionales y no funcionales de LICING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5"/>
          <w:szCs w:val="25"/>
          <w:rtl w:val="0"/>
        </w:rPr>
        <w:t xml:space="preserve">Matriz de trazabilidad con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Proyecto: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LICING  Asistente Inteligente de Mercado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Hotel Plaza San 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Actualización: 11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tl w:val="0"/>
        </w:rPr>
        <w:t xml:space="preserve">Este documento traduce la Especificación de Requerimientos de Negocio del hotel en requisitos funcionales y no funcionales trazables. Se consideran como base la búsqueda semántica de oportunidades, la validación de identificadores, el análisis de bases y TDR, la revisión de admisibilidad, el control presupuestario y la reportería comercial.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Alcance y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LICING es la interfaz web de la solución. El límite del sistema modelado comprende la web, el backend y el motor de IA/NLP. Se mantiene el alcance exclusivamente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mantiene un único perfil de usuario: Encargado de Licitaciones.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2" w:right="0" w:hanging="14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Mercado Público y Compra Ágil se modelan como sistema externo y actor de apoyo en los casos de uso que intercambian información con esas plataformas.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12" w:right="0" w:hanging="142"/>
        <w:jc w:val="left"/>
        <w:rPr/>
      </w:pPr>
      <w:sdt>
        <w:sdtPr>
          <w:id w:val="42341650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motor de IA/NLP es un componente interno del sistema modelado. La planificación contempla una posible API de LLM; su proveedor y modalidad de integración quedan pendientes. Si se confirma un servicio fuera de este límite, corresponderá incorporarlo como actor externo de apoyo.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Respaldo: «Documento base» conserva el origen de las funciones ya levantadas. «Acuerdo del equipo 11-09-2026» identifica las precisiones sobre automatización, API prevista y filtro final de IA; no equivale a validación adicional del cliente. «Derivado; validar» conserva las funciones pendientes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procesamiento automático obtiene oportunidades, aplica CU-02, valida su identidad mediante CU-04 y analiza sus documentos mediante CU-05. La web permite consultar los resultados. El evento de inicio, la frecuencia y la incorporación automática de CU-06 y CU-07 siguen pendientes.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1 Lista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5191.999999999998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864"/>
        <w:gridCol w:w="2880"/>
        <w:gridCol w:w="2160"/>
        <w:gridCol w:w="2160"/>
        <w:gridCol w:w="5112"/>
        <w:gridCol w:w="2016"/>
        <w:tblGridChange w:id="0">
          <w:tblGrid>
            <w:gridCol w:w="864"/>
            <w:gridCol w:w="2880"/>
            <w:gridCol w:w="2160"/>
            <w:gridCol w:w="2160"/>
            <w:gridCol w:w="5112"/>
            <w:gridCol w:w="201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Actor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RF directos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Obtener y consultar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Mercado Público / Compra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Obtener y procesar oportunidades automáticamente; permitir su consulta y la de los resultados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RF-01, 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Filtrar y priorizar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actor directo; incluido por 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Aplicar criterios, procesamiento semántico y filtro final de IA; priorizar las oportunidades seleccionadas.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RF-02 a RF-04, 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criterios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las palabras clave, categorías y criterios utilizados por el motor.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Validar identidad de la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actor humano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Mercado Público / Compra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Validar automáticamente la identidad antes de reportar una oportunidad como 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Analizar bases y TDR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actor directo; incluido por 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Analizar automáticamente bases y TDR; extraer datos clave y generar el resumen ejecutivo.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RF-09 a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admisibilidad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Revisar requisitos y documentos obligatorios, con alertas de posible inadmisibilidad.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Evaluar viabilidad presupuestaria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Evaluar costo operativo y presupuesto del mandante, considerando el margen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umbrales presupuestarios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los márgenes de tolerancia presupuestaria en pesos o dólares.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Gestionar estado de la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Gestionar los estados Identificada, Calificada, Participada y Adjudicada.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Consultar tablero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Consultar el embudo, los totales por estado y la tasa de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RF-17, 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Generar informes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Encargado de Licitaciones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Generar informes periódicos de gestión para Gerencia General y Finanzas.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RF-19, RF-20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2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  <w:t xml:space="preserve">Los requisitos siguientes describen el comportamiento esperado de LICING y su relación con los casos de uso.</w:t>
      </w:r>
    </w:p>
    <w:tbl>
      <w:tblPr>
        <w:tblStyle w:val="Table2"/>
        <w:tblW w:w="15191.999999999998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936"/>
        <w:gridCol w:w="7488"/>
        <w:gridCol w:w="1872"/>
        <w:gridCol w:w="1152"/>
        <w:gridCol w:w="3744"/>
        <w:tblGridChange w:id="0">
          <w:tblGrid>
            <w:gridCol w:w="936"/>
            <w:gridCol w:w="7488"/>
            <w:gridCol w:w="1872"/>
            <w:gridCol w:w="1152"/>
            <w:gridCol w:w="374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obtener automáticamente oportunidades de Mercado Público y Compra Ágil. Se prevé utilizar la API de Mercado Público; la cobertura y el acceso específico a Compra Ágil deberán verificarse. La obtención se ejecutará antes de la consulta de resultados en la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acuerdo del equipo 11-09-2026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filtrar oportunidades relacionadas con los servicios del hotel: alojamiento, hospedaje, habitaciones, eventos, catering, centros de eventos y salones.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sdt>
              <w:sdtPr>
                <w:id w:val="-163280743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aplicar procesamiento semántico o NLP para reconocer variaciones terminológicas y realizar mediante IA el filtro final de relevancia de las oportunidades, conforme a los criterios configurados por el Encargado de Licitaciones.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acuerdo del equipo 11-09-2026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priorizar oportunidades cuyo lugar de ejecución corresponda a la Región Metropolitana, con énfasis en Santiago.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permitir que el usuario configure palabras clave, categorías y criterios de búsqueda sin intervenir el código fuente.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identificar, priorizar y alertar sobre procesos de Compra Ágil cuyo monto se encuentre dentro del límite configurado. El documento base registra CLP 6.900.000 como referencia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sdt>
              <w:sdtPr>
                <w:id w:val="-1549599638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validar automáticamente el ID de las oportunidades seleccionadas, consultando su detalle y contrastándolo con la información o los documentos adjuntos antes de reportarlas como válidas.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acuerdo del equipo 11-09-2026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permitir consultar la información general, el detalle y la documentación disponible de una oportunidad previamente identificada.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Derivado;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sdt>
              <w:sdtPr>
                <w:id w:val="-1000918768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analizar automáticamente mediante IA o NLP las bases administrativas o técnicas y los TDR disponibles de las oportunidades seleccionadas y con identidad validada, antes de la consulta del Encargado.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acuerdo del equipo 11-09-2026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sdt>
              <w:sdtPr>
                <w:id w:val="-272238235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generar un resumen ejecutivo de los documentos analizados y dejarlo disponible en la web junto con la información extraída de la oportunidad.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acuerdo del equipo 11-09-2026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extraer de las bases los servicios requeridos, las fechas críticas y el presupuesto máximo informado por el mandante.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identificar y presentar los documentos y requisitos administrativos obligatorios mencionados en las bases.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Admisibilidad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generar alertas sobre documentos críticos de admisibilidad exigidos en las bases, entre ellos Anexo 4 de Pactos de Integridad, escrituras, poderes de representación y vigencias,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Admisibilidad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sdt>
              <w:sdtPr>
                <w:id w:val="864969255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comparar el costo operativo base del hotel con el presupuesto máximo informado por el mandante, considerando el margen de tolerancia configurado, y generar una alerta al detectar incompatibilidad. La regla de aplicación del margen deberá validarse.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widowControl w:val="1"/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regla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permitir configurar márgenes de tolerancia para las alertas presupuestarias, expresados en pesos o dólares según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mantener la clasificación de las oportunidades en los estados Identificada, Calificada, Participada y Adjudicada.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base; flujo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mostrar en un tablero de control el embudo de oportunidades con los totales de Identificadas, Calificadas, Participadas y Adjudicadas.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calcular y mostrar la tasa de cierre o éxito comercial a partir de las oportunidades Participadas y Adjudicadas.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generar informes de gestión con la información procesada para apoyar a Gerencia General y Finanzas.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 sistema deberá permitir generar informes con cortes semanales y mensuales.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3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  <w:t xml:space="preserve">Estos requisitos recogen restricciones tecnológicas, de capacidad, usabilidad y compatibilidad expresamente señaladas en el documento de negocio.</w:t>
      </w:r>
    </w:p>
    <w:tbl>
      <w:tblPr>
        <w:tblStyle w:val="Table3"/>
        <w:tblW w:w="1519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936"/>
        <w:gridCol w:w="7200"/>
        <w:gridCol w:w="1800"/>
        <w:gridCol w:w="1656"/>
        <w:gridCol w:w="3600"/>
        <w:tblGridChange w:id="0">
          <w:tblGrid>
            <w:gridCol w:w="936"/>
            <w:gridCol w:w="7200"/>
            <w:gridCol w:w="1800"/>
            <w:gridCol w:w="1656"/>
            <w:gridCol w:w="3600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 que condiciona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solución deberá operar exclusivamente mediante una aplicación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CU-01 a 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solución no deberá depender de scripts ejecutados localmente en los equipos del hotel.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CU-01 a 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backend y los procesos de automatización deberán implementarse en Python, de acuerdo con la restricción tecnológica indicada por el hotel.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CU-01 a 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interfaz deberá ser simple e intuitiva para el personal de eventos y permitir la configuración de búsquedas sin exigir conocimientos técnicos.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CU-01 a 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solución deberá funcionar bajo las restricciones de firewall y antivirus de la infraestructura corporativa del hotel, sin requerir ejecución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CU-01 a 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base; prueba 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sistema deberá ser capaz de procesar documentos de bases o TDR de hasta 50 páginas.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CU-05, 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4 Matriz de trazabilidad</w:t>
      </w:r>
      <w:r w:rsidDel="00000000" w:rsidR="00000000" w:rsidRPr="00000000">
        <w:rPr>
          <w:rtl w:val="0"/>
        </w:rPr>
      </w:r>
    </w:p>
    <w:tbl>
      <w:tblPr>
        <w:tblStyle w:val="Table4"/>
        <w:tblW w:w="1519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152"/>
        <w:gridCol w:w="4320"/>
        <w:gridCol w:w="9720"/>
        <w:tblGridChange w:id="0">
          <w:tblGrid>
            <w:gridCol w:w="1152"/>
            <w:gridCol w:w="4320"/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RF cubiertos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RF-01,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Obtener y consultar oportunidades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RF-02, RF-03, RF-04,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Filtrar y priorizar oportunidades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criterios de búsqueda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Validar identidad de la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RF-09, RF-10,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Analizar bases y TDR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Revisar admisibilidad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Evaluar viabilidad presupuestaria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Configurar umbrales presupuestarios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Gestionar estado de la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RF-17, 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Consultar tablero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RF-19, 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Generar informes de gestión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5 Aspectos pendientes de levantamiento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  <w:t xml:space="preserve">Los siguientes puntos no están definidos con suficiente precisión en el documento de negocio. No se presentan como requisitos aprobados; deben resolverse con el cliente antes de fijar criterios de aceptación.</w:t>
      </w:r>
    </w:p>
    <w:tbl>
      <w:tblPr>
        <w:tblStyle w:val="Table5"/>
        <w:tblW w:w="1519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016"/>
        <w:gridCol w:w="5616"/>
        <w:gridCol w:w="2016"/>
        <w:gridCol w:w="5544"/>
        <w:tblGridChange w:id="0">
          <w:tblGrid>
            <w:gridCol w:w="2016"/>
            <w:gridCol w:w="5616"/>
            <w:gridCol w:w="2016"/>
            <w:gridCol w:w="554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Definición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Definición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Obtención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Verificar credenciales, cobertura y límites de la API prevista de Mercado Público; precisar el acceso a Compra Ágil y el tratamiento de fallas.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Reportería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Precisar formatos de descarga, contenido obligatorio, forma de entrega y responsables que recibirán los informes.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Frecuencia y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widowControl w:val="1"/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el evento de inicio y la frecuencia del motor; la consulta web no los determina. Precisar el momento de emisión y el canal de las alertas.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Estados del embudo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qué estados se asignan automáticamente, cuáles modifica el usuario y las reglas para pasar de un estado a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autenticación, manejo de sesión, resguardo de información comercial, auditoría y retención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Montos y 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Definir cómo se actualizará el límite de Compra Ágil y si la conversión entre pesos y dólares utilizará un tipo de cambio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Acordar disponibilidad esperada, tiempos de respuesta, respaldo, recuperación y continuidad ante fallas de servicios externos.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6.9999999999999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b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6.9999999999999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Levantar navegadores autorizados y restricciones concretas del firewall y antivirus para convertir RNF-05 en una prueba verificable.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Motor de IA y alcance de la automatización: precisar proveedor, modalidad de inferencia, reglas del filtro final, resultados inciertos, reintentos y actualización de análisis. Definir si CU-06 y CU-07 se incorporan al flujo automático. La selección por relevancia no determina por sí sola los estados comerciales de CU-09.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7"/>
          <w:szCs w:val="17"/>
          <w:rtl w:val="0"/>
        </w:rPr>
        <w:t xml:space="preserve">Fuente principal: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7"/>
          <w:szCs w:val="17"/>
          <w:rtl w:val="0"/>
        </w:rPr>
        <w:t xml:space="preserve">Especificación de Requerimientos de Negocio  Asistente Virtual para Licitaciones  Mercado Público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1906" w:w="16838" w:orient="landscape"/>
      <w:pgMar w:bottom="765" w:top="765" w:left="822" w:right="822" w:header="340" w:footer="34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visión del proyecto" w:id="1" w:date="2026-09-11T22:04:51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Precisión del flujo acordado por el equipo el 11-09-2026.</w:t>
      </w:r>
    </w:p>
  </w:comment>
  <w:comment w:author="Revisión del proyecto" w:id="2" w:date="2026-09-11T22:04:51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Precisión del flujo acordado por el equipo el 11-09-2026.</w:t>
      </w:r>
    </w:p>
  </w:comment>
  <w:comment w:author="Revisión del proyecto" w:id="5" w:date="2026-09-11T22:04:51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Alineación con CU-07: se evita fijar una fórmula para el margen que todavía no está definida.</w:t>
      </w:r>
    </w:p>
  </w:comment>
  <w:comment w:author="Revisión del proyecto" w:id="0" w:date="2026-09-11T22:04:51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distingue el motor propio de LICING de un eventual proveedor externo de inferencia. La separación de componentes no convierte por sí sola al motor en actor.</w:t>
      </w:r>
    </w:p>
  </w:comment>
  <w:comment w:author="Revisión del proyecto" w:id="4" w:date="2026-09-11T22:04:51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Precisión del flujo acordado por el equipo el 11-09-2026.</w:t>
      </w:r>
    </w:p>
  </w:comment>
  <w:comment w:author="Revisión del proyecto" w:id="3" w:date="2026-09-11T22:04:51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Precisión del flujo acordado por el equipo el 11-09-2026.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B" w15:done="0"/>
  <w15:commentEx w15:paraId="0000012C" w15:done="0"/>
  <w15:commentEx w15:paraId="0000012D" w15:done="0"/>
  <w15:commentEx w15:paraId="0000012E" w15:done="0"/>
  <w15:commentEx w15:paraId="0000012F" w15:done="0"/>
  <w15:commentEx w15:paraId="0000013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Hotel Plaza San Francisco  |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LICING  |  Requerimientos funcionales y no funcionales  |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4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100" w:line="240" w:lineRule="auto"/>
    </w:pPr>
    <w:rPr>
      <w:rFonts w:ascii="Arial" w:cs="Arial" w:eastAsia="Arial" w:hAnsi="Arial"/>
      <w:b w:val="1"/>
      <w:bCs w:val="1"/>
      <w:color w:val="000000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EH4CtRWXYQozIh8T5GV6asrPw==">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