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D0CC" w14:textId="77777777" w:rsidR="00C3206E" w:rsidRPr="0003023D" w:rsidRDefault="00000000">
      <w:pPr>
        <w:jc w:val="center"/>
        <w:rPr>
          <w:rFonts w:ascii="Arial" w:hAnsi="Arial" w:cs="Arial"/>
        </w:rPr>
      </w:pPr>
      <w:r w:rsidRPr="0003023D">
        <w:rPr>
          <w:rFonts w:ascii="Arial" w:hAnsi="Arial" w:cs="Arial"/>
          <w:b/>
          <w:sz w:val="60"/>
        </w:rPr>
        <w:t>LICING</w:t>
      </w:r>
    </w:p>
    <w:p w14:paraId="462EF74E" w14:textId="4BD9D0E8" w:rsidR="00C3206E" w:rsidRPr="0003023D" w:rsidRDefault="00000000">
      <w:pPr>
        <w:jc w:val="center"/>
        <w:rPr>
          <w:rFonts w:ascii="Arial" w:hAnsi="Arial" w:cs="Arial"/>
        </w:rPr>
      </w:pPr>
      <w:r w:rsidRPr="0003023D">
        <w:rPr>
          <w:rFonts w:ascii="Arial" w:hAnsi="Arial" w:cs="Arial"/>
          <w:b/>
          <w:sz w:val="36"/>
        </w:rPr>
        <w:t>Mockups y Diseño UI</w:t>
      </w:r>
    </w:p>
    <w:p w14:paraId="12D232F8" w14:textId="77777777" w:rsidR="00C3206E" w:rsidRPr="0003023D" w:rsidRDefault="00000000">
      <w:pPr>
        <w:jc w:val="center"/>
        <w:rPr>
          <w:rFonts w:ascii="Arial" w:hAnsi="Arial" w:cs="Arial"/>
        </w:rPr>
      </w:pPr>
      <w:r w:rsidRPr="0003023D">
        <w:rPr>
          <w:rFonts w:ascii="Arial" w:hAnsi="Arial" w:cs="Arial"/>
          <w:i/>
        </w:rPr>
        <w:t>Asistente Inteligente de Mercado Público</w:t>
      </w:r>
    </w:p>
    <w:p w14:paraId="24FA2073" w14:textId="77777777" w:rsidR="00C3206E" w:rsidRPr="0003023D" w:rsidRDefault="00C3206E">
      <w:pPr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3206E" w:rsidRPr="0003023D" w14:paraId="414774C5" w14:textId="77777777">
        <w:trPr>
          <w:jc w:val="center"/>
        </w:trPr>
        <w:tc>
          <w:tcPr>
            <w:tcW w:w="4703" w:type="dxa"/>
            <w:vAlign w:val="center"/>
          </w:tcPr>
          <w:p w14:paraId="2ABB92C7" w14:textId="77777777" w:rsidR="00C3206E" w:rsidRPr="0003023D" w:rsidRDefault="00000000">
            <w:pPr>
              <w:rPr>
                <w:rFonts w:ascii="Arial" w:hAnsi="Arial" w:cs="Arial"/>
              </w:rPr>
            </w:pPr>
            <w:r w:rsidRPr="0003023D">
              <w:rPr>
                <w:rFonts w:ascii="Arial" w:hAnsi="Arial" w:cs="Arial"/>
                <w:b/>
                <w:sz w:val="20"/>
              </w:rPr>
              <w:t>Proyecto</w:t>
            </w:r>
          </w:p>
        </w:tc>
        <w:tc>
          <w:tcPr>
            <w:tcW w:w="4703" w:type="dxa"/>
            <w:vAlign w:val="center"/>
          </w:tcPr>
          <w:p w14:paraId="78FA9C34" w14:textId="77777777" w:rsidR="00C3206E" w:rsidRPr="0003023D" w:rsidRDefault="00000000">
            <w:pPr>
              <w:rPr>
                <w:rFonts w:ascii="Arial" w:hAnsi="Arial" w:cs="Arial"/>
              </w:rPr>
            </w:pPr>
            <w:r w:rsidRPr="0003023D">
              <w:rPr>
                <w:rFonts w:ascii="Arial" w:hAnsi="Arial" w:cs="Arial"/>
                <w:sz w:val="20"/>
              </w:rPr>
              <w:t>LICING — Asistente Inteligente de Mercado Público</w:t>
            </w:r>
          </w:p>
        </w:tc>
      </w:tr>
      <w:tr w:rsidR="00C3206E" w:rsidRPr="0003023D" w14:paraId="542798EF" w14:textId="77777777">
        <w:trPr>
          <w:jc w:val="center"/>
        </w:trPr>
        <w:tc>
          <w:tcPr>
            <w:tcW w:w="4703" w:type="dxa"/>
            <w:vAlign w:val="center"/>
          </w:tcPr>
          <w:p w14:paraId="6D578966" w14:textId="77777777" w:rsidR="00C3206E" w:rsidRPr="0003023D" w:rsidRDefault="00000000">
            <w:pPr>
              <w:rPr>
                <w:rFonts w:ascii="Arial" w:hAnsi="Arial" w:cs="Arial"/>
              </w:rPr>
            </w:pPr>
            <w:r w:rsidRPr="0003023D">
              <w:rPr>
                <w:rFonts w:ascii="Arial" w:hAnsi="Arial" w:cs="Arial"/>
                <w:b/>
                <w:sz w:val="20"/>
              </w:rPr>
              <w:t>Contexto</w:t>
            </w:r>
          </w:p>
        </w:tc>
        <w:tc>
          <w:tcPr>
            <w:tcW w:w="4703" w:type="dxa"/>
            <w:vAlign w:val="center"/>
          </w:tcPr>
          <w:p w14:paraId="523EF41B" w14:textId="77777777" w:rsidR="00C3206E" w:rsidRPr="0003023D" w:rsidRDefault="00000000">
            <w:pPr>
              <w:rPr>
                <w:rFonts w:ascii="Arial" w:hAnsi="Arial" w:cs="Arial"/>
              </w:rPr>
            </w:pPr>
            <w:r w:rsidRPr="0003023D">
              <w:rPr>
                <w:rFonts w:ascii="Arial" w:hAnsi="Arial" w:cs="Arial"/>
                <w:sz w:val="20"/>
              </w:rPr>
              <w:t>Hotel Plaza San Francisco</w:t>
            </w:r>
          </w:p>
        </w:tc>
      </w:tr>
      <w:tr w:rsidR="00C3206E" w:rsidRPr="0003023D" w14:paraId="3B1E8535" w14:textId="77777777">
        <w:trPr>
          <w:jc w:val="center"/>
        </w:trPr>
        <w:tc>
          <w:tcPr>
            <w:tcW w:w="4703" w:type="dxa"/>
            <w:vAlign w:val="center"/>
          </w:tcPr>
          <w:p w14:paraId="0E22DC99" w14:textId="77777777" w:rsidR="00C3206E" w:rsidRPr="0003023D" w:rsidRDefault="00000000">
            <w:pPr>
              <w:rPr>
                <w:rFonts w:ascii="Arial" w:hAnsi="Arial" w:cs="Arial"/>
              </w:rPr>
            </w:pPr>
            <w:r w:rsidRPr="0003023D">
              <w:rPr>
                <w:rFonts w:ascii="Arial" w:hAnsi="Arial" w:cs="Arial"/>
                <w:b/>
                <w:sz w:val="20"/>
              </w:rPr>
              <w:t>Documento</w:t>
            </w:r>
          </w:p>
        </w:tc>
        <w:tc>
          <w:tcPr>
            <w:tcW w:w="4703" w:type="dxa"/>
            <w:vAlign w:val="center"/>
          </w:tcPr>
          <w:p w14:paraId="6A758FE7" w14:textId="77777777" w:rsidR="00C3206E" w:rsidRPr="0003023D" w:rsidRDefault="00000000">
            <w:pPr>
              <w:rPr>
                <w:rFonts w:ascii="Arial" w:hAnsi="Arial" w:cs="Arial"/>
              </w:rPr>
            </w:pPr>
            <w:r w:rsidRPr="0003023D">
              <w:rPr>
                <w:rFonts w:ascii="Arial" w:hAnsi="Arial" w:cs="Arial"/>
                <w:sz w:val="20"/>
              </w:rPr>
              <w:t>Especificación de Mockups y Diseño de Interfaz</w:t>
            </w:r>
          </w:p>
        </w:tc>
      </w:tr>
      <w:tr w:rsidR="00C3206E" w:rsidRPr="0003023D" w14:paraId="634D78F7" w14:textId="77777777">
        <w:trPr>
          <w:jc w:val="center"/>
        </w:trPr>
        <w:tc>
          <w:tcPr>
            <w:tcW w:w="4703" w:type="dxa"/>
            <w:vAlign w:val="center"/>
          </w:tcPr>
          <w:p w14:paraId="1CE91880" w14:textId="77777777" w:rsidR="00C3206E" w:rsidRPr="0003023D" w:rsidRDefault="00000000">
            <w:pPr>
              <w:rPr>
                <w:rFonts w:ascii="Arial" w:hAnsi="Arial" w:cs="Arial"/>
              </w:rPr>
            </w:pPr>
            <w:r w:rsidRPr="0003023D">
              <w:rPr>
                <w:rFonts w:ascii="Arial" w:hAnsi="Arial" w:cs="Arial"/>
                <w:b/>
                <w:sz w:val="20"/>
              </w:rPr>
              <w:t>Versión</w:t>
            </w:r>
          </w:p>
        </w:tc>
        <w:tc>
          <w:tcPr>
            <w:tcW w:w="4703" w:type="dxa"/>
            <w:vAlign w:val="center"/>
          </w:tcPr>
          <w:p w14:paraId="355D9C99" w14:textId="77777777" w:rsidR="00C3206E" w:rsidRPr="0003023D" w:rsidRDefault="00000000">
            <w:pPr>
              <w:rPr>
                <w:rFonts w:ascii="Arial" w:hAnsi="Arial" w:cs="Arial"/>
              </w:rPr>
            </w:pPr>
            <w:r w:rsidRPr="0003023D">
              <w:rPr>
                <w:rFonts w:ascii="Arial" w:hAnsi="Arial" w:cs="Arial"/>
                <w:sz w:val="20"/>
              </w:rPr>
              <w:t>1.0</w:t>
            </w:r>
          </w:p>
        </w:tc>
      </w:tr>
    </w:tbl>
    <w:p w14:paraId="2E267E56" w14:textId="77777777" w:rsidR="00C3206E" w:rsidRDefault="00000000">
      <w:r>
        <w:br w:type="page"/>
      </w:r>
    </w:p>
    <w:p w14:paraId="15C98495" w14:textId="77777777" w:rsidR="00C3206E" w:rsidRDefault="00000000">
      <w:pPr>
        <w:pStyle w:val="Ttulo1"/>
      </w:pPr>
      <w:r>
        <w:lastRenderedPageBreak/>
        <w:t>1. Introducción</w:t>
      </w:r>
    </w:p>
    <w:p w14:paraId="6EF00BB6" w14:textId="77777777" w:rsidR="00C3206E" w:rsidRDefault="00000000">
      <w:r>
        <w:t>El presente documento formaliza la propuesta de diseño UX/UI de LICING, una plataforma orientada a apoyar al equipo comercial del Hotel Plaza San Francisco en la búsqueda, análisis y priorización de oportunidades de Mercado Público y Compra Ágil. Los mockups representan la estructura funcional y visual propuesta para la futura implementación del frontend de la solución.</w:t>
      </w:r>
    </w:p>
    <w:p w14:paraId="09FE3F2E" w14:textId="77777777" w:rsidR="00C3206E" w:rsidRDefault="00000000">
      <w:pPr>
        <w:pStyle w:val="Ttulo1"/>
      </w:pPr>
      <w:r>
        <w:t>2. Objetivo del diseño</w:t>
      </w:r>
    </w:p>
    <w:p w14:paraId="79CA7723" w14:textId="77777777" w:rsidR="00C3206E" w:rsidRDefault="00000000">
      <w:r>
        <w:t>El objetivo es definir una experiencia de usuario clara, profesional y consistente que permita visualizar oportunidades, revisar información relevante, consultar análisis generados mediante IA, realizar seguimiento y generar reportes. El diseño considera una futura implementación mediante componentes reutilizables en un frontend web.</w:t>
      </w:r>
    </w:p>
    <w:p w14:paraId="67497917" w14:textId="77777777" w:rsidR="00C3206E" w:rsidRDefault="00000000">
      <w:pPr>
        <w:pStyle w:val="Ttulo1"/>
      </w:pPr>
      <w:r>
        <w:t>3. Alcance de los mockups</w:t>
      </w:r>
    </w:p>
    <w:p w14:paraId="08B75F78" w14:textId="77777777" w:rsidR="00C3206E" w:rsidRDefault="00000000">
      <w:r>
        <w:t>La versión 1.0 contempla seis entregables principales: inicio de sesión, dashboard, gestión de oportunidades, seguimiento, reportes y Design System/UI Framework. La sección de oportunidades se divide en tres niveles de interacción: visualización general, detalle de una licitación y análisis inteligente de la oportunidad seleccionada.</w:t>
      </w:r>
    </w:p>
    <w:p w14:paraId="7DD63896" w14:textId="77777777" w:rsidR="00C3206E" w:rsidRDefault="00000000">
      <w:pPr>
        <w:pStyle w:val="Ttulo1"/>
      </w:pPr>
      <w:r>
        <w:t>4. Control de versiones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3206E" w14:paraId="61B694BB" w14:textId="77777777">
        <w:trPr>
          <w:jc w:val="center"/>
        </w:trPr>
        <w:tc>
          <w:tcPr>
            <w:tcW w:w="2351" w:type="dxa"/>
          </w:tcPr>
          <w:p w14:paraId="1E45C2F6" w14:textId="77777777" w:rsidR="00C3206E" w:rsidRDefault="00000000">
            <w:r>
              <w:rPr>
                <w:b/>
              </w:rPr>
              <w:t>Versión</w:t>
            </w:r>
          </w:p>
        </w:tc>
        <w:tc>
          <w:tcPr>
            <w:tcW w:w="2351" w:type="dxa"/>
          </w:tcPr>
          <w:p w14:paraId="75552391" w14:textId="77777777" w:rsidR="00C3206E" w:rsidRDefault="00000000">
            <w:r>
              <w:rPr>
                <w:b/>
              </w:rPr>
              <w:t>Fecha</w:t>
            </w:r>
          </w:p>
        </w:tc>
        <w:tc>
          <w:tcPr>
            <w:tcW w:w="2351" w:type="dxa"/>
          </w:tcPr>
          <w:p w14:paraId="5E426776" w14:textId="77777777" w:rsidR="00C3206E" w:rsidRDefault="00000000">
            <w:r>
              <w:rPr>
                <w:b/>
              </w:rPr>
              <w:t>Descripción</w:t>
            </w:r>
          </w:p>
        </w:tc>
        <w:tc>
          <w:tcPr>
            <w:tcW w:w="2351" w:type="dxa"/>
          </w:tcPr>
          <w:p w14:paraId="34880863" w14:textId="77777777" w:rsidR="00C3206E" w:rsidRDefault="00000000">
            <w:r>
              <w:rPr>
                <w:b/>
              </w:rPr>
              <w:t>Estado</w:t>
            </w:r>
          </w:p>
        </w:tc>
      </w:tr>
      <w:tr w:rsidR="00C3206E" w14:paraId="4E87EF6C" w14:textId="77777777">
        <w:trPr>
          <w:jc w:val="center"/>
        </w:trPr>
        <w:tc>
          <w:tcPr>
            <w:tcW w:w="2351" w:type="dxa"/>
          </w:tcPr>
          <w:p w14:paraId="3474B0D0" w14:textId="77777777" w:rsidR="00C3206E" w:rsidRDefault="00000000">
            <w:r>
              <w:t>1.0</w:t>
            </w:r>
          </w:p>
        </w:tc>
        <w:tc>
          <w:tcPr>
            <w:tcW w:w="2351" w:type="dxa"/>
          </w:tcPr>
          <w:p w14:paraId="7BAFDE18" w14:textId="77777777" w:rsidR="00C3206E" w:rsidRDefault="00000000">
            <w:r>
              <w:t>08-09-2026</w:t>
            </w:r>
          </w:p>
        </w:tc>
        <w:tc>
          <w:tcPr>
            <w:tcW w:w="2351" w:type="dxa"/>
          </w:tcPr>
          <w:p w14:paraId="0A2F3EE7" w14:textId="77777777" w:rsidR="00C3206E" w:rsidRDefault="00000000">
            <w:r>
              <w:t>Primera versión formal de mockups y sistema visual.</w:t>
            </w:r>
          </w:p>
          <w:p w14:paraId="21E29E5E" w14:textId="77777777" w:rsidR="00E473A7" w:rsidRDefault="00E473A7"/>
          <w:p w14:paraId="3BDF010D" w14:textId="77777777" w:rsidR="00E473A7" w:rsidRDefault="00E473A7"/>
          <w:p w14:paraId="083D385D" w14:textId="77777777" w:rsidR="00E473A7" w:rsidRDefault="00E473A7"/>
          <w:p w14:paraId="5D61685A" w14:textId="77777777" w:rsidR="00E473A7" w:rsidRDefault="00E473A7"/>
          <w:p w14:paraId="30DE7240" w14:textId="77777777" w:rsidR="00E473A7" w:rsidRDefault="00E473A7"/>
          <w:p w14:paraId="6DFCD0F5" w14:textId="77777777" w:rsidR="00E473A7" w:rsidRDefault="00E473A7"/>
          <w:p w14:paraId="0A2A7E5F" w14:textId="77777777" w:rsidR="00E473A7" w:rsidRDefault="00E473A7"/>
          <w:p w14:paraId="51D545B1" w14:textId="77777777" w:rsidR="00E473A7" w:rsidRDefault="00E473A7"/>
          <w:p w14:paraId="24E84A50" w14:textId="77777777" w:rsidR="00E473A7" w:rsidRDefault="00E473A7"/>
        </w:tc>
        <w:tc>
          <w:tcPr>
            <w:tcW w:w="2351" w:type="dxa"/>
          </w:tcPr>
          <w:p w14:paraId="7E77A1D2" w14:textId="77777777" w:rsidR="00C3206E" w:rsidRDefault="00000000">
            <w:r>
              <w:t>Propuesta</w:t>
            </w:r>
          </w:p>
        </w:tc>
      </w:tr>
    </w:tbl>
    <w:p w14:paraId="4FF8DF12" w14:textId="77777777" w:rsidR="00C3206E" w:rsidRDefault="00000000">
      <w:pPr>
        <w:pStyle w:val="Ttulo1"/>
      </w:pPr>
      <w:r>
        <w:lastRenderedPageBreak/>
        <w:t>5. Descripción de módulos y pantallas</w:t>
      </w:r>
    </w:p>
    <w:p w14:paraId="19929167" w14:textId="77777777" w:rsidR="00C3206E" w:rsidRDefault="00000000">
      <w:pPr>
        <w:pStyle w:val="Ttulo2"/>
      </w:pPr>
      <w:r>
        <w:t>5.1 LICING — Login</w:t>
      </w:r>
    </w:p>
    <w:p w14:paraId="30523A8C" w14:textId="5D9CCBCC" w:rsidR="00E473A7" w:rsidRDefault="00000000">
      <w:r>
        <w:t xml:space="preserve">Pantalla de autenticación de acceso a la plataforma. Contempla identificación del usuario, credenciales, inicio de sesión y elementos visuales de identidad de LICING. Su objetivo es proporcionar un acceso simple, claro y consistente con el resto de la </w:t>
      </w:r>
      <w:proofErr w:type="spellStart"/>
      <w:r>
        <w:t>plataforma</w:t>
      </w:r>
      <w:proofErr w:type="spellEnd"/>
      <w:r>
        <w:t>.</w:t>
      </w:r>
    </w:p>
    <w:p w14:paraId="262657AC" w14:textId="77777777" w:rsidR="00E473A7" w:rsidRDefault="00E473A7"/>
    <w:p w14:paraId="26E0EA6C" w14:textId="170184D9" w:rsidR="00C3206E" w:rsidRDefault="00E473A7">
      <w:r>
        <w:rPr>
          <w:noProof/>
        </w:rPr>
        <w:drawing>
          <wp:inline distT="0" distB="0" distL="0" distR="0" wp14:anchorId="4FD64EB0" wp14:editId="425DCBA3">
            <wp:extent cx="5958840" cy="3977640"/>
            <wp:effectExtent l="0" t="0" r="3810" b="3810"/>
            <wp:docPr id="761802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BFB84" w14:textId="77777777" w:rsidR="00E473A7" w:rsidRDefault="00E473A7"/>
    <w:p w14:paraId="59D4531B" w14:textId="77777777" w:rsidR="00E473A7" w:rsidRDefault="00E473A7"/>
    <w:p w14:paraId="2C5F1EA5" w14:textId="77777777" w:rsidR="00E473A7" w:rsidRDefault="00E473A7"/>
    <w:p w14:paraId="7B94D50D" w14:textId="77777777" w:rsidR="00E473A7" w:rsidRDefault="00E473A7"/>
    <w:p w14:paraId="7BDA3A83" w14:textId="77777777" w:rsidR="00E473A7" w:rsidRDefault="00E473A7"/>
    <w:p w14:paraId="707114C4" w14:textId="77777777" w:rsidR="00E473A7" w:rsidRDefault="00E473A7"/>
    <w:p w14:paraId="741C1F0B" w14:textId="77777777" w:rsidR="00E473A7" w:rsidRDefault="00E473A7"/>
    <w:p w14:paraId="27B4D5DD" w14:textId="77777777" w:rsidR="00E473A7" w:rsidRDefault="00E473A7"/>
    <w:p w14:paraId="1D8DE816" w14:textId="77777777" w:rsidR="00C3206E" w:rsidRDefault="00000000">
      <w:pPr>
        <w:pStyle w:val="Ttulo2"/>
      </w:pPr>
      <w:r>
        <w:t>5.2 LICING — Dashboard</w:t>
      </w:r>
    </w:p>
    <w:p w14:paraId="680D45F8" w14:textId="77777777" w:rsidR="00C3206E" w:rsidRDefault="00000000">
      <w:r>
        <w:t xml:space="preserve">Vista principal posterior al inicio de sesión. Centraliza un resumen ejecutivo de las oportunidades disponibles y procesadas. Considera indicadores clave, oportunidades prioritarias, estados y visualizaciones que permitan al usuario </w:t>
      </w:r>
      <w:proofErr w:type="spellStart"/>
      <w:r>
        <w:t>identificar</w:t>
      </w:r>
      <w:proofErr w:type="spellEnd"/>
      <w:r>
        <w:t xml:space="preserve"> rápidamente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14:paraId="20623E8F" w14:textId="77777777" w:rsidR="00E473A7" w:rsidRDefault="00E473A7"/>
    <w:p w14:paraId="591FF340" w14:textId="4FEDB6DB" w:rsidR="00E473A7" w:rsidRDefault="00E473A7">
      <w:r>
        <w:rPr>
          <w:noProof/>
        </w:rPr>
        <w:drawing>
          <wp:inline distT="0" distB="0" distL="0" distR="0" wp14:anchorId="1FDC400B" wp14:editId="353F13F7">
            <wp:extent cx="5958840" cy="3977640"/>
            <wp:effectExtent l="0" t="0" r="3810" b="3810"/>
            <wp:docPr id="1207776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69618" w14:textId="77777777" w:rsidR="00E473A7" w:rsidRDefault="00E473A7"/>
    <w:p w14:paraId="1AAB440F" w14:textId="77777777" w:rsidR="00E473A7" w:rsidRDefault="00E473A7"/>
    <w:p w14:paraId="44FD265B" w14:textId="77777777" w:rsidR="00E473A7" w:rsidRDefault="00E473A7"/>
    <w:p w14:paraId="4CD0622C" w14:textId="77777777" w:rsidR="00E473A7" w:rsidRDefault="00E473A7"/>
    <w:p w14:paraId="1CAB504A" w14:textId="77777777" w:rsidR="00E473A7" w:rsidRDefault="00E473A7"/>
    <w:p w14:paraId="28833F21" w14:textId="77777777" w:rsidR="00E473A7" w:rsidRDefault="00E473A7"/>
    <w:p w14:paraId="46D3F509" w14:textId="77777777" w:rsidR="00E473A7" w:rsidRDefault="00E473A7"/>
    <w:p w14:paraId="70FD867A" w14:textId="77777777" w:rsidR="00E473A7" w:rsidRDefault="00E473A7"/>
    <w:p w14:paraId="72FCF488" w14:textId="77777777" w:rsidR="00E473A7" w:rsidRDefault="00E473A7"/>
    <w:p w14:paraId="002A9AD5" w14:textId="77777777" w:rsidR="00E473A7" w:rsidRDefault="00E473A7"/>
    <w:p w14:paraId="15E1E8E4" w14:textId="77777777" w:rsidR="00E473A7" w:rsidRDefault="00E473A7"/>
    <w:p w14:paraId="60421ADA" w14:textId="77777777" w:rsidR="00C3206E" w:rsidRDefault="00000000">
      <w:pPr>
        <w:pStyle w:val="Ttulo2"/>
      </w:pPr>
      <w:r>
        <w:t>5.3 LICING — Oportunidades: visualización general</w:t>
      </w:r>
    </w:p>
    <w:p w14:paraId="511B452C" w14:textId="77777777" w:rsidR="00E473A7" w:rsidRDefault="00000000">
      <w:r>
        <w:t xml:space="preserve">Primera sección del módulo de oportunidades. Presenta las licitaciones y oportunidades obtenidas desde Mercado Público y Compra Ágil. Incluye búsqueda, filtros y una </w:t>
      </w:r>
      <w:proofErr w:type="spellStart"/>
      <w:r>
        <w:t>visualización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 xml:space="preserve"> con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institución, monto, fechas, tipo, estado y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relevancia</w:t>
      </w:r>
      <w:proofErr w:type="spellEnd"/>
      <w:r>
        <w:t>.</w:t>
      </w:r>
    </w:p>
    <w:p w14:paraId="630CFC47" w14:textId="0BEE540E" w:rsidR="00C3206E" w:rsidRDefault="00E473A7">
      <w:r>
        <w:rPr>
          <w:noProof/>
        </w:rPr>
        <w:drawing>
          <wp:inline distT="0" distB="0" distL="0" distR="0" wp14:anchorId="2B697283" wp14:editId="663C1E60">
            <wp:extent cx="5966460" cy="4069080"/>
            <wp:effectExtent l="0" t="0" r="0" b="7620"/>
            <wp:docPr id="152244086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71F44" w14:textId="77777777" w:rsidR="00E473A7" w:rsidRDefault="00E473A7"/>
    <w:p w14:paraId="1AA7F346" w14:textId="77777777" w:rsidR="00E473A7" w:rsidRDefault="00E473A7"/>
    <w:p w14:paraId="20BB2605" w14:textId="77777777" w:rsidR="00E473A7" w:rsidRDefault="00E473A7"/>
    <w:p w14:paraId="27E8D674" w14:textId="77777777" w:rsidR="00E473A7" w:rsidRDefault="00E473A7"/>
    <w:p w14:paraId="52E41BB9" w14:textId="77777777" w:rsidR="00E473A7" w:rsidRDefault="00E473A7"/>
    <w:p w14:paraId="22EADDE9" w14:textId="77777777" w:rsidR="00E473A7" w:rsidRDefault="00E473A7"/>
    <w:p w14:paraId="410BCECB" w14:textId="77777777" w:rsidR="00E473A7" w:rsidRDefault="00E473A7"/>
    <w:p w14:paraId="61F85537" w14:textId="77777777" w:rsidR="00E473A7" w:rsidRDefault="00E473A7"/>
    <w:p w14:paraId="41405EDB" w14:textId="77777777" w:rsidR="00E473A7" w:rsidRDefault="00E473A7"/>
    <w:p w14:paraId="2760AC92" w14:textId="77777777" w:rsidR="00E473A7" w:rsidRDefault="00E473A7"/>
    <w:p w14:paraId="74B92A0A" w14:textId="77777777" w:rsidR="00E473A7" w:rsidRDefault="00E473A7"/>
    <w:p w14:paraId="04371CE4" w14:textId="77777777" w:rsidR="00C3206E" w:rsidRDefault="00000000">
      <w:pPr>
        <w:pStyle w:val="Ttulo2"/>
      </w:pPr>
      <w:r>
        <w:t>5.4 LICING — Oportunidades: detalle de licitación</w:t>
      </w:r>
    </w:p>
    <w:p w14:paraId="49039F42" w14:textId="4916389D" w:rsidR="00E473A7" w:rsidRDefault="00000000">
      <w:r>
        <w:t xml:space="preserve">Segunda sección del módulo de oportunidades. Se activa al seleccionar una licitación desde la vista general y presenta la información detallada de la oportunidad, permitiendo comprender sus antecedentes antes de </w:t>
      </w:r>
      <w:proofErr w:type="spellStart"/>
      <w:r>
        <w:t>revisar</w:t>
      </w:r>
      <w:proofErr w:type="spellEnd"/>
      <w:r>
        <w:t xml:space="preserve"> 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>.</w:t>
      </w:r>
    </w:p>
    <w:p w14:paraId="31B51B8A" w14:textId="77777777" w:rsidR="00E473A7" w:rsidRDefault="00E473A7"/>
    <w:p w14:paraId="7333698B" w14:textId="642A629E" w:rsidR="00E473A7" w:rsidRDefault="00E473A7">
      <w:r>
        <w:rPr>
          <w:noProof/>
        </w:rPr>
        <w:drawing>
          <wp:inline distT="0" distB="0" distL="0" distR="0" wp14:anchorId="3BE72FCA" wp14:editId="0837EA76">
            <wp:extent cx="5958840" cy="4541520"/>
            <wp:effectExtent l="0" t="0" r="3810" b="0"/>
            <wp:docPr id="9403411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BCA7" w14:textId="77777777" w:rsidR="00E473A7" w:rsidRDefault="00E473A7"/>
    <w:p w14:paraId="44EE5792" w14:textId="77777777" w:rsidR="00E473A7" w:rsidRDefault="00E473A7"/>
    <w:p w14:paraId="1D8BC17D" w14:textId="77777777" w:rsidR="00E473A7" w:rsidRDefault="00E473A7"/>
    <w:p w14:paraId="02754EFD" w14:textId="77777777" w:rsidR="00E473A7" w:rsidRDefault="00E473A7"/>
    <w:p w14:paraId="3C34BADA" w14:textId="77777777" w:rsidR="00E473A7" w:rsidRDefault="00E473A7"/>
    <w:p w14:paraId="35EDBBDB" w14:textId="77777777" w:rsidR="00E473A7" w:rsidRDefault="00E473A7"/>
    <w:p w14:paraId="1F8D2698" w14:textId="77777777" w:rsidR="00E473A7" w:rsidRDefault="00E473A7"/>
    <w:p w14:paraId="12C506C9" w14:textId="77777777" w:rsidR="00E473A7" w:rsidRDefault="00E473A7"/>
    <w:p w14:paraId="55B604F8" w14:textId="77777777" w:rsidR="00C3206E" w:rsidRDefault="00000000">
      <w:pPr>
        <w:pStyle w:val="Ttulo2"/>
      </w:pPr>
      <w:r>
        <w:t>5.5 LICING — Oportunidades: análisis IA</w:t>
      </w:r>
    </w:p>
    <w:p w14:paraId="69385662" w14:textId="09F0C2F4" w:rsidR="00E473A7" w:rsidRDefault="00000000">
      <w:r>
        <w:t xml:space="preserve">Tercera sección del módulo de oportunidades. Presenta el análisis de la licitación seleccionada mediante Inteligencia Artificial. Se consideran elementos como resumen ejecutivo, requisitos, documentos obligatorios, información relevante y score de relevancia. El análisis se plantea como apoyo a la decisión y debe ser validado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>.</w:t>
      </w:r>
    </w:p>
    <w:p w14:paraId="21083FEE" w14:textId="77777777" w:rsidR="00E473A7" w:rsidRDefault="00E473A7"/>
    <w:p w14:paraId="69A55664" w14:textId="16B07121" w:rsidR="00E473A7" w:rsidRDefault="00E473A7">
      <w:r>
        <w:rPr>
          <w:noProof/>
        </w:rPr>
        <w:lastRenderedPageBreak/>
        <w:drawing>
          <wp:inline distT="0" distB="0" distL="0" distR="0" wp14:anchorId="538AC175" wp14:editId="603970FD">
            <wp:extent cx="5966460" cy="4625340"/>
            <wp:effectExtent l="0" t="0" r="0" b="3810"/>
            <wp:docPr id="165863437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E8742" w14:textId="77777777" w:rsidR="00E473A7" w:rsidRDefault="00E473A7"/>
    <w:p w14:paraId="7A3FD7E6" w14:textId="77777777" w:rsidR="00E473A7" w:rsidRDefault="00E473A7"/>
    <w:p w14:paraId="0A499821" w14:textId="77777777" w:rsidR="00E473A7" w:rsidRDefault="00E473A7"/>
    <w:p w14:paraId="5FE37174" w14:textId="77777777" w:rsidR="00E473A7" w:rsidRDefault="00E473A7"/>
    <w:p w14:paraId="7688C47D" w14:textId="77777777" w:rsidR="00E473A7" w:rsidRDefault="00E473A7"/>
    <w:p w14:paraId="6FFC3D5E" w14:textId="77777777" w:rsidR="00E473A7" w:rsidRDefault="00E473A7"/>
    <w:p w14:paraId="12DB8FCA" w14:textId="77777777" w:rsidR="00C3206E" w:rsidRDefault="00000000">
      <w:pPr>
        <w:pStyle w:val="Ttulo2"/>
      </w:pPr>
      <w:r>
        <w:t>5.6 LICING — Seguimiento</w:t>
      </w:r>
    </w:p>
    <w:p w14:paraId="170D9FC4" w14:textId="76B1D27F" w:rsidR="00E473A7" w:rsidRDefault="00000000">
      <w:r>
        <w:t xml:space="preserve">Módulo destinado a gestionar oportunidades que requieren seguimiento comercial. Permite organizar las oportunidades según su estado y mantener una vista enfocada en aquellas que requieren </w:t>
      </w:r>
      <w:proofErr w:type="spellStart"/>
      <w:r>
        <w:t>revisión</w:t>
      </w:r>
      <w:proofErr w:type="spellEnd"/>
      <w:r>
        <w:t xml:space="preserve"> o </w:t>
      </w:r>
      <w:proofErr w:type="spellStart"/>
      <w:r>
        <w:t>evaluación</w:t>
      </w:r>
      <w:proofErr w:type="spellEnd"/>
      <w:r>
        <w:t xml:space="preserve"> posterior.</w:t>
      </w:r>
    </w:p>
    <w:p w14:paraId="5EE241EF" w14:textId="77777777" w:rsidR="00E473A7" w:rsidRDefault="00E473A7"/>
    <w:p w14:paraId="03218F83" w14:textId="49188C52" w:rsidR="00E473A7" w:rsidRDefault="00E473A7">
      <w:r>
        <w:rPr>
          <w:noProof/>
        </w:rPr>
        <w:lastRenderedPageBreak/>
        <w:drawing>
          <wp:inline distT="0" distB="0" distL="0" distR="0" wp14:anchorId="3E108036" wp14:editId="516C76DB">
            <wp:extent cx="5958840" cy="4632960"/>
            <wp:effectExtent l="0" t="0" r="3810" b="0"/>
            <wp:docPr id="65284580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A188E" w14:textId="77777777" w:rsidR="00E473A7" w:rsidRDefault="00E473A7"/>
    <w:p w14:paraId="1E4DD0C3" w14:textId="77777777" w:rsidR="00E473A7" w:rsidRDefault="00E473A7"/>
    <w:p w14:paraId="227C64A6" w14:textId="77777777" w:rsidR="00E473A7" w:rsidRDefault="00E473A7"/>
    <w:p w14:paraId="132CDDCB" w14:textId="77777777" w:rsidR="00E473A7" w:rsidRDefault="00E473A7"/>
    <w:p w14:paraId="73400768" w14:textId="77777777" w:rsidR="00E473A7" w:rsidRDefault="00E473A7"/>
    <w:p w14:paraId="2DB5FA36" w14:textId="77777777" w:rsidR="00E473A7" w:rsidRDefault="00E473A7"/>
    <w:p w14:paraId="4CA92294" w14:textId="77777777" w:rsidR="00E473A7" w:rsidRDefault="00E473A7"/>
    <w:p w14:paraId="760580C2" w14:textId="77777777" w:rsidR="00C3206E" w:rsidRDefault="00000000">
      <w:pPr>
        <w:pStyle w:val="Ttulo2"/>
      </w:pPr>
      <w:r>
        <w:t>5.7 LICING — Reportes</w:t>
      </w:r>
    </w:p>
    <w:p w14:paraId="04F93460" w14:textId="5C1397F8" w:rsidR="00E473A7" w:rsidRDefault="00000000">
      <w:r>
        <w:t xml:space="preserve">Módulo orientado a la generación y exportación de información. Permite seleccionar criterios o periodos y preparar reportes para apoyar el análisis y </w:t>
      </w:r>
      <w:proofErr w:type="spellStart"/>
      <w:r>
        <w:t>seguimiento</w:t>
      </w:r>
      <w:proofErr w:type="spellEnd"/>
      <w:r>
        <w:t xml:space="preserve"> de las </w:t>
      </w:r>
      <w:proofErr w:type="spellStart"/>
      <w:r>
        <w:t>oportunidades</w:t>
      </w:r>
      <w:proofErr w:type="spellEnd"/>
      <w:r>
        <w:t>.</w:t>
      </w:r>
    </w:p>
    <w:p w14:paraId="36AC6468" w14:textId="77777777" w:rsidR="00E473A7" w:rsidRDefault="00E473A7"/>
    <w:p w14:paraId="7DAB4AB6" w14:textId="2A536342" w:rsidR="00E473A7" w:rsidRDefault="00E473A7">
      <w:r>
        <w:rPr>
          <w:noProof/>
        </w:rPr>
        <w:lastRenderedPageBreak/>
        <w:drawing>
          <wp:inline distT="0" distB="0" distL="0" distR="0" wp14:anchorId="72DBF512" wp14:editId="11F620C2">
            <wp:extent cx="5958840" cy="4709160"/>
            <wp:effectExtent l="0" t="0" r="3810" b="0"/>
            <wp:docPr id="202213679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9211" w14:textId="77777777" w:rsidR="00E473A7" w:rsidRDefault="00E473A7"/>
    <w:p w14:paraId="5CE71F43" w14:textId="77777777" w:rsidR="00E473A7" w:rsidRDefault="00E473A7"/>
    <w:p w14:paraId="0F098531" w14:textId="77777777" w:rsidR="00E473A7" w:rsidRDefault="00E473A7"/>
    <w:p w14:paraId="7EF33BB3" w14:textId="77777777" w:rsidR="00E473A7" w:rsidRDefault="00E473A7"/>
    <w:p w14:paraId="243FBC03" w14:textId="77777777" w:rsidR="00E473A7" w:rsidRDefault="00E473A7"/>
    <w:p w14:paraId="2EF5E1B7" w14:textId="77777777" w:rsidR="00E473A7" w:rsidRDefault="00E473A7"/>
    <w:p w14:paraId="341342F6" w14:textId="77777777" w:rsidR="00E473A7" w:rsidRDefault="00E473A7"/>
    <w:p w14:paraId="31F6E02A" w14:textId="77777777" w:rsidR="00E473A7" w:rsidRDefault="00E473A7"/>
    <w:p w14:paraId="670C3E00" w14:textId="77777777" w:rsidR="00E473A7" w:rsidRDefault="00E473A7"/>
    <w:p w14:paraId="715D356C" w14:textId="77777777" w:rsidR="00C3206E" w:rsidRDefault="00000000">
      <w:pPr>
        <w:pStyle w:val="Ttulo2"/>
      </w:pPr>
      <w:r>
        <w:lastRenderedPageBreak/>
        <w:t>5.8 LICING — Design System / UI Framework</w:t>
      </w:r>
    </w:p>
    <w:p w14:paraId="1FD75ED5" w14:textId="77777777" w:rsidR="00C3206E" w:rsidRDefault="00000000">
      <w:r>
        <w:t xml:space="preserve">Documento visual de referencia que define cómo están diseñados los componentes utilizados en los mockups. Incluye componentes de interfaz, botones, campos, tarjetas, tablas, badges, navegación, estados, espaciados, tipografía e iconografía. Su objetivo es mantener consistencia y facilitar una futura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reutilizables</w:t>
      </w:r>
      <w:proofErr w:type="spellEnd"/>
      <w:r>
        <w:t>.</w:t>
      </w:r>
    </w:p>
    <w:p w14:paraId="69261931" w14:textId="77777777" w:rsidR="00E473A7" w:rsidRDefault="00E473A7"/>
    <w:p w14:paraId="4B784133" w14:textId="73697094" w:rsidR="00E473A7" w:rsidRDefault="00E473A7">
      <w:r>
        <w:rPr>
          <w:noProof/>
        </w:rPr>
        <w:drawing>
          <wp:inline distT="0" distB="0" distL="0" distR="0" wp14:anchorId="24B65BD6" wp14:editId="117C94E9">
            <wp:extent cx="5958840" cy="5044440"/>
            <wp:effectExtent l="0" t="0" r="3810" b="3810"/>
            <wp:docPr id="182321036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4F30" w14:textId="77777777" w:rsidR="00E473A7" w:rsidRDefault="00E473A7"/>
    <w:p w14:paraId="68C0AB1C" w14:textId="77777777" w:rsidR="00E473A7" w:rsidRDefault="00E473A7"/>
    <w:p w14:paraId="10378275" w14:textId="77777777" w:rsidR="00E473A7" w:rsidRDefault="00E473A7"/>
    <w:p w14:paraId="245DC8C1" w14:textId="77777777" w:rsidR="00C3206E" w:rsidRDefault="00000000">
      <w:pPr>
        <w:pStyle w:val="Ttulo1"/>
      </w:pPr>
      <w:r>
        <w:lastRenderedPageBreak/>
        <w:t>6. Flujo de navegación principal</w:t>
      </w:r>
    </w:p>
    <w:p w14:paraId="3CEB5082" w14:textId="77777777" w:rsidR="00C3206E" w:rsidRDefault="00000000">
      <w:r>
        <w:t>El flujo propuesto inicia en Login y continúa hacia el Dashboard. Desde allí el usuario puede acceder a Oportunidades, seleccionar una licitación y avanzar desde su visualización general hacia el detalle y posteriormente al análisis IA. También puede enviar oportunidades a Seguimiento y utilizar Reportes para consolidar información.</w:t>
      </w:r>
    </w:p>
    <w:p w14:paraId="7DCE766B" w14:textId="77777777" w:rsidR="00C3206E" w:rsidRDefault="00000000">
      <w:pPr>
        <w:pStyle w:val="Ttulo1"/>
      </w:pPr>
      <w:r>
        <w:t>7. Criterios de diseño UX/UI</w:t>
      </w:r>
    </w:p>
    <w:p w14:paraId="74A1E1AD" w14:textId="77777777" w:rsidR="00C3206E" w:rsidRDefault="00000000">
      <w:pPr>
        <w:pStyle w:val="Listaconvietas"/>
      </w:pPr>
      <w:r>
        <w:t>Interfaz orientada a productividad y uso empresarial.</w:t>
      </w:r>
    </w:p>
    <w:p w14:paraId="015B9EF7" w14:textId="77777777" w:rsidR="00C3206E" w:rsidRDefault="00000000">
      <w:pPr>
        <w:pStyle w:val="Listaconvietas"/>
      </w:pPr>
      <w:r>
        <w:t>Jerarquía visual clara para facilitar la identificación de oportunidades relevantes.</w:t>
      </w:r>
    </w:p>
    <w:p w14:paraId="32EE199C" w14:textId="77777777" w:rsidR="00C3206E" w:rsidRDefault="00000000">
      <w:pPr>
        <w:pStyle w:val="Listaconvietas"/>
      </w:pPr>
      <w:r>
        <w:t>Componentes consistentes y reutilizables.</w:t>
      </w:r>
    </w:p>
    <w:p w14:paraId="73595222" w14:textId="77777777" w:rsidR="00C3206E" w:rsidRDefault="00000000">
      <w:pPr>
        <w:pStyle w:val="Listaconvietas"/>
      </w:pPr>
      <w:r>
        <w:t>Navegación simple mediante sidebar y header.</w:t>
      </w:r>
    </w:p>
    <w:p w14:paraId="44B0CD3D" w14:textId="77777777" w:rsidR="00C3206E" w:rsidRDefault="00000000">
      <w:pPr>
        <w:pStyle w:val="Listaconvietas"/>
      </w:pPr>
      <w:r>
        <w:t>Uso de estados visuales para comunicar prioridad y progreso.</w:t>
      </w:r>
    </w:p>
    <w:p w14:paraId="4DBE682A" w14:textId="77777777" w:rsidR="00C3206E" w:rsidRDefault="00000000">
      <w:pPr>
        <w:pStyle w:val="Listaconvietas"/>
      </w:pPr>
      <w:r>
        <w:t>Diseño preparado para una futura adaptación responsive.</w:t>
      </w:r>
    </w:p>
    <w:p w14:paraId="1CAEE648" w14:textId="77777777" w:rsidR="00C3206E" w:rsidRDefault="00000000">
      <w:pPr>
        <w:pStyle w:val="Listaconvietas"/>
      </w:pPr>
      <w:r>
        <w:t>Presentación de IA como herramienta de apoyo y no como reemplazo de la decisión comercial.</w:t>
      </w:r>
    </w:p>
    <w:p w14:paraId="7CC51585" w14:textId="77777777" w:rsidR="00C3206E" w:rsidRDefault="00000000">
      <w:pPr>
        <w:pStyle w:val="Ttulo1"/>
      </w:pPr>
      <w:r>
        <w:t>8. Consideraciones de implementación</w:t>
      </w:r>
    </w:p>
    <w:p w14:paraId="2FD78674" w14:textId="77777777" w:rsidR="00C3206E" w:rsidRDefault="00000000">
      <w:r>
        <w:t>Los mockups constituyen una referencia visual y funcional para la implementación del frontend. La propuesta está pensada para una arquitectura basada en componentes, compatible con la intención actual de utilizar React + Vite en el frontend. La definición tecnológica indicada en la documentación del proyecto continúa siendo tentativa y podrá evolucionar durante el desarrollo.</w:t>
      </w:r>
    </w:p>
    <w:p w14:paraId="7A4DE2C9" w14:textId="77777777" w:rsidR="00C3206E" w:rsidRDefault="00000000">
      <w:pPr>
        <w:pStyle w:val="Ttulo1"/>
      </w:pPr>
      <w:r>
        <w:t>9. Cierre</w:t>
      </w:r>
    </w:p>
    <w:p w14:paraId="19022046" w14:textId="77777777" w:rsidR="00C3206E" w:rsidRDefault="00000000">
      <w:r>
        <w:t>La propuesta de mockups establece una base visual coherente para LICING y permite representar el flujo principal de uso de la plataforma: encontrar oportunidades, revisar su información, analizar su contenido mediante IA, priorizarlas y facilitar la toma de decisiones del equipo comercial.</w:t>
      </w:r>
    </w:p>
    <w:sectPr w:rsidR="00C3206E" w:rsidSect="00034616">
      <w:headerReference w:type="default" r:id="rId16"/>
      <w:footerReference w:type="default" r:id="rId17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1CFA7" w14:textId="77777777" w:rsidR="00CF35B9" w:rsidRDefault="00CF35B9">
      <w:pPr>
        <w:spacing w:after="0" w:line="240" w:lineRule="auto"/>
      </w:pPr>
      <w:r>
        <w:separator/>
      </w:r>
    </w:p>
  </w:endnote>
  <w:endnote w:type="continuationSeparator" w:id="0">
    <w:p w14:paraId="1131761E" w14:textId="77777777" w:rsidR="00CF35B9" w:rsidRDefault="00CF3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2257" w14:textId="3E02B96D" w:rsidR="00C3206E" w:rsidRDefault="00000000">
    <w:pPr>
      <w:pStyle w:val="Piedepgina"/>
      <w:jc w:val="center"/>
    </w:pPr>
    <w:r>
      <w:t>LICING —</w:t>
    </w:r>
    <w:r w:rsidR="00E473A7">
      <w:t xml:space="preserve"> </w:t>
    </w:r>
    <w:r>
      <w:t xml:space="preserve">Mockups | </w:t>
    </w:r>
    <w:proofErr w:type="spellStart"/>
    <w:r>
      <w:t>Versión</w:t>
    </w:r>
    <w:proofErr w:type="spellEnd"/>
    <w:r>
      <w:t xml:space="preserve">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94459" w14:textId="77777777" w:rsidR="00CF35B9" w:rsidRDefault="00CF35B9">
      <w:pPr>
        <w:spacing w:after="0" w:line="240" w:lineRule="auto"/>
      </w:pPr>
      <w:r>
        <w:separator/>
      </w:r>
    </w:p>
  </w:footnote>
  <w:footnote w:type="continuationSeparator" w:id="0">
    <w:p w14:paraId="51E5BE2C" w14:textId="77777777" w:rsidR="00CF35B9" w:rsidRDefault="00CF3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20400" w:type="dxa"/>
      <w:tblLook w:val="04A0" w:firstRow="1" w:lastRow="0" w:firstColumn="1" w:lastColumn="0" w:noHBand="0" w:noVBand="1"/>
    </w:tblPr>
    <w:tblGrid>
      <w:gridCol w:w="10200"/>
      <w:gridCol w:w="10200"/>
    </w:tblGrid>
    <w:tr w:rsidR="00BE68C2" w:rsidRPr="00A7239E" w14:paraId="73236856" w14:textId="77777777" w:rsidTr="006102D9">
      <w:trPr>
        <w:trHeight w:val="995"/>
      </w:trPr>
      <w:tc>
        <w:tcPr>
          <w:tcW w:w="102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351FE51" w14:textId="6F69A6CD" w:rsidR="00BE68C2" w:rsidRDefault="00BE68C2" w:rsidP="00BE68C2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noProof/>
              <w:lang w:eastAsia="es-CL"/>
            </w:rPr>
            <w:drawing>
              <wp:inline distT="0" distB="0" distL="0" distR="0" wp14:anchorId="43310734" wp14:editId="4AEE22B1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00" w:type="dxa"/>
          <w:tcBorders>
            <w:top w:val="nil"/>
            <w:left w:val="nil"/>
            <w:bottom w:val="nil"/>
            <w:right w:val="nil"/>
          </w:tcBorders>
        </w:tcPr>
        <w:p w14:paraId="2E1ECBE8" w14:textId="3AC7F014" w:rsidR="00BE68C2" w:rsidRDefault="00BE68C2" w:rsidP="00BE68C2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</w:p>
      </w:tc>
    </w:tr>
  </w:tbl>
  <w:p w14:paraId="5A1E78EC" w14:textId="77777777" w:rsidR="00BE68C2" w:rsidRPr="00BE68C2" w:rsidRDefault="00BE68C2" w:rsidP="00BE68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135223">
    <w:abstractNumId w:val="8"/>
  </w:num>
  <w:num w:numId="2" w16cid:durableId="1581911582">
    <w:abstractNumId w:val="6"/>
  </w:num>
  <w:num w:numId="3" w16cid:durableId="855730824">
    <w:abstractNumId w:val="5"/>
  </w:num>
  <w:num w:numId="4" w16cid:durableId="1774864721">
    <w:abstractNumId w:val="4"/>
  </w:num>
  <w:num w:numId="5" w16cid:durableId="840391072">
    <w:abstractNumId w:val="7"/>
  </w:num>
  <w:num w:numId="6" w16cid:durableId="1358459811">
    <w:abstractNumId w:val="3"/>
  </w:num>
  <w:num w:numId="7" w16cid:durableId="225655180">
    <w:abstractNumId w:val="2"/>
  </w:num>
  <w:num w:numId="8" w16cid:durableId="944459180">
    <w:abstractNumId w:val="1"/>
  </w:num>
  <w:num w:numId="9" w16cid:durableId="130372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23D"/>
    <w:rsid w:val="00034616"/>
    <w:rsid w:val="0006063C"/>
    <w:rsid w:val="000A19FE"/>
    <w:rsid w:val="0015074B"/>
    <w:rsid w:val="0029639D"/>
    <w:rsid w:val="00326F90"/>
    <w:rsid w:val="00724604"/>
    <w:rsid w:val="00AA1D8D"/>
    <w:rsid w:val="00B47730"/>
    <w:rsid w:val="00BE68C2"/>
    <w:rsid w:val="00C3206E"/>
    <w:rsid w:val="00CB0664"/>
    <w:rsid w:val="00CF35B9"/>
    <w:rsid w:val="00E473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4547ED2"/>
  <w14:defaultImageDpi w14:val="300"/>
  <w15:docId w15:val="{399368F7-0459-4A59-A9FF-BDB994B1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864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. MANCILLA MERCADO</cp:lastModifiedBy>
  <cp:revision>2</cp:revision>
  <dcterms:created xsi:type="dcterms:W3CDTF">2026-09-08T23:15:00Z</dcterms:created>
  <dcterms:modified xsi:type="dcterms:W3CDTF">2026-09-08T23:15:00Z</dcterms:modified>
  <cp:category/>
</cp:coreProperties>
</file>