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exact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"/>
          <w:rtl w:val="0"/>
        </w:rPr>
      </w:r>
    </w:p>
    <w:tbl>
      <w:tblPr>
        <w:tblStyle w:val="Table1"/>
        <w:tblW w:w="935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W w:type="dxa" w:w="9360"/>
            <w:gridSpan w:val="2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>
            <w:pPr>
              <w:pStyle w:val="Title"/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ACTA DE REUNIÓN</w:t>
            </w:r>
          </w:p>
        </w:tc>
      </w:tr>
      <w:tr>
        <w:trPr>
          <w:cantSplit w:val="0"/>
          <w:tblHeader w:val="0"/>
        </w:trPr>
        <w:tc>
          <w:tcPr>
            <w:tcW w:type="dxa" w:w="4680"/>
            <w:shd w:fill="FFFFFF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Proyecto:</w:t>
            </w:r>
          </w:p>
        </w:tc>
        <w:tc>
          <w:tcPr>
            <w:tcW w:type="dxa" w:w="468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Licing</w:t>
            </w:r>
          </w:p>
        </w:tc>
      </w:tr>
      <w:tr>
        <w:trPr>
          <w:cantSplit w:val="0"/>
          <w:tblHeader w:val="0"/>
        </w:trPr>
        <w:tc>
          <w:tcPr>
            <w:tcW w:type="dxa" w:w="4680"/>
            <w:shd w:fill="FFFFFF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Comité o grupo:</w:t>
              <w:br/>
            </w:r>
            <w:r>
              <w:rPr>
                <w:rFonts w:ascii="Calibri" w:hAnsi="Calibri"/>
                <w:i w:val="0"/>
                <w:color w:val="000000"/>
                <w:sz w:val="22"/>
              </w:rPr>
              <w:t>Equipo Capstone Licing</w:t>
            </w:r>
          </w:p>
        </w:tc>
        <w:tc>
          <w:tcPr>
            <w:tcW w:type="dxa" w:w="468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Acta N°:</w:t>
              <w:br/>
            </w: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W w:type="dxa" w:w="4680"/>
            <w:shd w:fill="FFFFFF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Coordinador:</w:t>
              <w:br/>
            </w:r>
            <w:r>
              <w:rPr>
                <w:rFonts w:ascii="Calibri" w:hAnsi="Calibri"/>
                <w:color w:val="000000"/>
                <w:sz w:val="22"/>
              </w:rPr>
              <w:t>Arturo Vargas</w:t>
            </w:r>
          </w:p>
        </w:tc>
        <w:tc>
          <w:tcPr>
            <w:tcW w:type="dxa" w:w="468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Fecha:</w:t>
              <w:br/>
            </w:r>
            <w:r>
              <w:rPr>
                <w:rFonts w:ascii="Calibri" w:hAnsi="Calibri"/>
                <w:color w:val="000000"/>
                <w:sz w:val="22"/>
              </w:rPr>
              <w:t>10/09/2026</w:t>
            </w:r>
          </w:p>
        </w:tc>
      </w:tr>
    </w:tbl>
    <w:p w:rsidR="00000000" w:rsidDel="00000000" w:rsidP="00000000" w:rsidRDefault="00000000" w:rsidRPr="00000000" w14:paraId="00000018">
      <w:pPr>
        <w:spacing w:after="0" w:lineRule="exact" w:before="0" w:line="180"/>
        <w:rPr/>
      </w:pPr>
      <w:r w:rsidDel="00000000" w:rsidR="00000000" w:rsidRPr="00000000">
        <w:rPr>
          <w:sz w:val="2"/>
          <w:rtl w:val="0"/>
        </w:rPr>
      </w:r>
    </w:p>
    <w:tbl>
      <w:tblPr>
        <w:tblStyle w:val="Table2"/>
        <w:tblW w:w="935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000"/>
      </w:tblPr>
      <w:tblGrid>
        <w:gridCol w:w="576"/>
        <w:gridCol w:w="4464"/>
        <w:gridCol w:w="4320"/>
        <w:tblGridChange w:id="0">
          <w:tblGrid>
            <w:gridCol w:w="700"/>
            <w:gridCol w:w="3200"/>
            <w:gridCol w:w="2450"/>
            <w:gridCol w:w="3000"/>
          </w:tblGrid>
        </w:tblGridChange>
      </w:tblGrid>
      <w:tr>
        <w:trPr>
          <w:cantSplit w:val="0"/>
          <w:tblHeader w:val="0"/>
        </w:trPr>
        <w:tc>
          <w:tcPr>
            <w:tcW w:type="dxa" w:w="9360"/>
            <w:gridSpan w:val="3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/>
              <w:spacing w:before="0" w:after="40" w:line="252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9"/>
                <w:rtl w:val="0"/>
              </w:rPr>
              <w:t xml:space="preserve">PARTICIPANTES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76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/>
              <w:spacing w:before="0" w:after="40" w:line="252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  <w:tc>
          <w:tcPr>
            <w:tcW w:type="dxa" w:w="4464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/>
              <w:spacing w:before="0" w:after="40" w:line="252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  <w:tc>
          <w:tcPr>
            <w:tcW w:type="dxa" w:w="4320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/>
              <w:spacing w:before="0" w:after="40" w:line="252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8"/>
                <w:rtl w:val="0"/>
              </w:rPr>
              <w:t xml:space="preserve">Cargo / Rol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7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464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Thomas Leighton</w:t>
            </w:r>
          </w:p>
        </w:tc>
        <w:tc>
          <w:tcPr>
            <w:tcW w:type="dxa" w:w="432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Integrante del equipo</w:t>
            </w:r>
          </w:p>
        </w:tc>
      </w:tr>
      <w:tr>
        <w:trPr>
          <w:cantSplit w:val="0"/>
          <w:tblHeader w:val="0"/>
        </w:trPr>
        <w:tc>
          <w:tcPr>
            <w:tcW w:type="dxa" w:w="57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464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Diego Sandoval</w:t>
            </w:r>
          </w:p>
        </w:tc>
        <w:tc>
          <w:tcPr>
            <w:tcW w:type="dxa" w:w="432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Integrante del equipo</w:t>
            </w:r>
          </w:p>
        </w:tc>
      </w:tr>
      <w:tr>
        <w:trPr>
          <w:cantSplit w:val="0"/>
          <w:tblHeader w:val="0"/>
        </w:trPr>
        <w:tc>
          <w:tcPr>
            <w:tcW w:type="dxa" w:w="57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464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Miguel Mancilla</w:t>
            </w:r>
          </w:p>
        </w:tc>
        <w:tc>
          <w:tcPr>
            <w:tcW w:type="dxa" w:w="432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Integrante del equipo</w:t>
            </w:r>
          </w:p>
        </w:tc>
      </w:tr>
    </w:tbl>
    <w:p w:rsidR="00000000" w:rsidDel="00000000" w:rsidP="00000000" w:rsidRDefault="00000000" w:rsidRPr="00000000" w14:paraId="00000035">
      <w:pPr>
        <w:spacing w:after="0" w:lineRule="exact" w:before="0" w:line="180"/>
        <w:rPr/>
      </w:pPr>
      <w:r w:rsidDel="00000000" w:rsidR="00000000" w:rsidRPr="00000000">
        <w:rPr>
          <w:sz w:val="2"/>
          <w:rtl w:val="0"/>
        </w:rPr>
      </w:r>
    </w:p>
    <w:tbl>
      <w:tblPr>
        <w:tblStyle w:val="Table3"/>
        <w:tblW w:w="935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000"/>
      </w:tblPr>
      <w:tblGrid>
        <w:gridCol w:w="547"/>
        <w:gridCol w:w="8813"/>
        <w:tblGridChange w:id="0">
          <w:tblGrid>
            <w:gridCol w:w="700"/>
            <w:gridCol w:w="8650"/>
          </w:tblGrid>
        </w:tblGridChange>
      </w:tblGrid>
      <w:tr>
        <w:trPr>
          <w:cantSplit w:val="0"/>
          <w:tblHeader w:val="0"/>
        </w:trPr>
        <w:tc>
          <w:tcPr>
            <w:tcW w:type="dxa" w:w="9360"/>
            <w:gridSpan w:val="2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/>
              <w:spacing w:before="0" w:after="40" w:line="252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9"/>
                <w:rtl w:val="0"/>
              </w:rPr>
              <w:t xml:space="preserve">PUNTOS DE DISCUSIÓN (TABLA / AGENDA)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4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 w:rsidR="00000000" w:rsidDel="00000000" w:rsidP="00000000" w:rsidRDefault="00000000" w:rsidRPr="00000000" w14:paraId="00000038">
            <w:pPr>
              <w:keepNext w:val="0"/>
              <w:spacing w:before="0" w:after="40" w:line="252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color w:val="000000"/>
                <w:sz w:val="22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alibri" w:hAnsi="Calibri"/>
                <w:i w:val="0"/>
                <w:color w:val="000000"/>
                <w:sz w:val="22"/>
                <w:rtl w:val="0"/>
              </w:rPr>
            </w:r>
          </w:p>
        </w:tc>
        <w:tc>
          <w:tcPr>
            <w:tcW w:type="dxa" w:w="8813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Alcance de Licing y uso de la plataforma por el Encargado de Licitaciones.</w:t>
            </w:r>
          </w:p>
        </w:tc>
      </w:tr>
      <w:tr>
        <w:trPr>
          <w:cantSplit w:val="0"/>
          <w:tblHeader w:val="0"/>
        </w:trPr>
        <w:tc>
          <w:tcPr>
            <w:tcW w:type="dxa" w:w="54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 w:rsidR="00000000" w:rsidDel="00000000" w:rsidP="00000000" w:rsidRDefault="00000000" w:rsidRPr="00000000" w14:paraId="0000003A">
            <w:pPr>
              <w:keepNext w:val="0"/>
              <w:spacing w:before="0" w:after="40" w:line="252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color w:val="000000"/>
                <w:sz w:val="22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alibri" w:hAnsi="Calibri"/>
                <w:i w:val="0"/>
                <w:color w:val="000000"/>
                <w:sz w:val="22"/>
                <w:rtl w:val="0"/>
              </w:rPr>
            </w:r>
          </w:p>
        </w:tc>
        <w:tc>
          <w:tcPr>
            <w:tcW w:type="dxa" w:w="8813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Obtención de oportunidades, filtrado según parámetros y revisión final de relevancia mediante IA; análisis y resumen ejecutivo.</w:t>
            </w:r>
          </w:p>
        </w:tc>
      </w:tr>
      <w:tr>
        <w:trPr>
          <w:cantSplit w:val="0"/>
          <w:tblHeader w:val="0"/>
        </w:trPr>
        <w:tc>
          <w:tcPr>
            <w:tcW w:type="dxa" w:w="54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 w:rsidR="00000000" w:rsidDel="00000000" w:rsidP="00000000" w:rsidRDefault="00000000" w:rsidRPr="00000000" w14:paraId="0000003C">
            <w:pPr>
              <w:keepNext w:val="0"/>
              <w:spacing w:before="0" w:after="40" w:line="252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color w:val="000000"/>
                <w:sz w:val="22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alibri" w:hAnsi="Calibri"/>
                <w:i w:val="0"/>
                <w:color w:val="000000"/>
                <w:sz w:val="22"/>
                <w:rtl w:val="0"/>
              </w:rPr>
            </w:r>
          </w:p>
        </w:tc>
        <w:tc>
          <w:tcPr>
            <w:tcW w:type="dxa" w:w="8813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Coherencia de los RF, RNF, los 11 casos de uso, sus plantillas y los diagramas general y unitarios.</w:t>
            </w:r>
          </w:p>
        </w:tc>
      </w:tr>
      <w:tr>
        <w:trPr>
          <w:cantSplit w:val="0"/>
          <w:tblHeader w:val="0"/>
        </w:trPr>
        <w:tc>
          <w:tcPr>
            <w:tcW w:type="dxa" w:w="54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 w:rsidR="00000000" w:rsidDel="00000000" w:rsidP="00000000" w:rsidRDefault="00000000" w:rsidRPr="00000000" w14:paraId="0000003E">
            <w:pPr>
              <w:keepNext w:val="0"/>
              <w:spacing w:before="0" w:after="40" w:line="252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color w:val="000000"/>
                <w:sz w:val="22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Calibri" w:hAnsi="Calibri"/>
                <w:i w:val="0"/>
                <w:color w:val="000000"/>
                <w:sz w:val="22"/>
                <w:rtl w:val="0"/>
              </w:rPr>
            </w:r>
          </w:p>
        </w:tc>
        <w:tc>
          <w:tcPr>
            <w:tcW w:type="dxa" w:w="8813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Validaciones pendientes, próximos entregables, responsables y plazos.</w:t>
            </w:r>
          </w:p>
        </w:tc>
      </w:tr>
    </w:tbl>
    <w:p w:rsidR="00000000" w:rsidDel="00000000" w:rsidP="00000000" w:rsidRDefault="00000000" w:rsidRPr="00000000" w14:paraId="00000040">
      <w:pPr>
        <w:spacing w:after="0" w:lineRule="exact" w:before="0" w:line="180"/>
        <w:rPr/>
        <w:pageBreakBefore/>
      </w:pPr>
      <w:r w:rsidDel="00000000" w:rsidR="00000000" w:rsidRPr="00000000">
        <w:rPr>
          <w:sz w:val="2"/>
          <w:rtl w:val="0"/>
        </w:rPr>
      </w:r>
    </w:p>
    <w:tbl>
      <w:tblPr>
        <w:tblStyle w:val="Table4"/>
        <w:tblW w:w="935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000"/>
      </w:tblPr>
      <w:tblGrid>
        <w:gridCol w:w="936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W w:type="dxa" w:w="9360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/>
              <w:spacing w:before="0" w:after="40" w:line="252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9"/>
                <w:rtl w:val="0"/>
              </w:rPr>
              <w:t xml:space="preserve">DESARROLLO DE LA REUNIÓN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936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120" w:line="252" w:lineRule="auto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Antecedentes para revisión en la sesión</w:t>
            </w:r>
          </w:p>
          <w:p>
            <w:pPr>
              <w:keepNext w:val="0"/>
              <w:spacing w:before="0" w:after="120" w:line="252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Licing es una aplicación web orientada a apoyar la revisión de oportunidades del Hotel Plaza San Francisco. El personal de licitaciones configura los parámetros de búsqueda y consulta los resultados en la plataforma.</w:t>
            </w:r>
          </w:p>
          <w:p>
            <w:pPr>
              <w:keepNext w:val="0"/>
              <w:spacing w:before="0" w:after="120" w:line="252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El flujo definido contempla la obtención automática de oportunidades desde Mercado Público y Compra Ágil, su filtrado según los parámetros configurados y una revisión final de relevancia mediante IA. El motor analiza la documentación y genera un resumen ejecutivo antes de la consulta del encargado.</w:t>
            </w:r>
          </w:p>
          <w:p>
            <w:pPr>
              <w:keepNext w:val="0"/>
              <w:spacing w:before="0" w:after="120" w:line="252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El motor de IA forma parte de Licing. El Encargado de Licitaciones es el usuario humano identificado y Mercado Público / Compra Ágil es el sistema externo de apoyo. La clasificación de relevancia no equivale a decidir una participación ni una adjudicación.</w:t>
            </w:r>
          </w:p>
          <w:p>
            <w:pPr>
              <w:keepNext w:val="0"/>
              <w:spacing w:before="0" w:after="120" w:line="252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La revisión documental debe mantener la coherencia entre los requisitos, los 11 casos de uso, sus secuencias y los diagramas. Los destinatarios de los informes son Gerencia General y Finanzas.</w:t>
            </w:r>
          </w:p>
        </w:tc>
      </w:tr>
      <w:tr>
        <w:trPr>
          <w:cantSplit w:val="0"/>
          <w:tblHeader w:val="0"/>
        </w:trPr>
        <w:tc>
          <w:tcPr>
            <w:tcW w:type="dxa" w:w="936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Observaciones:</w:t>
              <w:br/>
              <w:t>Validaciones pendientes del proyecto: acceso y cobertura de las fuentes, frecuencia de actualización, proveedor del LLM y costos de operación.</w:t>
            </w:r>
          </w:p>
        </w:tc>
      </w:tr>
    </w:tbl>
    <w:p w:rsidR="00000000" w:rsidDel="00000000" w:rsidP="00000000" w:rsidRDefault="00000000" w:rsidRPr="00000000" w14:paraId="0000004A">
      <w:pPr>
        <w:spacing w:after="0" w:lineRule="exact" w:before="0" w:line="180"/>
        <w:rPr/>
      </w:pPr>
      <w:r w:rsidDel="00000000" w:rsidR="00000000" w:rsidRPr="00000000">
        <w:rPr>
          <w:sz w:val="2"/>
          <w:rtl w:val="0"/>
        </w:rPr>
      </w:r>
    </w:p>
    <w:tbl>
      <w:tblPr>
        <w:tblStyle w:val="Table5"/>
        <w:tblW w:w="935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000"/>
      </w:tblPr>
      <w:tblGrid>
        <w:gridCol w:w="547"/>
        <w:gridCol w:w="6336"/>
        <w:gridCol w:w="2477"/>
        <w:tblGridChange w:id="0">
          <w:tblGrid>
            <w:gridCol w:w="700"/>
            <w:gridCol w:w="3350"/>
            <w:gridCol w:w="1900"/>
            <w:gridCol w:w="16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W w:type="dxa" w:w="9360"/>
            <w:gridSpan w:val="3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/>
              <w:spacing w:before="0" w:after="40" w:line="252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9"/>
                <w:rtl w:val="0"/>
              </w:rPr>
              <w:t xml:space="preserve">CONCLUSIONES Y COMPROMISOS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47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/>
              <w:spacing w:before="0" w:after="40" w:line="252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  <w:tc>
          <w:tcPr>
            <w:tcW w:type="dxa" w:w="6336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/>
              <w:spacing w:before="0" w:after="40" w:line="252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  <w:tc>
          <w:tcPr>
            <w:tcW w:type="dxa" w:w="2477"/>
            <w:shd w:fill="E7E6E6" w:val="clear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/>
              <w:spacing w:before="0" w:after="40" w:line="252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i w:val="0"/>
                <w:color w:val="000000"/>
                <w:sz w:val="22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Fonts w:ascii="Calibri" w:hAnsi="Calibri"/>
                <w:b/>
                <w:i w:val="0"/>
                <w:color w:val="000000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4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633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Validar el flujo de obtención, filtrado y análisis automático.</w:t>
            </w:r>
          </w:p>
        </w:tc>
        <w:tc>
          <w:tcPr>
            <w:tcW w:type="dxa" w:w="247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Propuesta por validar.</w:t>
            </w:r>
          </w:p>
        </w:tc>
      </w:tr>
      <w:tr>
        <w:trPr>
          <w:cantSplit w:val="0"/>
          <w:tblHeader w:val="0"/>
        </w:trPr>
        <w:tc>
          <w:tcPr>
            <w:tcW w:type="dxa" w:w="54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633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Revisar RF, RNF, plantillas y diagramas de los 11 casos de uso.</w:t>
            </w:r>
          </w:p>
        </w:tc>
        <w:tc>
          <w:tcPr>
            <w:tcW w:type="dxa" w:w="247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Propuesta por validar.</w:t>
            </w:r>
          </w:p>
        </w:tc>
      </w:tr>
      <w:tr>
        <w:trPr>
          <w:cantSplit w:val="0"/>
          <w:tblHeader w:val="0"/>
        </w:trPr>
        <w:tc>
          <w:tcPr>
            <w:tcW w:type="dxa" w:w="54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633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Verificar el acceso y la cobertura de Mercado Público / Compra Ágil.</w:t>
            </w:r>
          </w:p>
        </w:tc>
        <w:tc>
          <w:tcPr>
            <w:tcW w:type="dxa" w:w="247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Propuesta por validar.</w:t>
            </w:r>
          </w:p>
        </w:tc>
      </w:tr>
      <w:tr>
        <w:trPr>
          <w:cantSplit w:val="0"/>
          <w:tblHeader w:val="0"/>
        </w:trPr>
        <w:tc>
          <w:tcPr>
            <w:tcW w:type="dxa" w:w="54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633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Definir los próximos entregables, responsables y fechas.</w:t>
            </w:r>
          </w:p>
        </w:tc>
        <w:tc>
          <w:tcPr>
            <w:tcW w:type="dxa" w:w="2477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shd w:fill="FFFFFF"/>
          </w:tcPr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Propuesta por validar.</w:t>
            </w:r>
          </w:p>
        </w:tc>
      </w:tr>
    </w:tbl>
    <w:p w:rsidR="00000000" w:rsidDel="00000000" w:rsidP="00000000" w:rsidRDefault="00000000" w:rsidRPr="00000000" w14:paraId="00000069">
      <w:pPr>
        <w:spacing w:after="0" w:lineRule="exact" w:before="0" w:line="180"/>
        <w:rPr/>
      </w:pPr>
      <w:r w:rsidDel="00000000" w:rsidR="00000000" w:rsidRPr="00000000">
        <w:rPr>
          <w:sz w:val="2"/>
          <w:rtl w:val="0"/>
        </w:rPr>
      </w:r>
    </w:p>
    <w:sectPr>
      <w:footerReference w:type="default" r:id="rId7"/>
      <w:pgSz w:h="15840" w:w="12240" w:orient="portrait"/>
      <w:pgMar w:bottom="1000" w:top="10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Licing | Acta de reunión | </w:t>
    </w: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libri" w:hAnsi="Calibri"/>
      <w:color w:val="000000"/>
      <w:sz w:val="22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cYRowJWT1AuFhvf0d/rCZ+Vzg==">CgMxLjA4AHIhMUVhRGRYbUN3YWFTbjdvcXdTamxicUg1Q3V2Uzg4V0po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2026-09-10T21:09:06.784Z</dcterms:created>
  <dc:creator/>
  <dc:title>Acta de reunión 1 Licing</dc:title>
  <dc:subject>Revisión del alcance y documentación del proyecto</dc:subject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