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gridSpan w:val="2"/>
            <w:tcBorders>
              <w:top w:color="808080" w:space="0" w:sz="4" w:val="single"/>
              <w:left w:color="808080" w:space="0" w:sz="4" w:val="single"/>
              <w:bottom w:color="000000" w:space="0" w:sz="12" w:val="single"/>
              <w:right w:color="808080" w:space="0" w:sz="4" w:val="single"/>
            </w:tcBorders>
            <w:shd w:fill="ffffff" w:val="clear"/>
            <w:tcMar>
              <w:top w:w="140.0" w:type="dxa"/>
              <w:left w:w="100.0" w:type="dxa"/>
              <w:bottom w:w="140.0" w:type="dxa"/>
              <w:right w:w="100.0" w:type="dxa"/>
            </w:tcMar>
            <w:vAlign w:val="cente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000000"/>
                <w:sz w:val="28"/>
                <w:szCs w:val="28"/>
                <w:rtl w:val="0"/>
              </w:rPr>
              <w:t xml:space="preserve">PLAN DE GESTIÓN DE RIESGOS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i w:val="0"/>
                <w:iCs w:val="0"/>
                <w:color w:val="000000"/>
                <w:sz w:val="18"/>
                <w:szCs w:val="18"/>
                <w:rtl w:val="0"/>
              </w:rPr>
              <w:t xml:space="preserve">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5">
            <w:pPr>
              <w:jc w:val="left"/>
              <w:rPr/>
            </w:pPr>
            <w:r w:rsidDel="00000000" w:rsidR="00000000" w:rsidRPr="00000000">
              <w:rPr>
                <w:rFonts w:ascii="Calibri" w:cs="Calibri" w:eastAsia="Calibri" w:hAnsi="Calibri"/>
                <w:b w:val="0"/>
                <w:bCs w:val="0"/>
                <w:i w:val="0"/>
                <w:iCs w:val="0"/>
                <w:color w:val="000000"/>
                <w:sz w:val="18"/>
                <w:szCs w:val="18"/>
                <w:rtl w:val="0"/>
              </w:rPr>
              <w:t xml:space="preserve">Licing</w:t>
            </w:r>
            <w:r w:rsidDel="00000000" w:rsidR="00000000" w:rsidRPr="00000000">
              <w:rPr>
                <w:rtl w:val="0"/>
              </w:rPr>
              <w:t xml:space="preserve"/>
            </w:r>
            <w:r w:rsidDel="00000000" w:rsidR="00000000" w:rsidRPr="00000000">
              <w:rPr>
                <w:rFonts w:ascii="Calibri" w:cs="Calibri" w:eastAsia="Calibri" w:hAnsi="Calibri"/>
                <w:b w:val="0"/>
                <w:bCs w:val="0"/>
                <w:i w:val="0"/>
                <w:iCs w:val="0"/>
                <w:color w:val="000000"/>
                <w:sz w:val="18"/>
                <w:szCs w:val="18"/>
                <w:rtl w:val="0"/>
              </w:rPr>
              <w:t xml:space="preserve"> — Asistente Inteligente de Mercado Público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i w:val="0"/>
                <w:iCs w:val="0"/>
                <w:color w:val="000000"/>
                <w:sz w:val="18"/>
                <w:szCs w:val="18"/>
                <w:rtl w:val="0"/>
              </w:rPr>
              <w:t xml:space="preserve">Cliente: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i w:val="0"/>
                <w:iCs w:val="0"/>
                <w:color w:val="000000"/>
                <w:sz w:val="18"/>
                <w:szCs w:val="18"/>
                <w:rtl w:val="0"/>
              </w:rPr>
              <w:t xml:space="preserve">Hotel Plaza San Francisco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i w:val="0"/>
                <w:iCs w:val="0"/>
                <w:color w:val="000000"/>
                <w:sz w:val="18"/>
                <w:szCs w:val="18"/>
                <w:rtl w:val="0"/>
              </w:rPr>
              <w:t xml:space="preserve">Contexto: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0"/>
                <w:bCs w:val="0"/>
                <w:i w:val="0"/>
                <w:iCs w:val="0"/>
                <w:color w:val="000000"/>
                <w:sz w:val="18"/>
                <w:szCs w:val="18"/>
                <w:rtl w:val="0"/>
              </w:rPr>
              <w:t xml:space="preserve">Proyecto Capstone — DUOC 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1"/>
                <w:bCs w:val="1"/>
                <w:i w:val="0"/>
                <w:iCs w:val="0"/>
                <w:color w:val="000000"/>
                <w:sz w:val="18"/>
                <w:szCs w:val="18"/>
                <w:rtl w:val="0"/>
              </w:rPr>
              <w:t xml:space="preserve">Fecha de elaboración: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0"/>
                <w:bCs w:val="0"/>
                <w:i w:val="0"/>
                <w:iCs w:val="0"/>
                <w:color w:val="000000"/>
                <w:sz w:val="18"/>
                <w:szCs w:val="18"/>
                <w:rtl w:val="0"/>
              </w:rPr>
              <w:t xml:space="preserve">10-09-2026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i w:val="0"/>
                <w:iCs w:val="0"/>
                <w:color w:val="000000"/>
                <w:sz w:val="18"/>
                <w:szCs w:val="18"/>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0"/>
                <w:bCs w:val="0"/>
                <w:i w:val="0"/>
                <w:iCs w:val="0"/>
                <w:color w:val="000000"/>
                <w:sz w:val="18"/>
                <w:szCs w:val="18"/>
                <w:rtl w:val="0"/>
              </w:rPr>
              <w:t xml:space="preserve">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i w:val="0"/>
                <w:iCs w:val="0"/>
                <w:color w:val="000000"/>
                <w:sz w:val="18"/>
                <w:szCs w:val="18"/>
                <w:rtl w:val="0"/>
              </w:rPr>
              <w:t xml:space="preserve">Elaborado 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i w:val="1"/>
                <w:iCs w:val="1"/>
                <w:color w:val="7f7f7f"/>
                <w:sz w:val="18"/>
                <w:szCs w:val="18"/>
                <w:rtl w:val="0"/>
              </w:rPr>
              <w:t xml:space="preserve">Equipo Licing</w:t>
            </w: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00"/>
        <w:gridCol w:w="3450"/>
        <w:gridCol w:w="3000"/>
        <w:tblGridChange w:id="0">
          <w:tblGrid>
            <w:gridCol w:w="1300"/>
            <w:gridCol w:w="1600"/>
            <w:gridCol w:w="3450"/>
            <w:gridCol w:w="3000"/>
          </w:tblGrid>
        </w:tblGridChange>
      </w:tblGrid>
      <w:tr>
        <w:trPr>
          <w:cantSplit w:val="0"/>
          <w:tblHeader w:val="0"/>
        </w:trPr>
        <w:tc>
          <w:tcPr>
            <w:gridSpan w:val="4"/>
            <w:tcBorders>
              <w:top w:color="808080" w:space="0" w:sz="4" w:val="single"/>
              <w:left w:color="808080" w:space="0" w:sz="4" w:val="single"/>
              <w:bottom w:color="808080" w:space="0" w:sz="4" w:val="single"/>
              <w:right w:color="808080" w:space="0" w:sz="4" w:val="single"/>
            </w:tcBorders>
            <w:shd w:fill="d9d9d9" w:val="clea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000000"/>
                <w:sz w:val="19"/>
                <w:szCs w:val="19"/>
                <w:rtl w:val="0"/>
              </w:rPr>
              <w:t xml:space="preserve">CONTROL DE VERSIONES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i w:val="0"/>
                <w:iCs w:val="0"/>
                <w:color w:val="000000"/>
                <w:sz w:val="18"/>
                <w:szCs w:val="18"/>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1"/>
                <w:bCs w:val="1"/>
                <w:i w:val="0"/>
                <w:iCs w:val="0"/>
                <w:color w:val="000000"/>
                <w:sz w:val="18"/>
                <w:szCs w:val="18"/>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i w:val="0"/>
                <w:iCs w:val="0"/>
                <w:color w:val="000000"/>
                <w:sz w:val="18"/>
                <w:szCs w:val="18"/>
                <w:rtl w:val="0"/>
              </w:rPr>
              <w:t xml:space="preserve">Autor(es)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i w:val="0"/>
                <w:iCs w:val="0"/>
                <w:color w:val="000000"/>
                <w:sz w:val="18"/>
                <w:szCs w:val="18"/>
                <w:rtl w:val="0"/>
              </w:rPr>
              <w:t xml:space="preserve">Descripción del cambio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i w:val="0"/>
                <w:iCs w:val="0"/>
                <w:color w:val="000000"/>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i w:val="0"/>
                <w:iCs w:val="0"/>
                <w:color w:val="000000"/>
                <w:sz w:val="18"/>
                <w:szCs w:val="18"/>
                <w:rtl w:val="0"/>
              </w:rPr>
              <w:t xml:space="preserve">10-09-2026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i w:val="0"/>
                <w:iCs w:val="0"/>
                <w:color w:val="000000"/>
                <w:sz w:val="18"/>
                <w:szCs w:val="18"/>
                <w:rtl w:val="0"/>
              </w:rPr>
              <w:t xml:space="preserve">Equipo Licing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i w:val="0"/>
                <w:iCs w:val="0"/>
                <w:color w:val="000000"/>
                <w:sz w:val="18"/>
                <w:szCs w:val="18"/>
                <w:rtl w:val="0"/>
              </w:rPr>
              <w:t xml:space="preserve">Versión inicial del plan, elaborada a partir de la especificación de requerimientos y la arquitectura vigentes.</w:t>
            </w:r>
            <w:r w:rsidDel="00000000" w:rsidR="00000000" w:rsidRPr="00000000">
              <w:rPr>
                <w:rtl w:val="0"/>
              </w:rPr>
            </w:r>
          </w:p>
        </w:tc>
      </w:tr>
    </w:tbl>
    <w:p w:rsidR="00000000" w:rsidDel="00000000" w:rsidP="00000000" w:rsidRDefault="00000000" w:rsidRPr="00000000" w14:paraId="0000001D">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1. Introducción y propósito</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Calibri" w:cs="Calibri" w:eastAsia="Calibri" w:hAnsi="Calibri"/>
          <w:sz w:val="20"/>
          <w:szCs w:val="20"/>
          <w:rtl w:val="0"/>
        </w:rPr>
        <w:t xml:space="preserve">Este documento establece el plan de gestión de riesgos del proyecto Licing, un asistente inteligente de mercado público desarrollado para el Hotel Plaza San Francisco. Su propósito es identificar de forma anticipada los eventos que podrían afectar el alcance, el cronograma, la calidad o la viabilidad técnica del proyecto, y definir cómo el equipo los previene, mitiga o responde si ocurren.</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Calibri" w:cs="Calibri" w:eastAsia="Calibri" w:hAnsi="Calibri"/>
          <w:sz w:val="20"/>
          <w:szCs w:val="20"/>
          <w:rtl w:val="0"/>
        </w:rPr>
        <w:t xml:space="preserve">El plan se basa en los documentos vigentes del proyecto: la Especificación de Requerimientos de Negocio, la Lista de Requerimientos Funcionales y No Funcionales (RF-01 a RF-20, RNF-01 a RNF-06), el Documento de Arquitectura y la Lista de Casos de Uso, Historias de Usuario y Épicas. En particular, considera los "Aspectos pendientes de levantamiento" señalados en los requerimientos como fuente directa de riesgo, dado que condicionan decisiones de diseño aún no cerradas con el cliente.</w:t>
      </w:r>
      <w:r w:rsidDel="00000000" w:rsidR="00000000" w:rsidRPr="00000000">
        <w:rPr>
          <w:rtl w:val="0"/>
        </w:rPr>
      </w:r>
    </w:p>
    <w:p w:rsidR="00000000" w:rsidDel="00000000" w:rsidP="00000000" w:rsidRDefault="00000000" w:rsidRPr="00000000" w14:paraId="00000020">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2. Objetivos del plan</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sz w:val="20"/>
          <w:szCs w:val="20"/>
          <w:rtl w:val="0"/>
        </w:rPr>
        <w:t xml:space="preserve">•  Identificar los riesgos técnicos, de alcance, de cronograma, de equipo y externos propios de Licing.</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sz w:val="20"/>
          <w:szCs w:val="20"/>
          <w:rtl w:val="0"/>
        </w:rPr>
        <w:t xml:space="preserve">•  Evaluar cada riesgo según su probabilidad de ocurrencia e impacto sobre el proyecto.</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Calibri" w:cs="Calibri" w:eastAsia="Calibri" w:hAnsi="Calibri"/>
          <w:sz w:val="20"/>
          <w:szCs w:val="20"/>
          <w:rtl w:val="0"/>
        </w:rPr>
        <w:t xml:space="preserve">•  Definir estrategias de respuesta (evitar, mitigar, transferir o aceptar) y acciones concretas de mitigación o contingencia.</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Calibri" w:cs="Calibri" w:eastAsia="Calibri" w:hAnsi="Calibri"/>
          <w:sz w:val="20"/>
          <w:szCs w:val="20"/>
          <w:rtl w:val="0"/>
        </w:rPr>
        <w:t xml:space="preserve">•  Asignar un responsable de seguimiento para cada riesgo y establecer un mecanismo de actualización periódica del registro.</w:t>
      </w:r>
      <w:r w:rsidDel="00000000" w:rsidR="00000000" w:rsidRPr="00000000">
        <w:rPr>
          <w:rtl w:val="0"/>
        </w:rPr>
      </w:r>
    </w:p>
    <w:p w:rsidR="00000000" w:rsidDel="00000000" w:rsidP="00000000" w:rsidRDefault="00000000" w:rsidRPr="00000000" w14:paraId="00000025">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3. Metodología</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sz w:val="20"/>
          <w:szCs w:val="20"/>
          <w:rtl w:val="0"/>
        </w:rPr>
        <w:t xml:space="preserve">La gestión de riesgos del proyecto sigue cuatro pasos, revisados en cada hito de sprint (ver planificación tentativa por sprint del equipo):</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sz w:val="20"/>
          <w:szCs w:val="20"/>
          <w:rtl w:val="0"/>
        </w:rPr>
        <w:t xml:space="preserve">•  Identificación: levantamiento de riesgos a partir de la documentación de requerimientos, arquitectura, la Carta Gantt y las reuniones de equipo (actas de reunión).</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Calibri" w:cs="Calibri" w:eastAsia="Calibri" w:hAnsi="Calibri"/>
          <w:sz w:val="20"/>
          <w:szCs w:val="20"/>
          <w:rtl w:val="0"/>
        </w:rPr>
        <w:t xml:space="preserve">•  Análisis cualitativo: calificación de cada riesgo en una escala de probabilidad e impacto de tres niveles (baja/media/alta y bajo/medio/alto respectivamente), obteniendo un nivel de riesgo resultante.</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sz w:val="20"/>
          <w:szCs w:val="20"/>
          <w:rtl w:val="0"/>
        </w:rPr>
        <w:t xml:space="preserve">•  Planificación de la respuesta: definición de una estrategia y acciones de mitigación o contingencia para cada riesgo con nivel medio o alto.</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sz w:val="20"/>
          <w:szCs w:val="20"/>
          <w:rtl w:val="0"/>
        </w:rPr>
        <w:t xml:space="preserve">•  Seguimiento y control: revisión del registro de riesgos al cierre de cada sprint, actualizando estado, probabilidad e impacto según la evidencia disponible.</w:t>
      </w:r>
      <w:r w:rsidDel="00000000" w:rsidR="00000000" w:rsidRPr="00000000">
        <w:rPr>
          <w:rtl w:val="0"/>
        </w:rPr>
      </w:r>
    </w:p>
    <w:p w:rsidR="00000000" w:rsidDel="00000000" w:rsidP="00000000" w:rsidRDefault="00000000" w:rsidRPr="00000000" w14:paraId="0000002B">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4. Escalas de calificación</w:t>
      </w:r>
      <w:r w:rsidDel="00000000" w:rsidR="00000000" w:rsidRPr="00000000">
        <w:rPr>
          <w:rtl w:val="0"/>
        </w:rPr>
      </w:r>
    </w:p>
    <w:p w:rsidR="00000000" w:rsidDel="00000000" w:rsidP="00000000" w:rsidRDefault="00000000" w:rsidRPr="00000000" w14:paraId="0000002C">
      <w:pPr>
        <w:spacing w:after="100" w:before="200" w:lineRule="auto"/>
        <w:rPr/>
      </w:pPr>
      <w:r w:rsidDel="00000000" w:rsidR="00000000" w:rsidRPr="00000000">
        <w:rPr>
          <w:rFonts w:ascii="Calibri" w:cs="Calibri" w:eastAsia="Calibri" w:hAnsi="Calibri"/>
          <w:b w:val="1"/>
          <w:bCs w:val="1"/>
          <w:sz w:val="20"/>
          <w:szCs w:val="20"/>
          <w:rtl w:val="0"/>
        </w:rPr>
        <w:t xml:space="preserve">4.1 Probabilidad de ocurrencia</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50"/>
        <w:tblGridChange w:id="0">
          <w:tblGrid>
            <w:gridCol w:w="1400"/>
            <w:gridCol w:w="79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1"/>
                <w:bCs w:val="1"/>
                <w:i w:val="0"/>
                <w:iCs w:val="0"/>
                <w:color w:val="000000"/>
                <w:sz w:val="18"/>
                <w:szCs w:val="18"/>
                <w:rtl w:val="0"/>
              </w:rPr>
              <w:t xml:space="preserve">Nivel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i w:val="0"/>
                <w:iCs w:val="0"/>
                <w:color w:val="000000"/>
                <w:sz w:val="18"/>
                <w:szCs w:val="18"/>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i w:val="0"/>
                <w:iCs w:val="0"/>
                <w:color w:val="000000"/>
                <w:sz w:val="18"/>
                <w:szCs w:val="18"/>
                <w:rtl w:val="0"/>
              </w:rPr>
              <w:t xml:space="preserve">Baja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i w:val="0"/>
                <w:iCs w:val="0"/>
                <w:color w:val="000000"/>
                <w:sz w:val="18"/>
                <w:szCs w:val="18"/>
                <w:rtl w:val="0"/>
              </w:rPr>
              <w:t xml:space="preserve">Es poco probable que ocurra durante el desarrollo del proyecto.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i w:val="0"/>
                <w:iCs w:val="0"/>
                <w:color w:val="000000"/>
                <w:sz w:val="18"/>
                <w:szCs w:val="18"/>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i w:val="0"/>
                <w:iCs w:val="0"/>
                <w:color w:val="000000"/>
                <w:sz w:val="18"/>
                <w:szCs w:val="18"/>
                <w:rtl w:val="0"/>
              </w:rPr>
              <w:t xml:space="preserve">Existe una posibilidad razonable de que ocurra en alguna etapa del proyecto.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i w:val="0"/>
                <w:iCs w:val="0"/>
                <w:color w:val="000000"/>
                <w:sz w:val="18"/>
                <w:szCs w:val="18"/>
                <w:rtl w:val="0"/>
              </w:rPr>
              <w:t xml:space="preserve">Alta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i w:val="0"/>
                <w:iCs w:val="0"/>
                <w:color w:val="000000"/>
                <w:sz w:val="18"/>
                <w:szCs w:val="18"/>
                <w:rtl w:val="0"/>
              </w:rPr>
              <w:t xml:space="preserve">Es muy probable que ocurra si no se toman acciones preventivas.</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100" w:before="200" w:lineRule="auto"/>
        <w:rPr/>
      </w:pPr>
      <w:r w:rsidDel="00000000" w:rsidR="00000000" w:rsidRPr="00000000">
        <w:rPr>
          <w:rFonts w:ascii="Calibri" w:cs="Calibri" w:eastAsia="Calibri" w:hAnsi="Calibri"/>
          <w:b w:val="1"/>
          <w:bCs w:val="1"/>
          <w:sz w:val="20"/>
          <w:szCs w:val="20"/>
          <w:rtl w:val="0"/>
        </w:rPr>
        <w:t xml:space="preserve">4.2 Impacto sobre el proyecto</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50"/>
        <w:tblGridChange w:id="0">
          <w:tblGrid>
            <w:gridCol w:w="1400"/>
            <w:gridCol w:w="79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1"/>
                <w:bCs w:val="1"/>
                <w:i w:val="0"/>
                <w:iCs w:val="0"/>
                <w:color w:val="000000"/>
                <w:sz w:val="18"/>
                <w:szCs w:val="18"/>
                <w:rtl w:val="0"/>
              </w:rPr>
              <w:t xml:space="preserve">Nivel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i w:val="0"/>
                <w:iCs w:val="0"/>
                <w:color w:val="000000"/>
                <w:sz w:val="18"/>
                <w:szCs w:val="18"/>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i w:val="0"/>
                <w:iCs w:val="0"/>
                <w:color w:val="000000"/>
                <w:sz w:val="18"/>
                <w:szCs w:val="18"/>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i w:val="0"/>
                <w:iCs w:val="0"/>
                <w:color w:val="000000"/>
                <w:sz w:val="18"/>
                <w:szCs w:val="18"/>
                <w:rtl w:val="0"/>
              </w:rPr>
              <w:t xml:space="preserve">Efecto menor en alcance, calidad o cronograma; se resuelve con ajustes puntuales del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i w:val="0"/>
                <w:iCs w:val="0"/>
                <w:color w:val="000000"/>
                <w:sz w:val="18"/>
                <w:szCs w:val="18"/>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i w:val="0"/>
                <w:iCs w:val="0"/>
                <w:color w:val="000000"/>
                <w:sz w:val="18"/>
                <w:szCs w:val="18"/>
                <w:rtl w:val="0"/>
              </w:rPr>
              <w:t xml:space="preserve">Retrasa una épica o entrega, o exige retrabajo en requerimientos, diseño o desarrollo.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i w:val="0"/>
                <w:iCs w:val="0"/>
                <w:color w:val="000000"/>
                <w:sz w:val="18"/>
                <w:szCs w:val="18"/>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i w:val="0"/>
                <w:iCs w:val="0"/>
                <w:color w:val="000000"/>
                <w:sz w:val="18"/>
                <w:szCs w:val="18"/>
                <w:rtl w:val="0"/>
              </w:rPr>
              <w:t xml:space="preserve">Compromete un hito de evaluación, un requerimiento no funcional crítico (RNF) o la viabilidad de una funcionalidad clave.</w:t>
            </w:r>
            <w:r w:rsidDel="00000000" w:rsidR="00000000" w:rsidRPr="00000000">
              <w:rPr>
                <w:rtl w:val="0"/>
              </w:rPr>
            </w:r>
          </w:p>
        </w:tc>
      </w:tr>
    </w:tbl>
    <w:p w:rsidR="00000000" w:rsidDel="00000000" w:rsidP="00000000" w:rsidRDefault="00000000" w:rsidRPr="00000000" w14:paraId="0000003F">
      <w:pPr>
        <w:spacing w:after="100" w:before="200" w:lineRule="auto"/>
        <w:rPr/>
      </w:pPr>
      <w:r w:rsidDel="00000000" w:rsidR="00000000" w:rsidRPr="00000000">
        <w:rPr>
          <w:rFonts w:ascii="Calibri" w:cs="Calibri" w:eastAsia="Calibri" w:hAnsi="Calibri"/>
          <w:b w:val="1"/>
          <w:bCs w:val="1"/>
          <w:sz w:val="20"/>
          <w:szCs w:val="20"/>
          <w:rtl w:val="0"/>
        </w:rPr>
        <w:t xml:space="preserve">4.3 Matriz de probabilidad e impacto</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17"/>
        <w:gridCol w:w="2417"/>
        <w:gridCol w:w="2416"/>
        <w:tblGridChange w:id="0">
          <w:tblGrid>
            <w:gridCol w:w="2100"/>
            <w:gridCol w:w="2417"/>
            <w:gridCol w:w="2417"/>
            <w:gridCol w:w="241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sz w:val="17"/>
                <w:szCs w:val="17"/>
                <w:rtl w:val="0"/>
              </w:rPr>
              <w:t xml:space="preserve">Probabilidad \ Impacto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b w:val="1"/>
                <w:bCs w:val="1"/>
                <w:i w:val="0"/>
                <w:iCs w:val="0"/>
                <w:color w:val="000000"/>
                <w:sz w:val="18"/>
                <w:szCs w:val="18"/>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i w:val="0"/>
                <w:iCs w:val="0"/>
                <w:color w:val="000000"/>
                <w:sz w:val="18"/>
                <w:szCs w:val="18"/>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i w:val="0"/>
                <w:iCs w:val="0"/>
                <w:color w:val="000000"/>
                <w:sz w:val="18"/>
                <w:szCs w:val="18"/>
                <w:rtl w:val="0"/>
              </w:rPr>
              <w:t xml:space="preserve">Alto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i w:val="0"/>
                <w:iCs w:val="0"/>
                <w:color w:val="000000"/>
                <w:sz w:val="18"/>
                <w:szCs w:val="18"/>
                <w:rtl w:val="0"/>
              </w:rPr>
              <w:t xml:space="preserve">Alta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000000"/>
                <w:sz w:val="18"/>
                <w:szCs w:val="18"/>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000000"/>
                <w:sz w:val="18"/>
                <w:szCs w:val="18"/>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000000"/>
                <w:sz w:val="18"/>
                <w:szCs w:val="18"/>
                <w:rtl w:val="0"/>
              </w:rPr>
              <w:t xml:space="preserve">ALTO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1"/>
                <w:bCs w:val="1"/>
                <w:i w:val="0"/>
                <w:iCs w:val="0"/>
                <w:color w:val="000000"/>
                <w:sz w:val="18"/>
                <w:szCs w:val="18"/>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000000"/>
                <w:sz w:val="18"/>
                <w:szCs w:val="18"/>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000000"/>
                <w:sz w:val="18"/>
                <w:szCs w:val="18"/>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000000"/>
                <w:sz w:val="18"/>
                <w:szCs w:val="18"/>
                <w:rtl w:val="0"/>
              </w:rPr>
              <w:t xml:space="preserve">ALTO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1"/>
                <w:bCs w:val="1"/>
                <w:i w:val="0"/>
                <w:iCs w:val="0"/>
                <w:color w:val="000000"/>
                <w:sz w:val="18"/>
                <w:szCs w:val="18"/>
                <w:rtl w:val="0"/>
              </w:rPr>
              <w:t xml:space="preserve">Baja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000000"/>
                <w:sz w:val="18"/>
                <w:szCs w:val="18"/>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000000"/>
                <w:sz w:val="18"/>
                <w:szCs w:val="18"/>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000000"/>
                <w:sz w:val="18"/>
                <w:szCs w:val="18"/>
                <w:rtl w:val="0"/>
              </w:rPr>
              <w:t xml:space="preserve">MEDIO</w:t>
            </w:r>
            <w:r w:rsidDel="00000000" w:rsidR="00000000" w:rsidRPr="00000000">
              <w:rPr>
                <w:rtl w:val="0"/>
              </w:rPr>
            </w:r>
          </w:p>
        </w:tc>
      </w:tr>
    </w:tbl>
    <w:p w:rsidR="00000000" w:rsidDel="00000000" w:rsidP="00000000" w:rsidRDefault="00000000" w:rsidRPr="00000000" w14:paraId="00000050">
      <w:pPr>
        <w:spacing w:after="120" w:before="140" w:lineRule="auto"/>
        <w:rPr/>
      </w:pPr>
      <w:r w:rsidDel="00000000" w:rsidR="00000000" w:rsidRPr="00000000">
        <w:rPr>
          <w:rFonts w:ascii="Calibri" w:cs="Calibri" w:eastAsia="Calibri" w:hAnsi="Calibri"/>
          <w:i w:val="1"/>
          <w:iCs w:val="1"/>
          <w:color w:val="595959"/>
          <w:sz w:val="17"/>
          <w:szCs w:val="17"/>
          <w:rtl w:val="0"/>
        </w:rPr>
        <w:t xml:space="preserve">El nivel de riesgo (bajo, medio o alto) resulta de cruzar la probabilidad y el impacto de cada riesgo identificado en la sección 5. Los riesgos con nivel medio o alto requieren acciones de mitigación explícitas.</w:t>
      </w:r>
      <w:r w:rsidDel="00000000" w:rsidR="00000000" w:rsidRPr="00000000">
        <w:rPr>
          <w:rtl w:val="0"/>
        </w:rPr>
      </w:r>
    </w:p>
    <w:p w:rsidR="00000000" w:rsidDel="00000000" w:rsidP="00000000" w:rsidRDefault="00000000" w:rsidRPr="00000000" w14:paraId="00000051">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5. Registro de riesgos</w:t>
      </w:r>
      <w:r w:rsidDel="00000000" w:rsidR="00000000" w:rsidRPr="00000000">
        <w:rPr>
          <w:rtl w:val="0"/>
        </w:rPr>
      </w:r>
    </w:p>
    <w:p w:rsidR="00000000" w:rsidDel="00000000" w:rsidP="00000000" w:rsidRDefault="00000000" w:rsidRPr="00000000" w14:paraId="00000052">
      <w:pPr>
        <w:spacing w:after="160" w:line="276" w:lineRule="auto"/>
        <w:jc w:val="both"/>
        <w:rPr/>
        <w:sectPr>
          <w:pgSz w:h="15840" w:w="12240" w:orient="portrait"/>
          <w:pgMar w:bottom="1000" w:top="1000" w:left="1440" w:right="1440" w:header="708" w:footer="708"/>
          <w:pgNumType w:start="1"/>
        </w:sectPr>
      </w:pPr>
      <w:r w:rsidDel="00000000" w:rsidR="00000000" w:rsidRPr="00000000">
        <w:rPr>
          <w:rFonts w:ascii="Calibri" w:cs="Calibri" w:eastAsia="Calibri" w:hAnsi="Calibri"/>
          <w:sz w:val="20"/>
          <w:szCs w:val="20"/>
          <w:rtl w:val="0"/>
        </w:rPr>
        <w:t xml:space="preserve">La siguiente tabla concentra los riesgos identificados a la fecha, agrupados por categoría. El registro debe revisarse y actualizarse al cierre de cada sprint del equipo.</w:t>
      </w:r>
      <w:r w:rsidDel="00000000" w:rsidR="00000000" w:rsidRPr="00000000">
        <w:rPr>
          <w:rtl w:val="0"/>
        </w:rPr>
      </w:r>
    </w:p>
    <w:p w:rsidR="00000000" w:rsidDel="00000000" w:rsidP="00000000" w:rsidRDefault="00000000" w:rsidRPr="00000000" w14:paraId="00000053">
      <w:pPr>
        <w:spacing w:after="100" w:before="200" w:lineRule="auto"/>
        <w:rPr/>
      </w:pPr>
      <w:r w:rsidDel="00000000" w:rsidR="00000000" w:rsidRPr="00000000">
        <w:rPr>
          <w:rFonts w:ascii="Calibri" w:cs="Calibri" w:eastAsia="Calibri" w:hAnsi="Calibri"/>
          <w:b w:val="1"/>
          <w:bCs w:val="1"/>
          <w:sz w:val="20"/>
          <w:szCs w:val="20"/>
          <w:rtl w:val="0"/>
        </w:rPr>
        <w:t xml:space="preserve">Registro de riesgos — Licing</w:t>
      </w:r>
      <w:r w:rsidDel="00000000" w:rsidR="00000000" w:rsidRPr="00000000">
        <w:rPr>
          <w:rtl w:val="0"/>
        </w:rPr>
      </w:r>
    </w:p>
    <w:tbl>
      <w:tblPr>
        <w:tblStyle w:val="Table6"/>
        <w:tblW w:w="11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050"/>
        <w:gridCol w:w="2650"/>
        <w:gridCol w:w="750"/>
        <w:gridCol w:w="750"/>
        <w:gridCol w:w="750"/>
        <w:gridCol w:w="1150"/>
        <w:gridCol w:w="2900"/>
        <w:gridCol w:w="1400"/>
        <w:tblGridChange w:id="0">
          <w:tblGrid>
            <w:gridCol w:w="500"/>
            <w:gridCol w:w="1050"/>
            <w:gridCol w:w="2650"/>
            <w:gridCol w:w="750"/>
            <w:gridCol w:w="750"/>
            <w:gridCol w:w="750"/>
            <w:gridCol w:w="1150"/>
            <w:gridCol w:w="2900"/>
            <w:gridCol w:w="14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1"/>
                <w:bCs w:val="1"/>
                <w:i w:val="0"/>
                <w:iCs w:val="0"/>
                <w:color w:val="000000"/>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i w:val="0"/>
                <w:iCs w:val="0"/>
                <w:color w:val="000000"/>
                <w:sz w:val="18"/>
                <w:szCs w:val="18"/>
                <w:rtl w:val="0"/>
              </w:rPr>
              <w:t xml:space="preserve">Categoría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1"/>
                <w:bCs w:val="1"/>
                <w:i w:val="0"/>
                <w:iCs w:val="0"/>
                <w:color w:val="000000"/>
                <w:sz w:val="18"/>
                <w:szCs w:val="18"/>
                <w:rtl w:val="0"/>
              </w:rPr>
              <w:t xml:space="preserve">Riesgo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1"/>
                <w:bCs w:val="1"/>
                <w:i w:val="0"/>
                <w:iCs w:val="0"/>
                <w:color w:val="000000"/>
                <w:sz w:val="18"/>
                <w:szCs w:val="18"/>
                <w:rtl w:val="0"/>
              </w:rPr>
              <w:t xml:space="preserve">Prob.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1"/>
                <w:bCs w:val="1"/>
                <w:i w:val="0"/>
                <w:iCs w:val="0"/>
                <w:color w:val="000000"/>
                <w:sz w:val="18"/>
                <w:szCs w:val="18"/>
                <w:rtl w:val="0"/>
              </w:rPr>
              <w:t xml:space="preserve">Impacto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1"/>
                <w:bCs w:val="1"/>
                <w:i w:val="0"/>
                <w:iCs w:val="0"/>
                <w:color w:val="000000"/>
                <w:sz w:val="18"/>
                <w:szCs w:val="18"/>
                <w:rtl w:val="0"/>
              </w:rPr>
              <w:t xml:space="preserve">Nivel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1"/>
                <w:bCs w:val="1"/>
                <w:i w:val="0"/>
                <w:iCs w:val="0"/>
                <w:color w:val="000000"/>
                <w:sz w:val="18"/>
                <w:szCs w:val="18"/>
                <w:rtl w:val="0"/>
              </w:rPr>
              <w:t xml:space="preserve">Estrategia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i w:val="0"/>
                <w:iCs w:val="0"/>
                <w:color w:val="000000"/>
                <w:sz w:val="18"/>
                <w:szCs w:val="18"/>
                <w:rtl w:val="0"/>
              </w:rPr>
              <w:t xml:space="preserve">Acciones de mitigación / contingencia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1"/>
                <w:bCs w:val="1"/>
                <w:i w:val="0"/>
                <w:iCs w:val="0"/>
                <w:color w:val="000000"/>
                <w:sz w:val="18"/>
                <w:szCs w:val="18"/>
                <w:rtl w:val="0"/>
              </w:rPr>
              <w:t xml:space="preserve">Responsable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i w:val="0"/>
                <w:iCs w:val="0"/>
                <w:color w:val="000000"/>
                <w:sz w:val="16"/>
                <w:szCs w:val="16"/>
                <w:rtl w:val="0"/>
              </w:rPr>
              <w:t xml:space="preserve">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i w:val="0"/>
                <w:iCs w:val="0"/>
                <w:color w:val="000000"/>
                <w:sz w:val="16"/>
                <w:szCs w:val="16"/>
                <w:rtl w:val="0"/>
              </w:rPr>
              <w:t xml:space="preserve">Técnico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i w:val="0"/>
                <w:iCs w:val="0"/>
                <w:color w:val="000000"/>
                <w:sz w:val="16"/>
                <w:szCs w:val="16"/>
                <w:rtl w:val="0"/>
              </w:rPr>
              <w:t xml:space="preserve">Extracción con IA/NLP inexacta de fechas críticas, servicios o presupuesto máximo desde las bases y TDR (RF-09 a RF-11), por la variabilidad de formato entre licitaciones.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sz w:val="16"/>
                <w:szCs w:val="16"/>
                <w:rtl w:val="0"/>
              </w:rPr>
              <w:t xml:space="preserve">Alta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i w:val="0"/>
                <w:iCs w:val="0"/>
                <w:color w:val="000000"/>
                <w:sz w:val="16"/>
                <w:szCs w:val="16"/>
                <w:rtl w:val="0"/>
              </w:rPr>
              <w:t xml:space="preserve">Definir set de bases de prueba con distintos formatos; validar manualmente una muestra de extracciones por sprint; permitir corrección manual del resultado antes de usarlo en admisibilidad o presupuesto.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i w:val="0"/>
                <w:iCs w:val="0"/>
                <w:color w:val="000000"/>
                <w:sz w:val="16"/>
                <w:szCs w:val="16"/>
                <w:rtl w:val="0"/>
              </w:rPr>
              <w:t xml:space="preserve">Equipo NLP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1"/>
                <w:bCs w:val="1"/>
                <w:i w:val="0"/>
                <w:iCs w:val="0"/>
                <w:color w:val="000000"/>
                <w:sz w:val="16"/>
                <w:szCs w:val="16"/>
                <w:rtl w:val="0"/>
              </w:rPr>
              <w:t xml:space="preserve">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i w:val="0"/>
                <w:iCs w:val="0"/>
                <w:color w:val="000000"/>
                <w:sz w:val="16"/>
                <w:szCs w:val="16"/>
                <w:rtl w:val="0"/>
              </w:rPr>
              <w:t xml:space="preserve">Técnico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i w:val="0"/>
                <w:iCs w:val="0"/>
                <w:color w:val="000000"/>
                <w:sz w:val="16"/>
                <w:szCs w:val="16"/>
                <w:rtl w:val="0"/>
              </w:rPr>
              <w:t xml:space="preserve">El mecanismo de obtención de datos desde Mercado Público/Compra Ágil (API oficial vs. scraping) sigue sin definirse, lo que puede obligar a rediseñar el conector de integración (aspecto pendiente de levantamiento).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i w:val="0"/>
                <w:iCs w:val="0"/>
                <w:color w:val="000000"/>
                <w:sz w:val="16"/>
                <w:szCs w:val="16"/>
                <w:rtl w:val="0"/>
              </w:rPr>
              <w:t xml:space="preserve">Priorizar la validación de este punto con el cliente en las primeras reuniones; diseñar el conector de integración como componente aislado y reemplazable en la arquitectura.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i w:val="0"/>
                <w:iCs w:val="0"/>
                <w:color w:val="000000"/>
                <w:sz w:val="16"/>
                <w:szCs w:val="16"/>
                <w:rtl w:val="0"/>
              </w:rPr>
              <w:t xml:space="preserve">Arquitecto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i w:val="0"/>
                <w:iCs w:val="0"/>
                <w:color w:val="000000"/>
                <w:sz w:val="16"/>
                <w:szCs w:val="16"/>
                <w:rtl w:val="0"/>
              </w:rPr>
              <w:t xml:space="preserve">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i w:val="0"/>
                <w:iCs w:val="0"/>
                <w:color w:val="000000"/>
                <w:sz w:val="16"/>
                <w:szCs w:val="16"/>
                <w:rtl w:val="0"/>
              </w:rPr>
              <w:t xml:space="preserve">Técnico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i w:val="0"/>
                <w:iCs w:val="0"/>
                <w:color w:val="000000"/>
                <w:sz w:val="16"/>
                <w:szCs w:val="16"/>
                <w:rtl w:val="0"/>
              </w:rPr>
              <w:t xml:space="preserve">Bases o TDR que superen el límite de 50 páginas (RNF-06) o vengan en formatos no soportados, dejando oportunidades sin analizar.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i w:val="0"/>
                <w:iCs w:val="0"/>
                <w:color w:val="000000"/>
                <w:sz w:val="16"/>
                <w:szCs w:val="16"/>
                <w:rtl w:val="0"/>
              </w:rPr>
              <w:t xml:space="preserve">Definir manejo explícito de documentos fuera de rango (truncado o marcado como "no analizado"); registrar formatos recibidos durante pruebas con documentos reales.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i w:val="0"/>
                <w:iCs w:val="0"/>
                <w:color w:val="000000"/>
                <w:sz w:val="16"/>
                <w:szCs w:val="16"/>
                <w:rtl w:val="0"/>
              </w:rPr>
              <w:t xml:space="preserve">Equipo NLP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1"/>
                <w:bCs w:val="1"/>
                <w:i w:val="0"/>
                <w:iCs w:val="0"/>
                <w:color w:val="000000"/>
                <w:sz w:val="16"/>
                <w:szCs w:val="16"/>
                <w:rtl w:val="0"/>
              </w:rPr>
              <w:t xml:space="preserve">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i w:val="0"/>
                <w:iCs w:val="0"/>
                <w:color w:val="000000"/>
                <w:sz w:val="16"/>
                <w:szCs w:val="16"/>
                <w:rtl w:val="0"/>
              </w:rPr>
              <w:t xml:space="preserve">Técnico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i w:val="0"/>
                <w:iCs w:val="0"/>
                <w:color w:val="000000"/>
                <w:sz w:val="16"/>
                <w:szCs w:val="16"/>
                <w:rtl w:val="0"/>
              </w:rPr>
              <w:t xml:space="preserve">Incompatibilidad de la aplicación web con el firewall o antivirus corporativo del hotel (RNF-05), sin ambiente de prueba real del cliente para validarlo.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i w:val="0"/>
                <w:iCs w:val="0"/>
                <w:color w:val="000000"/>
                <w:sz w:val="16"/>
                <w:szCs w:val="16"/>
                <w:rtl w:val="0"/>
              </w:rPr>
              <w:t xml:space="preserve">Solicitar al cliente una prueba de acceso temprana desde su red; documentar puertos, protocolos y navegadores usados para anticipar bloqueos.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i w:val="0"/>
                <w:iCs w:val="0"/>
                <w:color w:val="000000"/>
                <w:sz w:val="16"/>
                <w:szCs w:val="16"/>
                <w:rtl w:val="0"/>
              </w:rPr>
              <w:t xml:space="preserve">Equipo Full-stack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i w:val="0"/>
                <w:iCs w:val="0"/>
                <w:color w:val="000000"/>
                <w:sz w:val="16"/>
                <w:szCs w:val="16"/>
                <w:rtl w:val="0"/>
              </w:rPr>
              <w:t xml:space="preserve">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i w:val="0"/>
                <w:iCs w:val="0"/>
                <w:color w:val="000000"/>
                <w:sz w:val="16"/>
                <w:szCs w:val="16"/>
                <w:rtl w:val="0"/>
              </w:rPr>
              <w:t xml:space="preserve">Requerimientos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i w:val="0"/>
                <w:iCs w:val="0"/>
                <w:color w:val="000000"/>
                <w:sz w:val="16"/>
                <w:szCs w:val="16"/>
                <w:rtl w:val="0"/>
              </w:rPr>
              <w:t xml:space="preserve">Persisten aspectos pendientes de levantamiento (autenticación, frecuencia de actualización, formatos de reportería, manejo de estados) sin definir antes de fijar criterios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sz w:val="16"/>
                <w:szCs w:val="16"/>
                <w:rtl w:val="0"/>
              </w:rPr>
              <w:t xml:space="preserve">Alta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i w:val="0"/>
                <w:iCs w:val="0"/>
                <w:color w:val="000000"/>
                <w:sz w:val="16"/>
                <w:szCs w:val="16"/>
                <w:rtl w:val="0"/>
              </w:rPr>
              <w:t xml:space="preserve">Programar reunión específica con el cliente para cerrar cada punto pendiente; no iniciar desarrollo de la funcionalidad asociada hasta tener definición escrita en el acta correspondiente.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i w:val="0"/>
                <w:iCs w:val="0"/>
                <w:color w:val="000000"/>
                <w:sz w:val="16"/>
                <w:szCs w:val="16"/>
                <w:rtl w:val="0"/>
              </w:rPr>
              <w:t xml:space="preserve">Analista de requerimientos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1"/>
                <w:bCs w:val="1"/>
                <w:i w:val="0"/>
                <w:iCs w:val="0"/>
                <w:color w:val="000000"/>
                <w:sz w:val="16"/>
                <w:szCs w:val="16"/>
                <w:rtl w:val="0"/>
              </w:rPr>
              <w:t xml:space="preserve">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i w:val="0"/>
                <w:iCs w:val="0"/>
                <w:color w:val="000000"/>
                <w:sz w:val="16"/>
                <w:szCs w:val="16"/>
                <w:rtl w:val="0"/>
              </w:rPr>
              <w:t xml:space="preserve">Requerimientos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i w:val="0"/>
                <w:iCs w:val="0"/>
                <w:color w:val="000000"/>
                <w:sz w:val="16"/>
                <w:szCs w:val="16"/>
                <w:rtl w:val="0"/>
              </w:rPr>
              <w:t xml:space="preserve">Solicitudes de cambio de alcance por parte del Hotel Plaza San Francisco durante el desarrollo, posteriores a la aceptación de la propuesta inicial.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i w:val="0"/>
                <w:iCs w:val="0"/>
                <w:color w:val="000000"/>
                <w:sz w:val="16"/>
                <w:szCs w:val="16"/>
                <w:rtl w:val="0"/>
              </w:rPr>
              <w:t xml:space="preserve">Registrar todo cambio solicitado en acta de reunión; evaluar impacto en Carta Gantt y RF/RNF antes de aceptarlo; mantener versionado de la lista de requerimientos.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i w:val="0"/>
                <w:iCs w:val="0"/>
                <w:color w:val="000000"/>
                <w:sz w:val="16"/>
                <w:szCs w:val="16"/>
                <w:rtl w:val="0"/>
              </w:rPr>
              <w:t xml:space="preserve">Coordinador de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i w:val="0"/>
                <w:iCs w:val="0"/>
                <w:color w:val="000000"/>
                <w:sz w:val="16"/>
                <w:szCs w:val="16"/>
                <w:rtl w:val="0"/>
              </w:rPr>
              <w:t xml:space="preserve">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i w:val="0"/>
                <w:iCs w:val="0"/>
                <w:color w:val="000000"/>
                <w:sz w:val="16"/>
                <w:szCs w:val="16"/>
                <w:rtl w:val="0"/>
              </w:rPr>
              <w:t xml:space="preserve">Cronograma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i w:val="0"/>
                <w:iCs w:val="0"/>
                <w:color w:val="000000"/>
                <w:sz w:val="16"/>
                <w:szCs w:val="16"/>
                <w:rtl w:val="0"/>
              </w:rPr>
              <w:t xml:space="preserve">El plazo de entrega de Fase 1 es ajustado; si la Épica 2 (validación y análisis de TDR, de mayor complejidad técnica por el componente NLP) se atrasa, compromete la evaluación completa.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sz w:val="16"/>
                <w:szCs w:val="16"/>
                <w:rtl w:val="0"/>
              </w:rPr>
              <w:t xml:space="preserve">Alta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i w:val="0"/>
                <w:iCs w:val="0"/>
                <w:color w:val="000000"/>
                <w:sz w:val="16"/>
                <w:szCs w:val="16"/>
                <w:rtl w:val="0"/>
              </w:rPr>
              <w:t xml:space="preserve">Iniciar en paralelo una prueba de concepto de la Épica 2 desde el Sprint 1; escalar cualquier atraso al coordinador antes de 48 horas del hito de evaluación.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i w:val="0"/>
                <w:iCs w:val="0"/>
                <w:color w:val="000000"/>
                <w:sz w:val="16"/>
                <w:szCs w:val="16"/>
                <w:rtl w:val="0"/>
              </w:rPr>
              <w:t xml:space="preserve">Coordinador de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i w:val="0"/>
                <w:iCs w:val="0"/>
                <w:color w:val="000000"/>
                <w:sz w:val="16"/>
                <w:szCs w:val="16"/>
                <w:rtl w:val="0"/>
              </w:rPr>
              <w:t xml:space="preserve">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i w:val="0"/>
                <w:iCs w:val="0"/>
                <w:color w:val="000000"/>
                <w:sz w:val="16"/>
                <w:szCs w:val="16"/>
                <w:rtl w:val="0"/>
              </w:rPr>
              <w:t xml:space="preserve">Cronograma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i w:val="0"/>
                <w:iCs w:val="0"/>
                <w:color w:val="000000"/>
                <w:sz w:val="16"/>
                <w:szCs w:val="16"/>
                <w:rtl w:val="0"/>
              </w:rPr>
              <w:t xml:space="preserve">Desalineación entre la planificación tentativa de sprints y la Carta Gantt del equipo, que aún no se ha cerrado en conjunto.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i w:val="0"/>
                <w:iCs w:val="0"/>
                <w:color w:val="000000"/>
                <w:sz w:val="16"/>
                <w:szCs w:val="16"/>
                <w:rtl w:val="0"/>
              </w:rPr>
              <w:t xml:space="preserve">Conciliar ambos documentos en la próxima reunión de equipo y dejar constancia en acta; revisar coherencia cada vez que se actualice uno de los 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i w:val="0"/>
                <w:iCs w:val="0"/>
                <w:color w:val="000000"/>
                <w:sz w:val="16"/>
                <w:szCs w:val="16"/>
                <w:rtl w:val="0"/>
              </w:rPr>
              <w:t xml:space="preserve">Coordinador de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1"/>
                <w:bCs w:val="1"/>
                <w:i w:val="0"/>
                <w:iCs w:val="0"/>
                <w:color w:val="000000"/>
                <w:sz w:val="16"/>
                <w:szCs w:val="16"/>
                <w:rtl w:val="0"/>
              </w:rPr>
              <w:t xml:space="preserve">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i w:val="0"/>
                <w:iCs w:val="0"/>
                <w:color w:val="000000"/>
                <w:sz w:val="16"/>
                <w:szCs w:val="16"/>
                <w:rtl w:val="0"/>
              </w:rPr>
              <w:t xml:space="preserve">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i w:val="0"/>
                <w:iCs w:val="0"/>
                <w:color w:val="000000"/>
                <w:sz w:val="16"/>
                <w:szCs w:val="16"/>
                <w:rtl w:val="0"/>
              </w:rPr>
              <w:t xml:space="preserve">Brecha de conocimiento del equipo en procesamiento de lenguaje natural aplicado a documentos y en el stack Python definido como restricción (RNF-03).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i w:val="0"/>
                <w:iCs w:val="0"/>
                <w:color w:val="000000"/>
                <w:sz w:val="16"/>
                <w:szCs w:val="16"/>
                <w:rtl w:val="0"/>
              </w:rPr>
              <w:t xml:space="preserve">Reservar tiempo de capacitación interna antes del Sprint 2; identificar librerías/servicios de NLP ya probados para reducir la curva de aprendizaje.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i w:val="0"/>
                <w:iCs w:val="0"/>
                <w:color w:val="000000"/>
                <w:sz w:val="16"/>
                <w:szCs w:val="16"/>
                <w:rtl w:val="0"/>
              </w:rPr>
              <w:t xml:space="preserve">Equipo NLP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1"/>
                <w:bCs w:val="1"/>
                <w:i w:val="0"/>
                <w:iCs w:val="0"/>
                <w:color w:val="000000"/>
                <w:sz w:val="16"/>
                <w:szCs w:val="16"/>
                <w:rtl w:val="0"/>
              </w:rPr>
              <w:t xml:space="preserve">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i w:val="0"/>
                <w:iCs w:val="0"/>
                <w:color w:val="000000"/>
                <w:sz w:val="16"/>
                <w:szCs w:val="16"/>
                <w:rtl w:val="0"/>
              </w:rPr>
              <w:t xml:space="preserve">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i w:val="0"/>
                <w:iCs w:val="0"/>
                <w:color w:val="000000"/>
                <w:sz w:val="16"/>
                <w:szCs w:val="16"/>
                <w:rtl w:val="0"/>
              </w:rPr>
              <w:t xml:space="preserve">Disponibilidad limitada de integrantes por carga académica simultánea en otros ramos o proyectos.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i w:val="0"/>
                <w:iCs w:val="0"/>
                <w:color w:val="000000"/>
                <w:sz w:val="16"/>
                <w:szCs w:val="16"/>
                <w:rtl w:val="0"/>
              </w:rPr>
              <w:t xml:space="preserve">Aceptar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i w:val="0"/>
                <w:iCs w:val="0"/>
                <w:color w:val="000000"/>
                <w:sz w:val="16"/>
                <w:szCs w:val="16"/>
                <w:rtl w:val="0"/>
              </w:rPr>
              <w:t xml:space="preserve">Repartir tareas críticas entre al menos dos integrantes; usar el acta de reunión para declarar compromisos y plazos individuales de forma explícita.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i w:val="0"/>
                <w:iCs w:val="0"/>
                <w:color w:val="000000"/>
                <w:sz w:val="16"/>
                <w:szCs w:val="16"/>
                <w:rtl w:val="0"/>
              </w:rPr>
              <w:t xml:space="preserve">Todo el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1"/>
                <w:bCs w:val="1"/>
                <w:i w:val="0"/>
                <w:iCs w:val="0"/>
                <w:color w:val="000000"/>
                <w:sz w:val="16"/>
                <w:szCs w:val="16"/>
                <w:rtl w:val="0"/>
              </w:rPr>
              <w:t xml:space="preserve">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i w:val="0"/>
                <w:iCs w:val="0"/>
                <w:color w:val="000000"/>
                <w:sz w:val="16"/>
                <w:szCs w:val="16"/>
                <w:rtl w:val="0"/>
              </w:rPr>
              <w:t xml:space="preserve">Externo / Cliente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i w:val="0"/>
                <w:iCs w:val="0"/>
                <w:color w:val="000000"/>
                <w:sz w:val="16"/>
                <w:szCs w:val="16"/>
                <w:rtl w:val="0"/>
              </w:rPr>
              <w:t xml:space="preserve">Demora en la retroalimentación o disponibilidad de la contraparte del hotel para validar admisibilidad, presupuesto o aceptar criterios pendientes.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i w:val="0"/>
                <w:iCs w:val="0"/>
                <w:color w:val="000000"/>
                <w:sz w:val="16"/>
                <w:szCs w:val="16"/>
                <w:rtl w:val="0"/>
              </w:rPr>
              <w:t xml:space="preserve">Enviar solicitudes de validación con plazo de respuesta explícito; avanzar con supuestos documentados si no hay respuesta a tiempo, dejando registro del supuesto usado.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i w:val="0"/>
                <w:iCs w:val="0"/>
                <w:color w:val="000000"/>
                <w:sz w:val="16"/>
                <w:szCs w:val="16"/>
                <w:rtl w:val="0"/>
              </w:rPr>
              <w:t xml:space="preserve">Coordinador de equipo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i w:val="0"/>
                <w:iCs w:val="0"/>
                <w:color w:val="000000"/>
                <w:sz w:val="16"/>
                <w:szCs w:val="16"/>
                <w:rtl w:val="0"/>
              </w:rPr>
              <w:t xml:space="preserve">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i w:val="0"/>
                <w:iCs w:val="0"/>
                <w:color w:val="000000"/>
                <w:sz w:val="16"/>
                <w:szCs w:val="16"/>
                <w:rtl w:val="0"/>
              </w:rPr>
              <w:t xml:space="preserve">Externo / Mercado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i w:val="0"/>
                <w:iCs w:val="0"/>
                <w:color w:val="000000"/>
                <w:sz w:val="16"/>
                <w:szCs w:val="16"/>
                <w:rtl w:val="0"/>
              </w:rPr>
              <w:t xml:space="preserve">Cambios en la plataforma o reglas de ChileCompra (por ejemplo, nuevas funciones de IA institucional anunciadas para 2026) que alteren supuestos de la solución.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sz w:val="16"/>
                <w:szCs w:val="16"/>
                <w:rtl w:val="0"/>
              </w:rPr>
              <w:t xml:space="preserve">Baja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1"/>
                <w:bCs w:val="1"/>
                <w:sz w:val="16"/>
                <w:szCs w:val="16"/>
                <w:rtl w:val="0"/>
              </w:rPr>
              <w:t xml:space="preserve">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i w:val="0"/>
                <w:iCs w:val="0"/>
                <w:color w:val="000000"/>
                <w:sz w:val="16"/>
                <w:szCs w:val="16"/>
                <w:rtl w:val="0"/>
              </w:rPr>
              <w:t xml:space="preserve">Aceptar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i w:val="0"/>
                <w:iCs w:val="0"/>
                <w:color w:val="000000"/>
                <w:sz w:val="16"/>
                <w:szCs w:val="16"/>
                <w:rtl w:val="0"/>
              </w:rPr>
              <w:t xml:space="preserve">Revisar periódicamente anuncios oficiales de ChileCompra; diseñar el conector de integración de forma desacoplada para absorber cambios menores.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i w:val="0"/>
                <w:iCs w:val="0"/>
                <w:color w:val="000000"/>
                <w:sz w:val="16"/>
                <w:szCs w:val="16"/>
                <w:rtl w:val="0"/>
              </w:rPr>
              <w:t xml:space="preserve">Arquitecto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i w:val="0"/>
                <w:iCs w:val="0"/>
                <w:color w:val="000000"/>
                <w:sz w:val="16"/>
                <w:szCs w:val="16"/>
                <w:rtl w:val="0"/>
              </w:rPr>
              <w:t xml:space="preserve">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i w:val="0"/>
                <w:iCs w:val="0"/>
                <w:color w:val="000000"/>
                <w:sz w:val="16"/>
                <w:szCs w:val="16"/>
                <w:rtl w:val="0"/>
              </w:rPr>
              <w:t xml:space="preserve">Legal / Cumplimiento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i w:val="0"/>
                <w:iCs w:val="0"/>
                <w:color w:val="000000"/>
                <w:sz w:val="16"/>
                <w:szCs w:val="16"/>
                <w:rtl w:val="0"/>
              </w:rPr>
              <w:t xml:space="preserve">Restricciones de los términos de uso de Mercado Público si la obtención de oportunidades se resuelve mediante scraping no autorizado en lugar de un mecanismo oficial.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bfbfbf"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sz w:val="16"/>
                <w:szCs w:val="16"/>
                <w:rtl w:val="0"/>
              </w:rPr>
              <w:t xml:space="preserve">Alto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bCs w:val="0"/>
                <w:i w:val="0"/>
                <w:iCs w:val="0"/>
                <w:color w:val="000000"/>
                <w:sz w:val="16"/>
                <w:szCs w:val="16"/>
                <w:rtl w:val="0"/>
              </w:rPr>
              <w:t xml:space="preserve">Evitar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i w:val="0"/>
                <w:iCs w:val="0"/>
                <w:color w:val="000000"/>
                <w:sz w:val="16"/>
                <w:szCs w:val="16"/>
                <w:rtl w:val="0"/>
              </w:rPr>
              <w:t xml:space="preserve">Priorizar la vía de integración oficial o autorizada; documentar la decisión y sus respaldos antes de implementar cualquier mecanismo de extracción automática.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i w:val="0"/>
                <w:iCs w:val="0"/>
                <w:color w:val="000000"/>
                <w:sz w:val="16"/>
                <w:szCs w:val="16"/>
                <w:rtl w:val="0"/>
              </w:rPr>
              <w:t xml:space="preserve">Arquitecto /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1"/>
                <w:bCs w:val="1"/>
                <w:i w:val="0"/>
                <w:iCs w:val="0"/>
                <w:color w:val="000000"/>
                <w:sz w:val="16"/>
                <w:szCs w:val="16"/>
                <w:rtl w:val="0"/>
              </w:rPr>
              <w:t xml:space="preserve">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i w:val="0"/>
                <w:iCs w:val="0"/>
                <w:color w:val="000000"/>
                <w:sz w:val="16"/>
                <w:szCs w:val="16"/>
                <w:rtl w:val="0"/>
              </w:rPr>
              <w:t xml:space="preserve">Legal / Cumplimiento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i w:val="0"/>
                <w:iCs w:val="0"/>
                <w:color w:val="000000"/>
                <w:sz w:val="16"/>
                <w:szCs w:val="16"/>
                <w:rtl w:val="0"/>
              </w:rPr>
              <w:t xml:space="preserve">Manejo de información comercial sensible del hotel (presupuestos, costos operativos) sin una política de acceso, seguridad y auditoría definida (punto pendiente "Acceso y seguridad").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sz w:val="16"/>
                <w:szCs w:val="16"/>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Fonts w:ascii="Calibri" w:cs="Calibri" w:eastAsia="Calibri" w:hAnsi="Calibri"/>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Fonts w:ascii="Calibri" w:cs="Calibri" w:eastAsia="Calibri" w:hAnsi="Calibri"/>
                <w:b w:val="1"/>
                <w:bCs w:val="1"/>
                <w:sz w:val="16"/>
                <w:szCs w:val="16"/>
                <w:rtl w:val="0"/>
              </w:rPr>
              <w:t xml:space="preserve">Medio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i w:val="0"/>
                <w:iCs w:val="0"/>
                <w:color w:val="000000"/>
                <w:sz w:val="16"/>
                <w:szCs w:val="16"/>
                <w:rtl w:val="0"/>
              </w:rPr>
              <w:t xml:space="preserve">Mitigar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i w:val="0"/>
                <w:iCs w:val="0"/>
                <w:color w:val="000000"/>
                <w:sz w:val="16"/>
                <w:szCs w:val="16"/>
                <w:rtl w:val="0"/>
              </w:rPr>
              <w:t xml:space="preserve">Definir junto al cliente el nivel de acceso mínimo necesario y un esquema simple de autenticación antes de almacenar datos comerciales reales.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i w:val="0"/>
                <w:iCs w:val="0"/>
                <w:color w:val="000000"/>
                <w:sz w:val="16"/>
                <w:szCs w:val="16"/>
                <w:rtl w:val="0"/>
              </w:rPr>
              <w:t xml:space="preserve">Analista de requerimientos</w:t>
            </w:r>
            <w:r w:rsidDel="00000000" w:rsidR="00000000" w:rsidRPr="00000000">
              <w:rPr>
                <w:rtl w:val="0"/>
              </w:rPr>
            </w:r>
          </w:p>
        </w:tc>
      </w:tr>
    </w:tbl>
    <w:p w:rsidR="00000000" w:rsidDel="00000000" w:rsidP="00000000" w:rsidRDefault="00000000" w:rsidRPr="00000000" w14:paraId="000000DB">
      <w:pPr>
        <w:spacing w:after="200" w:lineRule="auto"/>
        <w:rPr/>
        <w:sectPr>
          <w:type w:val="nextPage"/>
          <w:pgSz w:h="12240" w:w="15840" w:orient="landscape"/>
          <w:pgMar w:bottom="900" w:top="900" w:left="900" w:right="900" w:header="708" w:footer="708"/>
        </w:sectPr>
      </w:pPr>
      <w:r w:rsidDel="00000000" w:rsidR="00000000" w:rsidRPr="00000000">
        <w:rPr>
          <w:rtl w:val="0"/>
        </w:rPr>
      </w:r>
    </w:p>
    <w:p w:rsidR="00000000" w:rsidDel="00000000" w:rsidP="00000000" w:rsidRDefault="00000000" w:rsidRPr="00000000" w14:paraId="000000DC">
      <w:pPr>
        <w:pBdr>
          <w:bottom w:color="000000" w:space="0" w:sz="6" w:val="single"/>
        </w:pBdr>
        <w:spacing w:after="140" w:before="320" w:lineRule="auto"/>
        <w:rPr/>
      </w:pPr>
      <w:r w:rsidDel="00000000" w:rsidR="00000000" w:rsidRPr="00000000">
        <w:rPr>
          <w:rFonts w:ascii="Calibri" w:cs="Calibri" w:eastAsia="Calibri" w:hAnsi="Calibri"/>
          <w:b w:val="1"/>
          <w:bCs w:val="1"/>
          <w:sz w:val="24"/>
          <w:szCs w:val="24"/>
          <w:rtl w:val="0"/>
        </w:rPr>
        <w:t xml:space="preserve">6. Seguimiento y actualización</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Fonts w:ascii="Calibri" w:cs="Calibri" w:eastAsia="Calibri" w:hAnsi="Calibri"/>
          <w:sz w:val="20"/>
          <w:szCs w:val="20"/>
          <w:rtl w:val="0"/>
        </w:rPr>
        <w:t xml:space="preserve">•  El registro de riesgos se revisa al cierre de cada sprint definido en la planificación tentativa (Sprint 1 a Sprint 4).</w:t>
      </w:r>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Fonts w:ascii="Calibri" w:cs="Calibri" w:eastAsia="Calibri" w:hAnsi="Calibri"/>
          <w:sz w:val="20"/>
          <w:szCs w:val="20"/>
          <w:rtl w:val="0"/>
        </w:rPr>
        <w:t xml:space="preserve">•  Todo riesgo nuevo detectado en una reunión de equipo se incorpora al registro citando el acta de reunión correspondiente como respaldo.</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rFonts w:ascii="Calibri" w:cs="Calibri" w:eastAsia="Calibri" w:hAnsi="Calibri"/>
          <w:sz w:val="20"/>
          <w:szCs w:val="20"/>
          <w:rtl w:val="0"/>
        </w:rPr>
        <w:t xml:space="preserve">•  Los riesgos con nivel alto se reportan de forma explícita en los informes de avance entregados al docente/cliente.</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Fonts w:ascii="Calibri" w:cs="Calibri" w:eastAsia="Calibri" w:hAnsi="Calibri"/>
          <w:sz w:val="20"/>
          <w:szCs w:val="20"/>
          <w:rtl w:val="0"/>
        </w:rPr>
        <w:t xml:space="preserve">•  Al materializarse un riesgo, se documenta en el acta de la reunión más próxima: fecha de ocurrencia, impacto real y acción tomada.</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Bdr>
                <w:top w:color="000000" w:space="0" w:sz="4" w:val="single"/>
              </w:pBdr>
              <w:rPr/>
            </w:pPr>
            <w:r w:rsidDel="00000000" w:rsidR="00000000" w:rsidRPr="00000000">
              <w:rPr>
                <w:rtl w:val="0"/>
              </w:rPr>
            </w:r>
          </w:p>
          <w:p w:rsidR="00000000" w:rsidDel="00000000" w:rsidP="00000000" w:rsidRDefault="00000000" w:rsidRPr="00000000" w14:paraId="000000E5">
            <w:pPr>
              <w:jc w:val="left"/>
              <w:rPr/>
            </w:pPr>
            <w:r w:rsidDel="00000000" w:rsidR="00000000" w:rsidRPr="00000000">
              <w:rPr>
                <w:rFonts w:ascii="Calibri" w:cs="Calibri" w:eastAsia="Calibri" w:hAnsi="Calibri"/>
                <w:b w:val="0"/>
                <w:bCs w:val="0"/>
                <w:i w:val="0"/>
                <w:iCs w:val="0"/>
                <w:color w:val="000000"/>
                <w:sz w:val="18"/>
                <w:szCs w:val="18"/>
                <w:rtl w:val="0"/>
              </w:rPr>
              <w:t xml:space="preserve">Elaborado por (Coordinador/a de 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top w:color="000000" w:space="0" w:sz="4" w:val="single"/>
              </w:pBdr>
              <w:rPr/>
            </w:pPr>
            <w:r w:rsidDel="00000000" w:rsidR="00000000" w:rsidRPr="00000000">
              <w:rPr>
                <w:rtl w:val="0"/>
              </w:rPr>
            </w:r>
          </w:p>
          <w:p w:rsidR="00000000" w:rsidDel="00000000" w:rsidP="00000000" w:rsidRDefault="00000000" w:rsidRPr="00000000" w14:paraId="000000E9">
            <w:pPr>
              <w:jc w:val="left"/>
              <w:rPr/>
            </w:pPr>
            <w:r w:rsidDel="00000000" w:rsidR="00000000" w:rsidRPr="00000000">
              <w:rPr>
                <w:rFonts w:ascii="Calibri" w:cs="Calibri" w:eastAsia="Calibri" w:hAnsi="Calibri"/>
                <w:b w:val="0"/>
                <w:bCs w:val="0"/>
                <w:i w:val="0"/>
                <w:iCs w:val="0"/>
                <w:color w:val="000000"/>
                <w:sz w:val="18"/>
                <w:szCs w:val="18"/>
                <w:rtl w:val="0"/>
              </w:rPr>
              <w:t xml:space="preserve">Próxima revisión del plan: [dd/mm/aaaa]</w:t>
            </w:r>
            <w:r w:rsidDel="00000000" w:rsidR="00000000" w:rsidRPr="00000000">
              <w:rPr>
                <w:rtl w:val="0"/>
              </w:rPr>
            </w:r>
          </w:p>
        </w:tc>
      </w:tr>
    </w:tbl>
    <w:p w:rsidR="00000000" w:rsidDel="00000000" w:rsidP="00000000" w:rsidRDefault="00000000" w:rsidRPr="00000000" w14:paraId="000000EA">
      <w:pPr>
        <w:spacing w:before="200" w:lineRule="auto"/>
        <w:rPr/>
      </w:pPr>
      <w:r w:rsidDel="00000000" w:rsidR="00000000" w:rsidRPr="00000000">
        <w:rPr>
          <w:rFonts w:ascii="Calibri" w:cs="Calibri" w:eastAsia="Calibri" w:hAnsi="Calibri"/>
          <w:i w:val="1"/>
          <w:iCs w:val="1"/>
          <w:color w:val="7f7f7f"/>
          <w:sz w:val="16"/>
          <w:szCs w:val="16"/>
          <w:rtl w:val="0"/>
        </w:rPr>
        <w:t xml:space="preserve">Plan de Gestión de Riesgos — Proyecto Licing (Capstone). Actualizar al cierre de cada sprint.</w:t>
      </w:r>
      <w:r w:rsidDel="00000000" w:rsidR="00000000" w:rsidRPr="00000000">
        <w:rPr>
          <w:rtl w:val="0"/>
        </w:rPr>
      </w:r>
    </w:p>
    <w:sectPr>
      <w:type w:val="nextPage"/>
      <w:pgSz w:h="15840" w:w="12240" w:orient="portrait"/>
      <w:pgMar w:bottom="1000" w:top="10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9rfCaVZ5anXGYg30lfgnoWifag==">CgMxLjA4AHIhMUgtWDdTckFOd3FhLXk4MEdjWUxJZFZ4bmViOVRtMWVf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2026-09-10T21:37:38.540Z</dcterms:created>
  <dc:creator>Un-named</dc:creator>
</cp:coreProperties>
</file>

<file path=docProps/custom.xml><?xml version="1.0" encoding="utf-8"?>
<Properties xmlns="http://schemas.openxmlformats.org/officeDocument/2006/custom-properties" xmlns:vt="http://schemas.openxmlformats.org/officeDocument/2006/docPropsVTypes"/>
</file>