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14:paraId="4A658FC7" w14:textId="77777777" w:rsidTr="00416B89">
        <w:trPr/>
        <w:tc>
          <w:tcPr>
            <w:tcW w:w="9504" w:type="dxa"/>
            <w:vAlign w:val="center"/>
          </w:tcPr>
          <w:p w14:paraId="0ECC304C"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c>
          <w:tcPr>
            <w:tcW w:w="9504" w:type="dxa"/>
            <w:shd w:val="clear" w:color="auto" w:fill="D9E2F3" w:themeFill="accent1" w:themeFillTint="33"/>
            <w:vAlign w:val="center"/>
          </w:tcPr>
          <w:p w14:paraId="354999AA" w14:textId="77777777" w:rsidR="00D110EC" w:rsidRPr="00BF2EA6" w:rsidRDefault="00D110EC" w:rsidP="00C27FB0">
            <w:pPr>
              <w:pStyle w:val="Piedepgina"/>
              <w:keepNext/>
              <w:spacing w:after="60"/>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2477"/>
        <w:gridCol w:w="7027"/>
      </w:tblGrid>
      <w:tr w:rsidR="00D110EC" w14:paraId="69570B2E" w14:textId="77777777" w:rsidTr="14C86939">
        <w:trPr/>
        <w:tc>
          <w:tcPr>
            <w:tcW w:w="2477" w:type="dxa"/>
            <w:vAlign w:val="center"/>
          </w:tcPr>
          <w:p w14:paraId="35330877" w14:textId="253457DB" w:rsidR="00D110EC" w:rsidRPr="00210C5F" w:rsidRDefault="00D110EC" w:rsidP="00C27FB0">
            <w:pPr>
              <w:keepNext w:val="0"/>
              <w:spacing w:after="60"/>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7027" w:type="dxa"/>
            <w:vAlign w:val="center"/>
          </w:tcPr>
          <w:p>
            <w:pPr>
              <w:keepNext w:val="0"/>
              <w:keepLines w:val="0"/>
              <w:spacing w:before="0" w:after="60" w:line="240" w:lineRule="auto"/>
            </w:pPr>
            <w:r/>
            <w:r>
              <w:rPr>
                <w:rFonts w:ascii="Calibri" w:hAnsi="Calibri"/>
                <w:b w:val="0"/>
                <w:i w:val="0"/>
                <w:color w:val="000000"/>
                <w:sz w:val="22"/>
              </w:rPr>
              <w:t>Thomas Alexander Leighton Nuñez</w:t>
            </w:r>
          </w:p>
        </w:tc>
      </w:tr>
      <w:tr w:rsidR="00D110EC" w14:paraId="1804513C" w14:textId="77777777" w:rsidTr="14C86939">
        <w:trPr/>
        <w:tc>
          <w:tcPr>
            <w:tcW w:w="2477" w:type="dxa"/>
            <w:vAlign w:val="center"/>
          </w:tcPr>
          <w:p w14:paraId="4B54D12F" w14:textId="77777777" w:rsidR="00D110EC" w:rsidRPr="00210C5F" w:rsidRDefault="00D110EC" w:rsidP="00C27FB0">
            <w:pPr>
              <w:keepNext w:val="0"/>
              <w:spacing w:after="60"/>
              <w:rPr>
                <w:rFonts w:ascii="Calibri" w:hAnsi="Calibri"/>
                <w:color w:val="1F3864" w:themeColor="accent1" w:themeShade="80"/>
              </w:rPr>
            </w:pPr>
            <w:r w:rsidRPr="00210C5F">
              <w:rPr>
                <w:rFonts w:ascii="Calibri" w:hAnsi="Calibri"/>
                <w:color w:val="1F3864" w:themeColor="accent1" w:themeShade="80"/>
              </w:rPr>
              <w:t>Rut</w:t>
            </w:r>
          </w:p>
        </w:tc>
        <w:tc>
          <w:tcPr>
            <w:tcW w:w="7027" w:type="dxa"/>
            <w:vAlign w:val="center"/>
          </w:tcPr>
          <w:p>
            <w:pPr>
              <w:keepNext w:val="0"/>
              <w:keepLines w:val="0"/>
              <w:spacing w:before="0" w:after="60" w:line="240" w:lineRule="auto"/>
            </w:pPr>
            <w:r/>
            <w:r>
              <w:rPr>
                <w:rFonts w:ascii="Calibri" w:hAnsi="Calibri"/>
                <w:b w:val="0"/>
                <w:i w:val="0"/>
                <w:color w:val="000000"/>
                <w:sz w:val="22"/>
              </w:rPr>
              <w:t>Pendiente de completar por el estudiante</w:t>
            </w:r>
          </w:p>
        </w:tc>
      </w:tr>
      <w:tr w:rsidR="00D110EC" w14:paraId="0463BC50" w14:textId="77777777" w:rsidTr="14C86939">
        <w:trPr/>
        <w:tc>
          <w:tcPr>
            <w:tcW w:w="2477" w:type="dxa"/>
            <w:vAlign w:val="center"/>
          </w:tcPr>
          <w:p w14:paraId="78AD28E9" w14:textId="77777777" w:rsidR="00D110EC" w:rsidRPr="00210C5F" w:rsidRDefault="00D110EC" w:rsidP="00C27FB0">
            <w:pPr>
              <w:keepNext w:val="0"/>
              <w:spacing w:after="60"/>
              <w:rPr>
                <w:rFonts w:ascii="Calibri" w:hAnsi="Calibri"/>
                <w:color w:val="1F3864" w:themeColor="accent1" w:themeShade="80"/>
              </w:rPr>
            </w:pPr>
            <w:r w:rsidRPr="00210C5F">
              <w:rPr>
                <w:rFonts w:ascii="Calibri" w:hAnsi="Calibri"/>
                <w:color w:val="1F3864" w:themeColor="accent1" w:themeShade="80"/>
              </w:rPr>
              <w:t>Carrera</w:t>
            </w:r>
          </w:p>
        </w:tc>
        <w:tc>
          <w:tcPr>
            <w:tcW w:w="7027" w:type="dxa"/>
            <w:vAlign w:val="center"/>
          </w:tcPr>
          <w:p>
            <w:pPr>
              <w:keepNext w:val="0"/>
              <w:keepLines w:val="0"/>
              <w:spacing w:before="0" w:after="60" w:line="240" w:lineRule="auto"/>
            </w:pPr>
            <w:r/>
            <w:r>
              <w:rPr>
                <w:rFonts w:ascii="Calibri" w:hAnsi="Calibri"/>
                <w:b w:val="0"/>
                <w:i w:val="0"/>
                <w:color w:val="000000"/>
                <w:sz w:val="22"/>
              </w:rPr>
              <w:t>Ingeniería en Informática</w:t>
            </w:r>
          </w:p>
        </w:tc>
      </w:tr>
      <w:tr w:rsidR="00D110EC" w14:paraId="3A298087" w14:textId="77777777" w:rsidTr="14C86939">
        <w:trPr/>
        <w:tc>
          <w:tcPr>
            <w:tcW w:w="2477" w:type="dxa"/>
            <w:vAlign w:val="center"/>
          </w:tcPr>
          <w:p w14:paraId="013BFFC4" w14:textId="77777777" w:rsidR="00D110EC" w:rsidRPr="00210C5F" w:rsidRDefault="00D110EC" w:rsidP="00C27FB0">
            <w:pPr>
              <w:keepNext w:val="0"/>
              <w:spacing w:after="60"/>
              <w:rPr>
                <w:rFonts w:ascii="Calibri" w:hAnsi="Calibri"/>
                <w:color w:val="1F3864" w:themeColor="accent1" w:themeShade="80"/>
              </w:rPr>
            </w:pPr>
            <w:r w:rsidRPr="00210C5F">
              <w:rPr>
                <w:rFonts w:ascii="Calibri" w:hAnsi="Calibri"/>
                <w:color w:val="1F3864" w:themeColor="accent1" w:themeShade="80"/>
              </w:rPr>
              <w:t>Sede</w:t>
            </w:r>
          </w:p>
        </w:tc>
        <w:tc>
          <w:tcPr>
            <w:tcW w:w="7027" w:type="dxa"/>
            <w:vAlign w:val="center"/>
          </w:tcPr>
          <w:p>
            <w:pPr>
              <w:keepNext w:val="0"/>
              <w:keepLines w:val="0"/>
              <w:spacing w:before="0" w:after="60" w:line="240" w:lineRule="auto"/>
            </w:pPr>
            <w:r/>
            <w:r>
              <w:rPr>
                <w:rFonts w:ascii="Calibri" w:hAnsi="Calibri"/>
                <w:b w:val="0"/>
                <w:i w:val="0"/>
                <w:color w:val="000000"/>
                <w:sz w:val="22"/>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14:paraId="3EAF08E7" w14:textId="77777777" w:rsidTr="00416B89">
        <w:trPr/>
        <w:tc>
          <w:tcPr>
            <w:tcW w:w="9504" w:type="dxa"/>
            <w:vAlign w:val="center"/>
          </w:tcPr>
          <w:p w14:paraId="29E7DA50" w14:textId="77777777" w:rsidR="00D110EC" w:rsidRPr="00BF2EA6" w:rsidRDefault="00D110EC" w:rsidP="00C27FB0">
            <w:pPr>
              <w:keepNext/>
              <w:spacing w:after="60"/>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c>
          <w:tcPr>
            <w:tcW w:w="9504" w:type="dxa"/>
            <w:shd w:val="clear" w:color="auto" w:fill="D9E2F3" w:themeFill="accent1" w:themeFillTint="33"/>
            <w:vAlign w:val="center"/>
          </w:tcPr>
          <w:p w14:paraId="5BF55797" w14:textId="77777777" w:rsidR="00D110EC" w:rsidRPr="00BF2EA6" w:rsidRDefault="00D110EC" w:rsidP="00C27FB0">
            <w:pPr>
              <w:pStyle w:val="Piedepgina"/>
              <w:keepNext/>
              <w:spacing w:after="60"/>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2477"/>
        <w:gridCol w:w="7027"/>
      </w:tblGrid>
      <w:tr w:rsidR="00D110EC" w14:paraId="362C76C0" w14:textId="77777777" w:rsidTr="14C86939">
        <w:trPr/>
        <w:tc>
          <w:tcPr>
            <w:tcW w:w="2477" w:type="dxa"/>
            <w:vAlign w:val="center"/>
          </w:tcPr>
          <w:p w14:paraId="722F8449" w14:textId="0FD15D41" w:rsidR="00D110EC" w:rsidRPr="00210C5F" w:rsidRDefault="00DC7A34" w:rsidP="00C27FB0">
            <w:pPr>
              <w:keepNext w:val="0"/>
              <w:spacing w:after="60"/>
              <w:rPr>
                <w:rFonts w:ascii="Calibri" w:hAnsi="Calibri"/>
                <w:color w:val="1F3864" w:themeColor="accent1" w:themeShade="80"/>
              </w:rPr>
            </w:pPr>
            <w:r>
              <w:rPr>
                <w:rFonts w:ascii="Calibri" w:hAnsi="Calibri"/>
                <w:color w:val="1F3864" w:themeColor="accent1" w:themeShade="80"/>
              </w:rPr>
              <w:t>Nombre del proyecto</w:t>
            </w:r>
          </w:p>
        </w:tc>
        <w:tc>
          <w:tcPr>
            <w:tcW w:w="7027" w:type="dxa"/>
            <w:vAlign w:val="center"/>
          </w:tcPr>
          <w:p>
            <w:pPr>
              <w:keepNext w:val="0"/>
              <w:keepLines w:val="0"/>
              <w:spacing w:before="0" w:after="60" w:line="240" w:lineRule="auto"/>
            </w:pPr>
            <w:r/>
            <w:r>
              <w:rPr>
                <w:rFonts w:ascii="Calibri" w:hAnsi="Calibri"/>
                <w:b w:val="0"/>
                <w:i w:val="0"/>
                <w:color w:val="000000"/>
                <w:sz w:val="22"/>
              </w:rPr>
              <w:t>Licing — Asistente Inteligente de Mercado Público para el Hotel Plaza San Francisco</w:t>
            </w:r>
          </w:p>
        </w:tc>
      </w:tr>
      <w:tr w:rsidR="00D110EC" w14:paraId="3EF8FD0A" w14:textId="77777777" w:rsidTr="14C86939">
        <w:trPr/>
        <w:tc>
          <w:tcPr>
            <w:tcW w:w="2477" w:type="dxa"/>
            <w:vAlign w:val="center"/>
          </w:tcPr>
          <w:p w14:paraId="62D47B1D" w14:textId="77777777" w:rsidR="00D110EC" w:rsidRPr="00210C5F" w:rsidRDefault="00D110EC" w:rsidP="00C27FB0">
            <w:pPr>
              <w:keepNext w:val="0"/>
              <w:spacing w:after="60"/>
              <w:rPr>
                <w:rFonts w:ascii="Calibri" w:hAnsi="Calibri"/>
                <w:color w:val="1F3864" w:themeColor="accent1" w:themeShade="80"/>
              </w:rPr>
            </w:pPr>
            <w:r w:rsidRPr="00210C5F">
              <w:rPr>
                <w:rFonts w:ascii="Calibri" w:hAnsi="Calibri"/>
                <w:color w:val="1F3864" w:themeColor="accent1" w:themeShade="80"/>
              </w:rPr>
              <w:t>Área (s) de desempeño(s)</w:t>
            </w:r>
          </w:p>
        </w:tc>
        <w:tc>
          <w:tcPr>
            <w:tcW w:w="7027" w:type="dxa"/>
            <w:vAlign w:val="center"/>
          </w:tcPr>
          <w:p>
            <w:pPr>
              <w:keepNext w:val="0"/>
              <w:keepLines w:val="0"/>
              <w:spacing w:before="0" w:after="60" w:line="240" w:lineRule="auto"/>
            </w:pPr>
            <w:r/>
            <w:r>
              <w:rPr>
                <w:rFonts w:ascii="Calibri" w:hAnsi="Calibri"/>
                <w:b w:val="0"/>
                <w:i w:val="0"/>
                <w:color w:val="000000"/>
                <w:sz w:val="22"/>
              </w:rPr>
              <w:t>Desarrollo de software, gestión de proyectos informáticos, modelamiento de datos y aseguramiento de calidad. La denominación formal de las áreas en el plan de estudio debe confirmarse.</w:t>
            </w:r>
          </w:p>
        </w:tc>
      </w:tr>
      <w:tr w:rsidR="00D110EC" w14:paraId="46C27E09" w14:textId="77777777" w:rsidTr="14C86939">
        <w:trPr/>
        <w:tc>
          <w:tcPr>
            <w:tcW w:w="2477" w:type="dxa"/>
            <w:vAlign w:val="center"/>
          </w:tcPr>
          <w:p w14:paraId="2596F633" w14:textId="020B5BF5" w:rsidR="00D110EC" w:rsidRDefault="00D110EC" w:rsidP="00C27FB0">
            <w:pPr>
              <w:keepNext w:val="0"/>
              <w:spacing w:after="60"/>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keepNext w:val="0"/>
              <w:spacing w:after="60"/>
              <w:rPr>
                <w:rFonts w:ascii="Calibri" w:hAnsi="Calibri"/>
                <w:color w:val="1F3864" w:themeColor="accent1" w:themeShade="80"/>
              </w:rPr>
            </w:pPr>
          </w:p>
        </w:tc>
        <w:tc>
          <w:tcPr>
            <w:tcW w:w="7027" w:type="dxa"/>
            <w:vAlign w:val="center"/>
          </w:tcPr>
          <w:p>
            <w:pPr>
              <w:keepNext w:val="0"/>
              <w:keepLines w:val="0"/>
              <w:spacing w:before="0" w:after="60" w:line="240" w:lineRule="auto"/>
            </w:pPr>
            <w:r/>
            <w:r>
              <w:rPr>
                <w:rFonts w:ascii="Calibri" w:hAnsi="Calibri"/>
                <w:b w:val="0"/>
                <w:i w:val="0"/>
                <w:color w:val="000000"/>
                <w:sz w:val="22"/>
              </w:rPr>
              <w:t>C1. Realizar pruebas de certificación tanto de los productos como de los procesos utilizando buenas prácticas definidas por la industria.</w:t>
            </w:r>
          </w:p>
          <w:p>
            <w:pPr>
              <w:keepNext w:val="0"/>
              <w:keepLines w:val="0"/>
              <w:spacing w:before="0" w:after="60" w:line="240" w:lineRule="auto"/>
            </w:pPr>
            <w:r>
              <w:rPr>
                <w:rFonts w:ascii="Calibri" w:hAnsi="Calibri"/>
                <w:b w:val="0"/>
                <w:i w:val="0"/>
                <w:color w:val="000000"/>
                <w:sz w:val="22"/>
              </w:rPr>
              <w:t>C2. Gestionar proyectos informáticos, ofreciendo alternativas para la toma de decisiones de acuerdo a los requerimientos de la organización.</w:t>
            </w:r>
          </w:p>
          <w:p>
            <w:pPr>
              <w:keepNext w:val="0"/>
              <w:keepLines w:val="0"/>
              <w:spacing w:before="0" w:after="60" w:line="240" w:lineRule="auto"/>
            </w:pPr>
            <w:r>
              <w:rPr>
                <w:rFonts w:ascii="Calibri" w:hAnsi="Calibri"/>
                <w:b w:val="0"/>
                <w:i w:val="0"/>
                <w:color w:val="000000"/>
                <w:sz w:val="22"/>
              </w:rPr>
              <w:t>C3. Construir modelos de datos para soportar los requerimientos de la organización de acuerdo a un diseño definido y escalable en el tiempo.</w:t>
            </w:r>
          </w:p>
          <w:p>
            <w:pPr>
              <w:keepNext w:val="0"/>
              <w:keepLines w:val="0"/>
              <w:spacing w:before="0" w:after="60" w:line="240" w:lineRule="auto"/>
            </w:pPr>
            <w:r>
              <w:rPr>
                <w:rFonts w:ascii="Calibri" w:hAnsi="Calibri"/>
                <w:b w:val="0"/>
                <w:i w:val="0"/>
                <w:color w:val="000000"/>
                <w:sz w:val="22"/>
              </w:rPr>
              <w:t>C4. Desarrollar una solución de software utilizando técnicas que permitan sistematizar el proceso de desarrollo y mantenimiento, asegurando el logro de los objetivos.</w:t>
            </w:r>
          </w:p>
        </w:tc>
      </w:tr>
    </w:tbl>
    <w:p>
      <w:pPr>
        <w:keepNext/>
        <w:pageBreakBefore/>
        <w:spacing w:before="0" w:after="0" w:line="20" w:lineRule="exact"/>
      </w:pPr>
      <w:r/>
      <w:r>
        <w:rPr>
          <w:sz w:val="2"/>
        </w:rPr>
      </w: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14:paraId="1ED72F62" w14:textId="77777777" w:rsidTr="00416B89">
        <w:trPr/>
        <w:tc>
          <w:tcPr>
            <w:tcW w:w="9504" w:type="dxa"/>
            <w:vAlign w:val="center"/>
          </w:tcPr>
          <w:p w14:paraId="3E1AA275" w14:textId="77777777" w:rsidR="00D110EC" w:rsidRPr="00BF2EA6" w:rsidRDefault="00D110EC" w:rsidP="00C27FB0">
            <w:pPr>
              <w:keepNext/>
              <w:pageBreakBefore w:val="0"/>
              <w:spacing w:after="60"/>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c>
          <w:tcPr>
            <w:tcW w:w="9504" w:type="dxa"/>
            <w:shd w:val="clear" w:color="auto" w:fill="D9E2F3" w:themeFill="accent1" w:themeFillTint="33"/>
            <w:vAlign w:val="center"/>
          </w:tcPr>
          <w:p w14:paraId="40418404" w14:textId="4D5C08E3" w:rsidR="00D110EC" w:rsidRPr="00AC0C8B" w:rsidRDefault="00D110EC" w:rsidP="000A006B">
            <w:pPr>
              <w:pStyle w:val="Piedepgina"/>
              <w:keepNext/>
              <w:spacing w:after="60"/>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2477"/>
        <w:gridCol w:w="7027"/>
      </w:tblGrid>
      <w:tr w:rsidR="00D110EC" w:rsidDel="008018E6" w14:paraId="3F49DD66" w14:textId="44F6805D" w:rsidTr="14C86939">
        <w:trPr/>
        <w:tc>
          <w:tcPr>
            <w:tcW w:w="2477" w:type="dxa"/>
            <w:vAlign w:val="center"/>
          </w:tcPr>
          <w:p w14:paraId="63A26FB4" w14:textId="7488F2ED" w:rsidR="00D110EC" w:rsidRPr="005053DF" w:rsidDel="008018E6" w:rsidRDefault="00D110EC" w:rsidP="00C27FB0">
            <w:pPr>
              <w:keepNext w:val="0"/>
              <w:spacing w:after="60"/>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027" w:type="dxa"/>
            <w:vAlign w:val="center"/>
          </w:tcPr>
          <w:p>
            <w:pPr>
              <w:keepNext w:val="0"/>
              <w:keepLines w:val="0"/>
              <w:spacing w:before="0" w:after="60" w:line="240" w:lineRule="auto"/>
            </w:pPr>
            <w:r/>
            <w:r>
              <w:rPr>
                <w:rFonts w:ascii="Calibri" w:hAnsi="Calibri"/>
                <w:b w:val="0"/>
                <w:i w:val="0"/>
                <w:color w:val="000000"/>
                <w:sz w:val="22"/>
              </w:rPr>
              <w:t>El Hotel Plaza San Francisco, en Santiago, necesita revisar oportunidades vinculadas con alojamiento, eventos, catering y salones, contrastando documentos, requisitos y presupuestos. Licing busca organizar esa información y priorizar procesos pertinentes para apoyar al Encargado de Licitaciones. Gerencia General y Finanzas recibirán informes de gestión. El aporte al campo laboral consiste en integrar software, datos e IA para resolver una necesidad organizacional. La mejora del esfuerzo de revisión se comprobará durante la evaluación, sin atribuir resultados comerciales anticipados.</w:t>
            </w:r>
          </w:p>
        </w:tc>
      </w:tr>
      <w:tr w:rsidR="00D110EC" w14:paraId="1836B542" w14:textId="2128C48C" w:rsidTr="14C86939">
        <w:trPr/>
        <w:tc>
          <w:tcPr>
            <w:tcW w:w="2477" w:type="dxa"/>
            <w:vAlign w:val="center"/>
          </w:tcPr>
          <w:p w14:paraId="0FBF6CDF" w14:textId="5761AF65" w:rsidR="00D110EC" w:rsidRPr="006608A6" w:rsidRDefault="00D110EC" w:rsidP="00C27FB0">
            <w:pPr>
              <w:keepNext w:val="0"/>
              <w:spacing w:after="60"/>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027" w:type="dxa"/>
            <w:vAlign w:val="center"/>
          </w:tcPr>
          <w:p>
            <w:pPr>
              <w:keepNext w:val="0"/>
              <w:keepLines w:val="0"/>
              <w:spacing w:before="0" w:after="60" w:line="240" w:lineRule="auto"/>
            </w:pPr>
            <w:r/>
            <w:r>
              <w:rPr>
                <w:rFonts w:ascii="Calibri" w:hAnsi="Calibri"/>
                <w:b w:val="0"/>
                <w:i w:val="0"/>
                <w:color w:val="000000"/>
                <w:sz w:val="22"/>
              </w:rPr>
              <w:t>Licing será una aplicación web con un motor interno de IA/NLP. Obtendrá oportunidades de la API prevista de Mercado Público y la fuente habilitada de Compra Ágil; aplicará los criterios del personal y el filtro final de relevancia mediante IA. Luego validará la identidad y analizará bases o TDR para generar resúmenes ejecutivos. La web permitirá consultar resultados, revisar admisibilidad y presupuesto, gestionar estados e informes. Se mantienen 11 CU, 20 RF y 6 RNF. La decisión comercial corresponde al personal.</w:t>
            </w:r>
          </w:p>
        </w:tc>
      </w:tr>
      <w:tr w:rsidR="00D110EC" w14:paraId="0735639F" w14:textId="77777777" w:rsidTr="14C86939">
        <w:trPr/>
        <w:tc>
          <w:tcPr>
            <w:tcW w:w="2477" w:type="dxa"/>
            <w:vAlign w:val="center"/>
          </w:tcPr>
          <w:p w14:paraId="05D451B6" w14:textId="77777777" w:rsidR="00D110EC" w:rsidRPr="006608A6" w:rsidRDefault="00D110EC" w:rsidP="00C27FB0">
            <w:pPr>
              <w:keepNext w:val="0"/>
              <w:spacing w:after="60"/>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027" w:type="dxa"/>
            <w:vAlign w:val="center"/>
          </w:tcPr>
          <w:p>
            <w:pPr>
              <w:keepNext w:val="0"/>
              <w:keepLines w:val="0"/>
              <w:spacing w:before="0" w:after="60" w:line="240" w:lineRule="auto"/>
            </w:pPr>
            <w:r/>
            <w:r>
              <w:rPr>
                <w:rFonts w:ascii="Calibri" w:hAnsi="Calibri"/>
                <w:b w:val="0"/>
                <w:i w:val="0"/>
                <w:color w:val="000000"/>
                <w:sz w:val="22"/>
              </w:rPr>
              <w:t>La gestión de proyectos permitirá acordar el alcance, organizar sprints y controlar riesgos. El modelamiento de datos estructurará oportunidades, documentos, criterios y estados. El desarrollo de software integrará la web, el backend Python y el motor IA/NLP. Las pruebas contrastarán las salidas con sus fuentes y comprobarán los requisitos. Estas competencias se evidenciarán mediante el diseño, el código, los incrementos y los registros de validación.</w:t>
            </w:r>
          </w:p>
        </w:tc>
      </w:tr>
      <w:tr w:rsidR="00D110EC" w14:paraId="46246FD8" w14:textId="77777777" w:rsidTr="14C86939">
        <w:trPr/>
        <w:tc>
          <w:tcPr>
            <w:tcW w:w="2477" w:type="dxa"/>
            <w:vAlign w:val="center"/>
          </w:tcPr>
          <w:p w14:paraId="263B7A31" w14:textId="77777777" w:rsidR="00D110EC" w:rsidRPr="006608A6" w:rsidRDefault="00D110EC" w:rsidP="00C27FB0">
            <w:pPr>
              <w:keepNext w:val="0"/>
              <w:spacing w:after="60"/>
              <w:rPr>
                <w:rFonts w:ascii="Calibri" w:hAnsi="Calibri"/>
                <w:color w:val="1F3864" w:themeColor="accent1" w:themeShade="80"/>
              </w:rPr>
            </w:pPr>
            <w:r>
              <w:rPr>
                <w:rFonts w:ascii="Calibri" w:hAnsi="Calibri"/>
                <w:color w:val="1F3864" w:themeColor="accent1" w:themeShade="80"/>
              </w:rPr>
              <w:t>Relación con los intereses profesionales</w:t>
            </w:r>
          </w:p>
        </w:tc>
        <w:tc>
          <w:tcPr>
            <w:tcW w:w="7027" w:type="dxa"/>
            <w:vAlign w:val="center"/>
          </w:tcPr>
          <w:p>
            <w:pPr>
              <w:keepNext w:val="0"/>
              <w:keepLines w:val="0"/>
              <w:spacing w:before="0" w:after="60" w:line="240" w:lineRule="auto"/>
            </w:pPr>
            <w:r/>
            <w:r>
              <w:rPr>
                <w:rFonts w:ascii="Calibri" w:hAnsi="Calibri"/>
                <w:b w:val="0"/>
                <w:i w:val="0"/>
                <w:color w:val="000000"/>
                <w:sz w:val="22"/>
              </w:rPr>
              <w:t>Me interesa desarrollar aplicaciones web para organizaciones y profundizar en datos e IA. El proyecto se relaciona con mi formación en desarrollo y minería de datos y con mi experiencia en la aplicación web de Aliwen Turismo. Licing me permitirá fortalecer integración de servicios, análisis documental, pruebas y comunicación técnica. También exige distinguir una respuesta generada por un modelo de información efectivamente respaldada por las bases de una licitación.</w:t>
            </w:r>
          </w:p>
        </w:tc>
      </w:tr>
      <w:tr w:rsidR="00D110EC" w14:paraId="3320D507" w14:textId="77777777" w:rsidTr="14C86939">
        <w:trPr/>
        <w:tc>
          <w:tcPr>
            <w:tcW w:w="2477" w:type="dxa"/>
            <w:vAlign w:val="center"/>
          </w:tcPr>
          <w:p w14:paraId="78088287" w14:textId="3A6D5A90" w:rsidR="00D110EC" w:rsidRPr="006608A6" w:rsidRDefault="007335A0" w:rsidP="00C27FB0">
            <w:pPr>
              <w:keepNext w:val="0"/>
              <w:spacing w:after="60"/>
              <w:rPr>
                <w:rFonts w:ascii="Calibri" w:hAnsi="Calibri"/>
                <w:color w:val="1F3864" w:themeColor="accent1" w:themeShade="80"/>
              </w:rPr>
            </w:pPr>
            <w:r>
              <w:rPr>
                <w:rFonts w:ascii="Calibri" w:hAnsi="Calibri"/>
                <w:color w:val="1F3864" w:themeColor="accent1" w:themeShade="80"/>
              </w:rPr>
              <w:t>Factibilidad de desarrollo del Proyecto APT</w:t>
            </w:r>
          </w:p>
        </w:tc>
        <w:tc>
          <w:tcPr>
            <w:tcW w:w="7027" w:type="dxa"/>
            <w:vAlign w:val="center"/>
          </w:tcPr>
          <w:p>
            <w:pPr>
              <w:keepNext w:val="0"/>
              <w:keepLines w:val="0"/>
              <w:spacing w:before="0" w:after="60" w:line="240" w:lineRule="auto"/>
            </w:pPr>
            <w:r/>
            <w:r>
              <w:rPr>
                <w:rFonts w:ascii="Calibri" w:hAnsi="Calibri"/>
                <w:b w:val="0"/>
                <w:i w:val="0"/>
                <w:color w:val="000000"/>
                <w:sz w:val="22"/>
              </w:rPr>
              <w:t>El alcance web y un solo perfil de usuario permiten organizar el desarrollo incremental entre las semanas 3 y 18 del plan del equipo. Se requieren computadores, Internet, repositorio, herramientas de desarrollo, documentos y acceso a los servicios externos. El acceso a la API, la cobertura de Compra Ágil, los costos de inferencia y la disponibilidad del hotel pueden afectar el avance. Se abordarán con verificaciones tempranas, pruebas y priorización. Deben confirmarse las horas del ramo, el presupuesto y las dedicaciones personales; la factibilidad depende de esas definiciones.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keepNext/>
        <w:pageBreakBefore/>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14:paraId="63A75374" w14:textId="77777777" w:rsidTr="00416B89">
        <w:trPr/>
        <w:tc>
          <w:tcPr>
            <w:tcW w:w="9504" w:type="dxa"/>
            <w:vAlign w:val="center"/>
          </w:tcPr>
          <w:p w14:paraId="508A45DF"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c>
          <w:tcPr>
            <w:tcW w:w="9504" w:type="dxa"/>
            <w:shd w:val="clear" w:color="auto" w:fill="D9E2F3" w:themeFill="accent1" w:themeFillTint="33"/>
            <w:vAlign w:val="center"/>
          </w:tcPr>
          <w:p w14:paraId="25396202" w14:textId="77777777" w:rsidR="00D110EC" w:rsidRPr="007621F7" w:rsidRDefault="00D110EC" w:rsidP="00C27FB0">
            <w:pPr>
              <w:pStyle w:val="Piedepgina"/>
              <w:keepNext/>
              <w:spacing w:after="60"/>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2477"/>
        <w:gridCol w:w="7027"/>
      </w:tblGrid>
      <w:tr w:rsidR="00D110EC" w:rsidRPr="00024376" w14:paraId="4C958597" w14:textId="77777777" w:rsidTr="00416B89">
        <w:trPr/>
        <w:tc>
          <w:tcPr>
            <w:tcW w:w="2477" w:type="dxa"/>
            <w:vAlign w:val="center"/>
          </w:tcPr>
          <w:p w14:paraId="13A12FDF" w14:textId="77777777" w:rsidR="00D110EC" w:rsidRPr="00CA22A9" w:rsidRDefault="00D110EC" w:rsidP="00C27FB0">
            <w:pPr>
              <w:keepNext w:val="0"/>
              <w:spacing w:after="60"/>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7027" w:type="dxa"/>
            <w:vAlign w:val="center"/>
          </w:tcPr>
          <w:p>
            <w:pPr>
              <w:keepNext w:val="0"/>
              <w:keepLines w:val="0"/>
              <w:spacing w:before="0" w:after="60" w:line="240" w:lineRule="auto"/>
            </w:pPr>
            <w:r/>
            <w:r>
              <w:rPr>
                <w:rFonts w:ascii="Calibri" w:hAnsi="Calibri"/>
                <w:b w:val="0"/>
                <w:i w:val="0"/>
                <w:color w:val="000000"/>
                <w:sz w:val="22"/>
              </w:rPr>
              <w:t>Desarrollar una aplicación web que obtenga y analice automáticamente oportunidades de Mercado Público y Compra Ágil, según los criterios del Hotel Plaza San Francisco, para apoyar al Encargado de Licitaciones en su evaluación y seguimiento comercial.</w:t>
            </w:r>
          </w:p>
        </w:tc>
      </w:tr>
      <w:tr w:rsidR="00D110EC" w14:paraId="543120E8" w14:textId="77777777" w:rsidTr="00416B89">
        <w:trPr/>
        <w:tc>
          <w:tcPr>
            <w:tcW w:w="2477" w:type="dxa"/>
            <w:vAlign w:val="center"/>
          </w:tcPr>
          <w:p w14:paraId="1F32E0C0" w14:textId="77777777" w:rsidR="00D110EC" w:rsidRPr="00CA22A9" w:rsidRDefault="00D110EC" w:rsidP="00C27FB0">
            <w:pPr>
              <w:keepNext w:val="0"/>
              <w:spacing w:after="60"/>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7027" w:type="dxa"/>
            <w:vAlign w:val="center"/>
          </w:tcPr>
          <w:p>
            <w:pPr>
              <w:keepNext w:val="0"/>
              <w:keepLines w:val="0"/>
              <w:spacing w:before="0" w:after="60" w:line="240" w:lineRule="auto"/>
            </w:pPr>
            <w:r/>
            <w:r>
              <w:rPr>
                <w:rFonts w:ascii="Calibri" w:hAnsi="Calibri"/>
                <w:b w:val="0"/>
                <w:i w:val="0"/>
                <w:color w:val="000000"/>
                <w:sz w:val="22"/>
              </w:rPr>
              <w:t>1. Definir y mantener los requisitos, los casos de uso y los criterios de aceptación con trazabilidad entre la necesidad del hotel y la solución.</w:t>
            </w:r>
          </w:p>
          <w:p>
            <w:pPr>
              <w:keepNext w:val="0"/>
              <w:keepLines w:val="0"/>
              <w:spacing w:before="0" w:after="60" w:line="240" w:lineRule="auto"/>
            </w:pPr>
            <w:r>
              <w:rPr>
                <w:rFonts w:ascii="Calibri" w:hAnsi="Calibri"/>
                <w:b w:val="0"/>
                <w:i w:val="0"/>
                <w:color w:val="000000"/>
                <w:sz w:val="22"/>
              </w:rPr>
              <w:t>2. Integrar la obtención automática de oportunidades y su validación de identidad mediante la fuente habilitada de Mercado Público y Compra Ágil.</w:t>
            </w:r>
          </w:p>
          <w:p>
            <w:pPr>
              <w:keepNext w:val="0"/>
              <w:keepLines w:val="0"/>
              <w:spacing w:before="0" w:after="60" w:line="240" w:lineRule="auto"/>
            </w:pPr>
            <w:r>
              <w:rPr>
                <w:rFonts w:ascii="Calibri" w:hAnsi="Calibri"/>
                <w:b w:val="0"/>
                <w:i w:val="0"/>
                <w:color w:val="000000"/>
                <w:sz w:val="22"/>
              </w:rPr>
              <w:t>3. Implementar el filtrado semántico y la selección final por IA según los parámetros configurados por el Encargado de Licitaciones.</w:t>
            </w:r>
          </w:p>
          <w:p>
            <w:pPr>
              <w:keepNext w:val="0"/>
              <w:keepLines w:val="0"/>
              <w:spacing w:before="0" w:after="60" w:line="240" w:lineRule="auto"/>
            </w:pPr>
            <w:r>
              <w:rPr>
                <w:rFonts w:ascii="Calibri" w:hAnsi="Calibri"/>
                <w:b w:val="0"/>
                <w:i w:val="0"/>
                <w:color w:val="000000"/>
                <w:sz w:val="22"/>
              </w:rPr>
              <w:t>4. Generar un resumen ejecutivo de las bases y TDR y extraer servicios, fechas críticas, presupuesto y requisitos administrativos para su consulta.</w:t>
            </w:r>
          </w:p>
          <w:p>
            <w:pPr>
              <w:keepNext w:val="0"/>
              <w:keepLines w:val="0"/>
              <w:spacing w:before="0" w:after="60" w:line="240" w:lineRule="auto"/>
            </w:pPr>
            <w:r>
              <w:rPr>
                <w:rFonts w:ascii="Calibri" w:hAnsi="Calibri"/>
                <w:b w:val="0"/>
                <w:i w:val="0"/>
                <w:color w:val="000000"/>
                <w:sz w:val="22"/>
              </w:rPr>
              <w:t>5. Implementar la revisión de admisibilidad, la evaluación presupuestaria, el seguimiento por estados, el tablero de control y los informes de gestión.</w:t>
            </w:r>
          </w:p>
          <w:p>
            <w:pPr>
              <w:keepNext w:val="0"/>
              <w:keepLines w:val="0"/>
              <w:spacing w:before="0" w:after="60" w:line="240" w:lineRule="auto"/>
            </w:pPr>
            <w:r>
              <w:rPr>
                <w:rFonts w:ascii="Calibri" w:hAnsi="Calibri"/>
                <w:b w:val="0"/>
                <w:i w:val="0"/>
                <w:color w:val="000000"/>
                <w:sz w:val="22"/>
              </w:rPr>
              <w:t>6. Verificar los RF y RNF mediante pruebas documentadas y entregar el sistema integrado con documentación técnica y de uso.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14:paraId="4928D82D" w14:textId="77777777" w:rsidTr="00416B89">
        <w:trPr/>
        <w:tc>
          <w:tcPr>
            <w:tcW w:w="9504" w:type="dxa"/>
            <w:vAlign w:val="center"/>
          </w:tcPr>
          <w:p w14:paraId="06C18570"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c>
          <w:tcPr>
            <w:tcW w:w="9504" w:type="dxa"/>
            <w:shd w:val="clear" w:color="auto" w:fill="D9E2F3" w:themeFill="accent1" w:themeFillTint="33"/>
            <w:vAlign w:val="center"/>
          </w:tcPr>
          <w:p w14:paraId="3EFA22EB" w14:textId="6627C9AC" w:rsidR="00D110EC" w:rsidRPr="00874D16" w:rsidRDefault="008069D0" w:rsidP="009B74E2">
            <w:pPr>
              <w:pStyle w:val="Piedepgina"/>
              <w:keepNext/>
              <w:spacing w:after="60"/>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rsidRPr="00A337B2" w14:paraId="3E112822" w14:textId="77777777" w:rsidTr="00416B89">
        <w:trPr/>
        <w:tc>
          <w:tcPr>
            <w:tcW w:w="9504" w:type="dxa"/>
            <w:vAlign w:val="center"/>
          </w:tcPr>
          <w:p w14:paraId="3DCB5F3B" w14:textId="5C1B7144" w:rsidR="00D110EC" w:rsidRPr="00A337B2" w:rsidRDefault="00D110EC" w:rsidP="00C27FB0">
            <w:pPr>
              <w:keepNext w:val="0"/>
              <w:spacing w:after="60"/>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c>
          <w:tcPr>
            <w:tcW w:w="9504" w:type="dxa"/>
            <w:vAlign w:val="center"/>
          </w:tcPr>
          <w:p>
            <w:pPr>
              <w:keepNext w:val="0"/>
              <w:keepLines w:val="0"/>
              <w:spacing w:before="0" w:after="60" w:line="240" w:lineRule="auto"/>
            </w:pPr>
            <w:r/>
            <w:r>
              <w:rPr>
                <w:rFonts w:ascii="Calibri" w:hAnsi="Calibri"/>
                <w:b w:val="0"/>
                <w:i w:val="0"/>
                <w:color w:val="000000"/>
                <w:sz w:val="22"/>
              </w:rPr>
              <w:t>Desarrollo iterativo e incremental mediante el backlog, las épicas, las historias y los sprints del equipo. Cada ciclo seleccionará tareas, implementará un incremento y lo revisará contra los requisitos, registrando ajustes e impedimentos.</w:t>
            </w:r>
          </w:p>
          <w:p>
            <w:pPr>
              <w:keepNext w:val="0"/>
              <w:keepLines w:val="0"/>
              <w:spacing w:before="0" w:after="60" w:line="240" w:lineRule="auto"/>
            </w:pPr>
            <w:r>
              <w:rPr>
                <w:rFonts w:ascii="Calibri" w:hAnsi="Calibri"/>
                <w:b w:val="0"/>
                <w:i w:val="0"/>
                <w:color w:val="000000"/>
                <w:sz w:val="22"/>
              </w:rPr>
              <w:t>Etapas: definición y levantamiento; diseño de CU, arquitectura, datos y pantallas; obtención, filtro, validación y análisis; integración de evaluación y reportería; pruebas, corrección y entrega. Configurar el LLM no presupone entrenar un modelo propio.</w:t>
            </w:r>
          </w:p>
          <w:p>
            <w:pPr>
              <w:keepNext w:val="0"/>
              <w:keepLines w:val="0"/>
              <w:spacing w:before="0" w:after="60" w:line="240" w:lineRule="auto"/>
            </w:pPr>
            <w:r>
              <w:rPr>
                <w:rFonts w:ascii="Calibri" w:hAnsi="Calibri"/>
                <w:b w:val="0"/>
                <w:i w:val="0"/>
                <w:color w:val="000000"/>
                <w:sz w:val="22"/>
              </w:rPr>
              <w:t>La matriz RACI contempla coordinación, UX/UI, backend, IA/NLP, datos y QA. El Gantt asigna el estudio de mercado a Diego Sandoval y las actividades iniciales y la entrega a todo el equipo. Los responsables nominales restantes, incluido mi rol específico, deben acordarse con el grupo.</w:t>
            </w:r>
          </w:p>
          <w:p>
            <w:pPr>
              <w:keepNext w:val="0"/>
              <w:keepLines w:val="0"/>
              <w:spacing w:before="0" w:after="60" w:line="240" w:lineRule="auto"/>
            </w:pPr>
            <w:r>
              <w:rPr>
                <w:rFonts w:ascii="Calibri" w:hAnsi="Calibri"/>
                <w:b w:val="0"/>
                <w:i w:val="0"/>
                <w:color w:val="000000"/>
                <w:sz w:val="22"/>
              </w:rPr>
              <w:t>Se contrastarán datos y resúmenes con sus fuentes, se probarán flujos normales y excepciones y se registrarán correcciones. Las evidencias y los criterios de aceptación requieren revisión con el docente y el hotel.</w:t>
            </w:r>
          </w:p>
        </w:tc>
      </w:tr>
    </w:tbl>
    <w:p>
      <w:pPr>
        <w:keepNext/>
        <w:pageBreakBefore/>
        <w:spacing w:before="0" w:after="0" w:line="20" w:lineRule="exact"/>
      </w:pPr>
      <w:r/>
      <w:r>
        <w:rPr>
          <w:sz w:val="2"/>
        </w:rPr>
      </w:r>
    </w:p>
    <w:tbl>
      <w:tblPr>
        <w:tblStyle w:val="Tablaconcuadrcula"/>
        <w:tblW w:w="9504"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9504"/>
      </w:tblGrid>
      <w:tr w:rsidR="00D110EC" w14:paraId="6B0A29E2" w14:textId="77777777" w:rsidTr="00416B89">
        <w:trPr/>
        <w:tc>
          <w:tcPr>
            <w:tcW w:w="9504" w:type="dxa"/>
            <w:vAlign w:val="center"/>
          </w:tcPr>
          <w:p w14:paraId="1D554379" w14:textId="59A00677" w:rsidR="00D110EC" w:rsidRPr="00BF2EA6" w:rsidRDefault="00E20DFE" w:rsidP="00C27FB0">
            <w:pPr>
              <w:keepNext/>
              <w:pageBreakBefore w:val="0"/>
              <w:spacing w:after="60"/>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c>
          <w:tcPr>
            <w:tcW w:w="9504" w:type="dxa"/>
            <w:shd w:val="clear" w:color="auto" w:fill="D9E2F3" w:themeFill="accent1" w:themeFillTint="33"/>
            <w:vAlign w:val="center"/>
          </w:tcPr>
          <w:p w14:paraId="7FF5B464" w14:textId="6B24F27F" w:rsidR="00D110EC" w:rsidRPr="000533A4" w:rsidRDefault="00756A26" w:rsidP="000533A4">
            <w:pPr>
              <w:keepNext/>
              <w:spacing w:after="6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p>
      <w:pPr>
        <w:spacing w:after="80"/>
      </w:pPr>
      <w:r>
        <w:t>Evidencias propuestas para revisión con el docente. No se registran como aprobadas ni como resultados ya obtenidos.</w:t>
      </w:r>
    </w:p>
    <w:tbl>
      <w:tblPr>
        <w:tblStyle w:val="Tablaconcuadrcula"/>
        <w:tblW w:w="9533"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1728"/>
        <w:gridCol w:w="1843"/>
        <w:gridCol w:w="3254"/>
        <w:gridCol w:w="2707"/>
      </w:tblGrid>
      <w:tr w:rsidR="00D110EC" w:rsidRPr="00CA29F2" w14:paraId="276086DE" w14:textId="77777777" w:rsidTr="009D04DC">
        <w:trPr>
          <w:tblHeader/>
          <w:tblHeader/>
        </w:trPr>
        <w:tc>
          <w:tcPr>
            <w:tcW w:w="1728" w:type="dxa"/>
            <w:vAlign w:val="center"/>
            <w:shd w:fill="DCE6F1"/>
          </w:tcPr>
          <w:p w14:paraId="678983A4" w14:textId="77777777" w:rsidR="00D110EC" w:rsidRDefault="00D110EC" w:rsidP="00C27FB0">
            <w:pPr>
              <w:pStyle w:val="Piedepgina"/>
              <w:keepNext w:val="0"/>
              <w:spacing w:after="60"/>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keepNext w:val="0"/>
              <w:spacing w:after="60"/>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shd w:fill="DCE6F1"/>
          </w:tcPr>
          <w:p w14:paraId="18215A0A" w14:textId="77777777" w:rsidR="00D110EC" w:rsidRPr="00CA29F2" w:rsidRDefault="00D110EC" w:rsidP="00C27FB0">
            <w:pPr>
              <w:pStyle w:val="Piedepgina"/>
              <w:keepNext w:val="0"/>
              <w:spacing w:after="60"/>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254" w:type="dxa"/>
            <w:vAlign w:val="center"/>
            <w:shd w:fill="DCE6F1"/>
          </w:tcPr>
          <w:p w14:paraId="5287F37E" w14:textId="77777777" w:rsidR="00D110EC" w:rsidRPr="00CA29F2" w:rsidRDefault="00D110EC" w:rsidP="00C27FB0">
            <w:pPr>
              <w:pStyle w:val="Piedepgina"/>
              <w:keepNext w:val="0"/>
              <w:spacing w:after="60"/>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707" w:type="dxa"/>
            <w:vAlign w:val="center"/>
            <w:shd w:fill="DCE6F1"/>
          </w:tcPr>
          <w:p w14:paraId="44951C03" w14:textId="77777777" w:rsidR="00D110EC" w:rsidRPr="00CA29F2" w:rsidRDefault="00D110EC" w:rsidP="00C27FB0">
            <w:pPr>
              <w:pStyle w:val="Piedepgina"/>
              <w:keepNext w:val="0"/>
              <w:spacing w:after="60"/>
              <w:jc w:val="center"/>
              <w:rPr>
                <w:rFonts w:ascii="Calibri" w:hAnsi="Calibri"/>
                <w:b/>
                <w:color w:val="1F3864" w:themeColor="accent1" w:themeShade="80"/>
              </w:rPr>
            </w:pPr>
            <w:r w:rsidRPr="00CA29F2">
              <w:rPr>
                <w:rFonts w:ascii="Calibri" w:hAnsi="Calibri"/>
                <w:b/>
                <w:color w:val="1F3864" w:themeColor="accent1" w:themeShade="80"/>
              </w:rPr>
              <w:t>Justificación</w:t>
            </w:r>
          </w:p>
        </w:tc>
      </w:tr>
      <w:tr>
        <w:trPr/>
        <w:tc>
          <w:tcPr>
            <w:tcW w:type="dxa" w:w="1728"/>
            <w:vAlign w:val="center"/>
          </w:tcPr>
          <w:p>
            <w:pPr>
              <w:keepNext w:val="0"/>
              <w:keepLines w:val="0"/>
              <w:spacing w:before="0" w:after="60" w:line="240" w:lineRule="auto"/>
            </w:pPr>
            <w:r/>
            <w:r>
              <w:rPr>
                <w:rFonts w:ascii="Calibri" w:hAnsi="Calibri"/>
                <w:b w:val="0"/>
                <w:i w:val="0"/>
                <w:color w:val="000000"/>
                <w:sz w:val="20"/>
              </w:rPr>
              <w:t>Avance</w:t>
            </w:r>
          </w:p>
        </w:tc>
        <w:tc>
          <w:tcPr>
            <w:tcW w:type="dxa" w:w="1843"/>
            <w:vAlign w:val="center"/>
          </w:tcPr>
          <w:p>
            <w:pPr>
              <w:keepNext w:val="0"/>
              <w:keepLines w:val="0"/>
              <w:spacing w:before="0" w:after="60" w:line="240" w:lineRule="auto"/>
            </w:pPr>
            <w:r/>
            <w:r>
              <w:rPr>
                <w:rFonts w:ascii="Calibri" w:hAnsi="Calibri"/>
                <w:b w:val="0"/>
                <w:i w:val="0"/>
                <w:color w:val="000000"/>
                <w:sz w:val="20"/>
              </w:rPr>
              <w:t>Definición y planificación</w:t>
            </w:r>
          </w:p>
        </w:tc>
        <w:tc>
          <w:tcPr>
            <w:tcW w:type="dxa" w:w="3254"/>
            <w:vAlign w:val="center"/>
          </w:tcPr>
          <w:p>
            <w:pPr>
              <w:keepNext w:val="0"/>
              <w:keepLines w:val="0"/>
              <w:spacing w:before="0" w:after="60" w:line="240" w:lineRule="auto"/>
            </w:pPr>
            <w:r/>
            <w:r>
              <w:rPr>
                <w:rFonts w:ascii="Calibri" w:hAnsi="Calibri"/>
                <w:b w:val="0"/>
                <w:i w:val="0"/>
                <w:color w:val="000000"/>
                <w:sz w:val="20"/>
              </w:rPr>
              <w:t>Guía APT, RF/RNF, lista de CU, épicas, historias, Sprint y Gantt.</w:t>
            </w:r>
          </w:p>
        </w:tc>
        <w:tc>
          <w:tcPr>
            <w:tcW w:type="dxa" w:w="2707"/>
            <w:vAlign w:val="center"/>
          </w:tcPr>
          <w:p>
            <w:pPr>
              <w:keepNext w:val="0"/>
              <w:keepLines w:val="0"/>
              <w:spacing w:before="0" w:after="60" w:line="240" w:lineRule="auto"/>
            </w:pPr>
            <w:r/>
            <w:r>
              <w:rPr>
                <w:rFonts w:ascii="Calibri" w:hAnsi="Calibri"/>
                <w:b w:val="0"/>
                <w:i w:val="0"/>
                <w:color w:val="000000"/>
                <w:sz w:val="20"/>
              </w:rPr>
              <w:t>Evidencia alcance, prioridades y factibilidad; C2.</w:t>
            </w:r>
          </w:p>
        </w:tc>
      </w:tr>
      <w:tr>
        <w:trPr/>
        <w:tc>
          <w:tcPr>
            <w:tcW w:type="dxa" w:w="1728"/>
            <w:vAlign w:val="center"/>
          </w:tcPr>
          <w:p>
            <w:pPr>
              <w:keepNext w:val="0"/>
              <w:keepLines w:val="0"/>
              <w:spacing w:before="0" w:after="60" w:line="240" w:lineRule="auto"/>
            </w:pPr>
            <w:r/>
            <w:r>
              <w:rPr>
                <w:rFonts w:ascii="Calibri" w:hAnsi="Calibri"/>
                <w:b w:val="0"/>
                <w:i w:val="0"/>
                <w:color w:val="000000"/>
                <w:sz w:val="20"/>
              </w:rPr>
              <w:t>Avance</w:t>
            </w:r>
          </w:p>
        </w:tc>
        <w:tc>
          <w:tcPr>
            <w:tcW w:type="dxa" w:w="1843"/>
            <w:vAlign w:val="center"/>
          </w:tcPr>
          <w:p>
            <w:pPr>
              <w:keepNext w:val="0"/>
              <w:keepLines w:val="0"/>
              <w:spacing w:before="0" w:after="60" w:line="240" w:lineRule="auto"/>
            </w:pPr>
            <w:r/>
            <w:r>
              <w:rPr>
                <w:rFonts w:ascii="Calibri" w:hAnsi="Calibri"/>
                <w:b w:val="0"/>
                <w:i w:val="0"/>
                <w:color w:val="000000"/>
                <w:sz w:val="20"/>
              </w:rPr>
              <w:t>Diseño de la solución</w:t>
            </w:r>
          </w:p>
        </w:tc>
        <w:tc>
          <w:tcPr>
            <w:tcW w:type="dxa" w:w="3254"/>
            <w:vAlign w:val="center"/>
          </w:tcPr>
          <w:p>
            <w:pPr>
              <w:keepNext w:val="0"/>
              <w:keepLines w:val="0"/>
              <w:spacing w:before="0" w:after="60" w:line="240" w:lineRule="auto"/>
            </w:pPr>
            <w:r/>
            <w:r>
              <w:rPr>
                <w:rFonts w:ascii="Calibri" w:hAnsi="Calibri"/>
                <w:b w:val="0"/>
                <w:i w:val="0"/>
                <w:color w:val="000000"/>
                <w:sz w:val="20"/>
              </w:rPr>
              <w:t>Diagramas general y unitarios, plantillas, arquitectura y mockups; modelo de datos previsto.</w:t>
            </w:r>
          </w:p>
        </w:tc>
        <w:tc>
          <w:tcPr>
            <w:tcW w:type="dxa" w:w="2707"/>
            <w:vAlign w:val="center"/>
          </w:tcPr>
          <w:p>
            <w:pPr>
              <w:keepNext w:val="0"/>
              <w:keepLines w:val="0"/>
              <w:spacing w:before="0" w:after="60" w:line="240" w:lineRule="auto"/>
            </w:pPr>
            <w:r/>
            <w:r>
              <w:rPr>
                <w:rFonts w:ascii="Calibri" w:hAnsi="Calibri"/>
                <w:b w:val="0"/>
                <w:i w:val="0"/>
                <w:color w:val="000000"/>
                <w:sz w:val="20"/>
              </w:rPr>
              <w:t>Relaciona procesos, datos e interfaz con los requisitos; C3 y C4.</w:t>
            </w:r>
          </w:p>
        </w:tc>
      </w:tr>
      <w:tr>
        <w:trPr/>
        <w:tc>
          <w:tcPr>
            <w:tcW w:type="dxa" w:w="1728"/>
            <w:vAlign w:val="center"/>
          </w:tcPr>
          <w:p>
            <w:pPr>
              <w:keepNext w:val="0"/>
              <w:keepLines w:val="0"/>
              <w:spacing w:before="0" w:after="60" w:line="240" w:lineRule="auto"/>
            </w:pPr>
            <w:r/>
            <w:r>
              <w:rPr>
                <w:rFonts w:ascii="Calibri" w:hAnsi="Calibri"/>
                <w:b w:val="0"/>
                <w:i w:val="0"/>
                <w:color w:val="000000"/>
                <w:sz w:val="20"/>
              </w:rPr>
              <w:t>Avance</w:t>
            </w:r>
          </w:p>
        </w:tc>
        <w:tc>
          <w:tcPr>
            <w:tcW w:type="dxa" w:w="1843"/>
            <w:vAlign w:val="center"/>
          </w:tcPr>
          <w:p>
            <w:pPr>
              <w:keepNext w:val="0"/>
              <w:keepLines w:val="0"/>
              <w:spacing w:before="0" w:after="60" w:line="240" w:lineRule="auto"/>
            </w:pPr>
            <w:r/>
            <w:r>
              <w:rPr>
                <w:rFonts w:ascii="Calibri" w:hAnsi="Calibri"/>
                <w:b w:val="0"/>
                <w:i w:val="0"/>
                <w:color w:val="000000"/>
                <w:sz w:val="20"/>
              </w:rPr>
              <w:t>Incrementos y pruebas parciales</w:t>
            </w:r>
          </w:p>
        </w:tc>
        <w:tc>
          <w:tcPr>
            <w:tcW w:type="dxa" w:w="3254"/>
            <w:vAlign w:val="center"/>
          </w:tcPr>
          <w:p>
            <w:pPr>
              <w:keepNext w:val="0"/>
              <w:keepLines w:val="0"/>
              <w:spacing w:before="0" w:after="60" w:line="240" w:lineRule="auto"/>
            </w:pPr>
            <w:r/>
            <w:r>
              <w:rPr>
                <w:rFonts w:ascii="Calibri" w:hAnsi="Calibri"/>
                <w:b w:val="0"/>
                <w:i w:val="0"/>
                <w:color w:val="000000"/>
                <w:sz w:val="20"/>
              </w:rPr>
              <w:t>Código, demostraciones y pruebas de obtención, filtro y análisis documental.</w:t>
            </w:r>
          </w:p>
        </w:tc>
        <w:tc>
          <w:tcPr>
            <w:tcW w:type="dxa" w:w="2707"/>
            <w:vAlign w:val="center"/>
          </w:tcPr>
          <w:p>
            <w:pPr>
              <w:keepNext w:val="0"/>
              <w:keepLines w:val="0"/>
              <w:spacing w:before="0" w:after="60" w:line="240" w:lineRule="auto"/>
            </w:pPr>
            <w:r/>
            <w:r>
              <w:rPr>
                <w:rFonts w:ascii="Calibri" w:hAnsi="Calibri"/>
                <w:b w:val="0"/>
                <w:i w:val="0"/>
                <w:color w:val="000000"/>
                <w:sz w:val="20"/>
              </w:rPr>
              <w:t>Permite revisar integración y exactitud con datos de fuente; C1 y C4.</w:t>
            </w:r>
          </w:p>
        </w:tc>
      </w:tr>
      <w:tr>
        <w:trPr/>
        <w:tc>
          <w:tcPr>
            <w:tcW w:type="dxa" w:w="1728"/>
            <w:vAlign w:val="center"/>
          </w:tcPr>
          <w:p>
            <w:pPr>
              <w:keepNext w:val="0"/>
              <w:keepLines w:val="0"/>
              <w:spacing w:before="0" w:after="60" w:line="240" w:lineRule="auto"/>
            </w:pPr>
            <w:r/>
            <w:r>
              <w:rPr>
                <w:rFonts w:ascii="Calibri" w:hAnsi="Calibri"/>
                <w:b w:val="0"/>
                <w:i w:val="0"/>
                <w:color w:val="000000"/>
                <w:sz w:val="20"/>
              </w:rPr>
              <w:t>Final</w:t>
            </w:r>
          </w:p>
        </w:tc>
        <w:tc>
          <w:tcPr>
            <w:tcW w:type="dxa" w:w="1843"/>
            <w:vAlign w:val="center"/>
          </w:tcPr>
          <w:p>
            <w:pPr>
              <w:keepNext w:val="0"/>
              <w:keepLines w:val="0"/>
              <w:spacing w:before="0" w:after="60" w:line="240" w:lineRule="auto"/>
            </w:pPr>
            <w:r/>
            <w:r>
              <w:rPr>
                <w:rFonts w:ascii="Calibri" w:hAnsi="Calibri"/>
                <w:b w:val="0"/>
                <w:i w:val="0"/>
                <w:color w:val="000000"/>
                <w:sz w:val="20"/>
              </w:rPr>
              <w:t>MVP integrado y registro de QA</w:t>
            </w:r>
          </w:p>
        </w:tc>
        <w:tc>
          <w:tcPr>
            <w:tcW w:type="dxa" w:w="3254"/>
            <w:vAlign w:val="center"/>
          </w:tcPr>
          <w:p>
            <w:pPr>
              <w:keepNext w:val="0"/>
              <w:keepLines w:val="0"/>
              <w:spacing w:before="0" w:after="60" w:line="240" w:lineRule="auto"/>
            </w:pPr>
            <w:r/>
            <w:r>
              <w:rPr>
                <w:rFonts w:ascii="Calibri" w:hAnsi="Calibri"/>
                <w:b w:val="0"/>
                <w:i w:val="0"/>
                <w:color w:val="000000"/>
                <w:sz w:val="20"/>
              </w:rPr>
              <w:t>Sistema con los 11 CU, pruebas de los 20 RF y 6 RNF y registro de correcciones.</w:t>
            </w:r>
          </w:p>
        </w:tc>
        <w:tc>
          <w:tcPr>
            <w:tcW w:type="dxa" w:w="2707"/>
            <w:vAlign w:val="center"/>
          </w:tcPr>
          <w:p>
            <w:pPr>
              <w:keepNext w:val="0"/>
              <w:keepLines w:val="0"/>
              <w:spacing w:before="0" w:after="60" w:line="240" w:lineRule="auto"/>
            </w:pPr>
            <w:r/>
            <w:r>
              <w:rPr>
                <w:rFonts w:ascii="Calibri" w:hAnsi="Calibri"/>
                <w:b w:val="0"/>
                <w:i w:val="0"/>
                <w:color w:val="000000"/>
                <w:sz w:val="20"/>
              </w:rPr>
              <w:t>Permite verificar cobertura y funcionamiento; C1, C3 y C4.</w:t>
            </w:r>
          </w:p>
        </w:tc>
      </w:tr>
      <w:tr>
        <w:trPr/>
        <w:tc>
          <w:tcPr>
            <w:tcW w:type="dxa" w:w="1728"/>
            <w:vAlign w:val="center"/>
          </w:tcPr>
          <w:p>
            <w:pPr>
              <w:keepNext w:val="0"/>
              <w:keepLines w:val="0"/>
              <w:spacing w:before="0" w:after="60" w:line="240" w:lineRule="auto"/>
            </w:pPr>
            <w:r/>
            <w:r>
              <w:rPr>
                <w:rFonts w:ascii="Calibri" w:hAnsi="Calibri"/>
                <w:b w:val="0"/>
                <w:i w:val="0"/>
                <w:color w:val="000000"/>
                <w:sz w:val="20"/>
              </w:rPr>
              <w:t>Final</w:t>
            </w:r>
          </w:p>
        </w:tc>
        <w:tc>
          <w:tcPr>
            <w:tcW w:type="dxa" w:w="1843"/>
            <w:vAlign w:val="center"/>
          </w:tcPr>
          <w:p>
            <w:pPr>
              <w:keepNext w:val="0"/>
              <w:keepLines w:val="0"/>
              <w:spacing w:before="0" w:after="60" w:line="240" w:lineRule="auto"/>
            </w:pPr>
            <w:r/>
            <w:r>
              <w:rPr>
                <w:rFonts w:ascii="Calibri" w:hAnsi="Calibri"/>
                <w:b w:val="0"/>
                <w:i w:val="0"/>
                <w:color w:val="000000"/>
                <w:sz w:val="20"/>
              </w:rPr>
              <w:t>Documentación y cierre</w:t>
            </w:r>
          </w:p>
        </w:tc>
        <w:tc>
          <w:tcPr>
            <w:tcW w:type="dxa" w:w="3254"/>
            <w:vAlign w:val="center"/>
          </w:tcPr>
          <w:p>
            <w:pPr>
              <w:keepNext w:val="0"/>
              <w:keepLines w:val="0"/>
              <w:spacing w:before="0" w:after="60" w:line="240" w:lineRule="auto"/>
            </w:pPr>
            <w:r/>
            <w:r>
              <w:rPr>
                <w:rFonts w:ascii="Calibri" w:hAnsi="Calibri"/>
                <w:b w:val="0"/>
                <w:i w:val="0"/>
                <w:color w:val="000000"/>
                <w:sz w:val="20"/>
              </w:rPr>
              <w:t>Informe final, manual técnico y de usuario, presentación y reflexión individual.</w:t>
            </w:r>
          </w:p>
        </w:tc>
        <w:tc>
          <w:tcPr>
            <w:tcW w:type="dxa" w:w="2707"/>
            <w:vAlign w:val="center"/>
          </w:tcPr>
          <w:p>
            <w:pPr>
              <w:keepNext w:val="0"/>
              <w:keepLines w:val="0"/>
              <w:spacing w:before="0" w:after="60" w:line="240" w:lineRule="auto"/>
            </w:pPr>
            <w:r/>
            <w:r>
              <w:rPr>
                <w:rFonts w:ascii="Calibri" w:hAnsi="Calibri"/>
                <w:b w:val="0"/>
                <w:i w:val="0"/>
                <w:color w:val="000000"/>
                <w:sz w:val="20"/>
              </w:rPr>
              <w:t>Explica uso, decisiones, resultados y aprendizaje; C2 y C4.</w:t>
            </w:r>
          </w:p>
        </w:tc>
      </w:tr>
    </w:tbl>
    <w:p w14:paraId="685AEC27" w14:textId="4D238775" w:rsidR="00565AE6" w:rsidRDefault="00565AE6" w:rsidP="00D110EC">
      <w:pPr>
        <w:spacing w:after="0" w:line="360" w:lineRule="auto"/>
        <w:jc w:val="both"/>
        <w:rPr>
          <w:b/>
          <w:sz w:val="24"/>
          <w:szCs w:val="24"/>
        </w:rPr>
      </w:pPr>
    </w:p>
    <w:p>
      <w:pPr>
        <w:sectPr w:rsidR="00D110EC">
          <w:headerReference w:type="default" r:id="rId10"/>
          <w:footerReference w:type="default" r:id="rId13"/>
          <w:pgSz w:w="11906" w:h="16838"/>
          <w:pgMar w:top="1417" w:right="1152" w:bottom="1417" w:left="1152" w:header="708" w:footer="708" w:gutter="0"/>
          <w:cols w:space="708"/>
          <w:docGrid w:linePitch="360"/>
        </w:sectPr>
      </w:pPr>
      <w:r/>
    </w:p>
    <w:tbl>
      <w:tblPr>
        <w:tblStyle w:val="Tablaconcuadrcula"/>
        <w:tblW w:w="15120"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15120"/>
      </w:tblGrid>
      <w:tr w:rsidR="00416B89" w14:paraId="6D4F89C3" w14:textId="77777777" w:rsidTr="00E65CC9">
        <w:trPr/>
        <w:tc>
          <w:tcPr>
            <w:tcW w:w="15120" w:type="dxa"/>
            <w:vAlign w:val="center"/>
          </w:tcPr>
          <w:p w14:paraId="1C07AB9E" w14:textId="0A197ED4" w:rsidR="00416B89" w:rsidRPr="00BF2EA6" w:rsidRDefault="009D04DC" w:rsidP="00E65CC9">
            <w:pPr>
              <w:keepNext/>
              <w:spacing w:after="60"/>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c>
          <w:tcPr>
            <w:tcW w:w="15120" w:type="dxa"/>
            <w:shd w:val="clear" w:color="auto" w:fill="D9E2F3" w:themeFill="accent1" w:themeFillTint="33"/>
            <w:vAlign w:val="center"/>
          </w:tcPr>
          <w:p w14:paraId="1F64F4FA" w14:textId="2A14B6BD" w:rsidR="00416B89" w:rsidRPr="00874D16" w:rsidRDefault="00756A26" w:rsidP="009B74E2">
            <w:pPr>
              <w:pStyle w:val="Piedepgina"/>
              <w:keepNext/>
              <w:spacing w:after="60"/>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p>
      <w:pPr>
        <w:spacing w:after="100"/>
      </w:pPr>
      <w:r>
        <w:t>C1 Pruebas · C2 Gestión de proyectos · C3 Modelamiento de datos · C4 Desarrollo de software. Paquetes consolidados a partir del Gantt y del detalle de Sprint del equipo. Las asignaciones nominales no informadas quedan pendientes.</w:t>
      </w:r>
    </w:p>
    <w:tbl>
      <w:tblPr>
        <w:tblStyle w:val="Tablaconcuadrcula"/>
        <w:tblW w:w="14875"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893"/>
        <w:gridCol w:w="2304"/>
        <w:gridCol w:w="3110"/>
        <w:gridCol w:w="2189"/>
        <w:gridCol w:w="1296"/>
        <w:gridCol w:w="2102"/>
        <w:gridCol w:w="2981"/>
      </w:tblGrid>
      <w:tr w:rsidR="00D110EC" w:rsidRPr="00A337B2" w14:paraId="177290D7" w14:textId="77777777" w:rsidTr="00C27FB0">
        <w:trPr>
          <w:jc w:val="center"/>
          <w:tblHeader/>
        </w:trPr>
        <w:tc>
          <w:tcPr>
            <w:tcW w:w="14875" w:type="dxa"/>
            <w:gridSpan w:val="7"/>
            <w:vAlign w:val="center"/>
            <w:shd w:fill="DCE6F1"/>
          </w:tcPr>
          <w:p w14:paraId="7B4815A0" w14:textId="77777777" w:rsidR="00D110EC" w:rsidRPr="00A337B2" w:rsidRDefault="00D110EC" w:rsidP="00C27FB0">
            <w:pPr>
              <w:keepNext w:val="0"/>
              <w:spacing w:after="60"/>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blHeader/>
        </w:trPr>
        <w:tc>
          <w:tcPr>
            <w:tcW w:w="893" w:type="dxa"/>
            <w:vAlign w:val="center"/>
            <w:shd w:fill="DCE6F1"/>
          </w:tcPr>
          <w:p>
            <w:pPr>
              <w:keepNext w:val="0"/>
              <w:keepLines w:val="0"/>
              <w:spacing w:before="0" w:after="60" w:line="240" w:lineRule="auto"/>
            </w:pPr>
            <w:r/>
            <w:r>
              <w:rPr>
                <w:rFonts w:ascii="Calibri" w:hAnsi="Calibri"/>
                <w:b/>
                <w:i w:val="0"/>
                <w:color w:val="000000"/>
                <w:sz w:val="22"/>
              </w:rPr>
              <w:t>Comp.</w:t>
            </w:r>
          </w:p>
        </w:tc>
        <w:tc>
          <w:tcPr>
            <w:tcW w:w="2304" w:type="dxa"/>
            <w:vAlign w:val="center"/>
            <w:shd w:fill="DCE6F1"/>
          </w:tcPr>
          <w:p>
            <w:pPr>
              <w:keepNext w:val="0"/>
              <w:keepLines w:val="0"/>
              <w:spacing w:before="0" w:after="60" w:line="240" w:lineRule="auto"/>
            </w:pPr>
            <w:r/>
            <w:r>
              <w:rPr>
                <w:rFonts w:ascii="Calibri" w:hAnsi="Calibri"/>
                <w:b/>
                <w:i w:val="0"/>
                <w:color w:val="000000"/>
                <w:sz w:val="22"/>
              </w:rPr>
              <w:t>Actividad</w:t>
            </w:r>
          </w:p>
        </w:tc>
        <w:tc>
          <w:tcPr>
            <w:tcW w:w="3110" w:type="dxa"/>
            <w:vAlign w:val="center"/>
            <w:shd w:fill="DCE6F1"/>
          </w:tcPr>
          <w:p>
            <w:pPr>
              <w:keepNext w:val="0"/>
              <w:keepLines w:val="0"/>
              <w:spacing w:before="0" w:after="60" w:line="240" w:lineRule="auto"/>
            </w:pPr>
            <w:r/>
            <w:r>
              <w:rPr>
                <w:rFonts w:ascii="Calibri" w:hAnsi="Calibri"/>
                <w:b/>
                <w:i w:val="0"/>
                <w:color w:val="000000"/>
                <w:sz w:val="22"/>
              </w:rPr>
              <w:t>Descripción</w:t>
            </w:r>
          </w:p>
        </w:tc>
        <w:tc>
          <w:tcPr>
            <w:tcW w:w="2189" w:type="dxa"/>
            <w:vAlign w:val="center"/>
            <w:shd w:fill="DCE6F1"/>
          </w:tcPr>
          <w:p>
            <w:pPr>
              <w:keepNext w:val="0"/>
              <w:keepLines w:val="0"/>
              <w:spacing w:before="0" w:after="60" w:line="240" w:lineRule="auto"/>
            </w:pPr>
            <w:r/>
            <w:r>
              <w:rPr>
                <w:rFonts w:ascii="Calibri" w:hAnsi="Calibri"/>
                <w:b/>
                <w:i w:val="0"/>
                <w:color w:val="000000"/>
                <w:sz w:val="22"/>
              </w:rPr>
              <w:t>Recursos</w:t>
            </w:r>
          </w:p>
        </w:tc>
        <w:tc>
          <w:tcPr>
            <w:tcW w:w="1296" w:type="dxa"/>
            <w:tcBorders>
              <w:right w:val="single" w:sz="4" w:space="0" w:color="FFFFFF" w:themeColor="background1"/>
            </w:tcBorders>
            <w:vAlign w:val="center"/>
            <w:shd w:fill="DCE6F1"/>
          </w:tcPr>
          <w:p>
            <w:pPr>
              <w:keepNext w:val="0"/>
              <w:keepLines w:val="0"/>
              <w:spacing w:before="0" w:after="60" w:line="240" w:lineRule="auto"/>
            </w:pPr>
            <w:r/>
            <w:r>
              <w:rPr>
                <w:rFonts w:ascii="Calibri" w:hAnsi="Calibri"/>
                <w:b/>
                <w:i w:val="0"/>
                <w:color w:val="000000"/>
                <w:sz w:val="22"/>
              </w:rPr>
              <w:t>Duración</w:t>
            </w:r>
          </w:p>
        </w:tc>
        <w:tc>
          <w:tcPr>
            <w:tcW w:w="2102" w:type="dxa"/>
            <w:tcBorders>
              <w:left w:val="single" w:sz="4" w:space="0" w:color="FFFFFF" w:themeColor="background1"/>
            </w:tcBorders>
            <w:shd w:val="clear" w:color="auto" w:fill="DCE6F1" w:themeFill="background1" w:themeFillShade="D9"/>
            <w:vAlign w:val="center"/>
          </w:tcPr>
          <w:p>
            <w:pPr>
              <w:keepNext w:val="0"/>
              <w:keepLines w:val="0"/>
              <w:spacing w:before="0" w:after="60" w:line="240" w:lineRule="auto"/>
            </w:pPr>
            <w:r/>
            <w:r>
              <w:rPr>
                <w:rFonts w:ascii="Calibri" w:hAnsi="Calibri"/>
                <w:b/>
                <w:i w:val="0"/>
                <w:color w:val="000000"/>
                <w:sz w:val="22"/>
              </w:rPr>
              <w:t>Responsable</w:t>
            </w:r>
            <w:r>
              <w:footnoteReference w:id="1"/>
            </w:r>
          </w:p>
        </w:tc>
        <w:tc>
          <w:tcPr>
            <w:tcW w:w="2981" w:type="dxa"/>
            <w:vAlign w:val="center"/>
            <w:shd w:fill="DCE6F1"/>
          </w:tcPr>
          <w:p>
            <w:pPr>
              <w:keepNext w:val="0"/>
              <w:keepLines w:val="0"/>
              <w:spacing w:before="0" w:after="60" w:line="240" w:lineRule="auto"/>
            </w:pPr>
            <w:r/>
            <w:r>
              <w:rPr>
                <w:rFonts w:ascii="Calibri" w:hAnsi="Calibri"/>
                <w:b/>
                <w:i w:val="0"/>
                <w:color w:val="000000"/>
                <w:sz w:val="22"/>
              </w:rPr>
              <w:t>Observaciones</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C2</w:t>
            </w:r>
          </w:p>
        </w:tc>
        <w:tc>
          <w:tcPr>
            <w:tcW w:type="dxa" w:w="2304"/>
            <w:vAlign w:val="center"/>
          </w:tcPr>
          <w:p>
            <w:pPr>
              <w:keepNext w:val="0"/>
              <w:keepLines w:val="0"/>
              <w:spacing w:before="0" w:after="60" w:line="240" w:lineRule="auto"/>
            </w:pPr>
            <w:r/>
            <w:r>
              <w:rPr>
                <w:rFonts w:ascii="Calibri" w:hAnsi="Calibri"/>
                <w:b w:val="0"/>
                <w:i w:val="0"/>
                <w:color w:val="000000"/>
                <w:sz w:val="22"/>
              </w:rPr>
              <w:t>A1 Alcance y estudio de mercado</w:t>
            </w:r>
          </w:p>
        </w:tc>
        <w:tc>
          <w:tcPr>
            <w:tcW w:type="dxa" w:w="3110"/>
            <w:vAlign w:val="center"/>
          </w:tcPr>
          <w:p>
            <w:pPr>
              <w:keepNext w:val="0"/>
              <w:keepLines w:val="0"/>
              <w:spacing w:before="0" w:after="60" w:line="240" w:lineRule="auto"/>
            </w:pPr>
            <w:r/>
            <w:r>
              <w:rPr>
                <w:rFonts w:ascii="Calibri" w:hAnsi="Calibri"/>
                <w:b w:val="0"/>
                <w:i w:val="0"/>
                <w:color w:val="000000"/>
                <w:sz w:val="22"/>
              </w:rPr>
              <w:t>Tema, contacto, estudio de alternativas, requisitos y perfil de usuario.</w:t>
            </w:r>
          </w:p>
        </w:tc>
        <w:tc>
          <w:tcPr>
            <w:tcW w:type="dxa" w:w="2189"/>
            <w:vAlign w:val="center"/>
          </w:tcPr>
          <w:p>
            <w:pPr>
              <w:keepNext w:val="0"/>
              <w:keepLines w:val="0"/>
              <w:spacing w:before="0" w:after="60" w:line="240" w:lineRule="auto"/>
            </w:pPr>
            <w:r/>
            <w:r>
              <w:rPr>
                <w:rFonts w:ascii="Calibri" w:hAnsi="Calibri"/>
                <w:b w:val="0"/>
                <w:i w:val="0"/>
                <w:color w:val="000000"/>
                <w:sz w:val="22"/>
              </w:rPr>
              <w:t>Documentos del hotel, reuniones y ofimática.</w:t>
            </w:r>
          </w:p>
        </w:tc>
        <w:tc>
          <w:tcPr>
            <w:tcW w:type="dxa" w:w="1296"/>
            <w:vAlign w:val="center"/>
          </w:tcPr>
          <w:p>
            <w:pPr>
              <w:keepNext w:val="0"/>
              <w:keepLines w:val="0"/>
              <w:spacing w:before="0" w:after="60" w:line="240" w:lineRule="auto"/>
            </w:pPr>
            <w:r/>
            <w:r>
              <w:rPr>
                <w:rFonts w:ascii="Calibri" w:hAnsi="Calibri"/>
                <w:b w:val="0"/>
                <w:i w:val="0"/>
                <w:color w:val="000000"/>
                <w:sz w:val="22"/>
              </w:rPr>
              <w:t>3 sem.</w:t>
            </w:r>
          </w:p>
          <w:p>
            <w:pPr>
              <w:keepNext w:val="0"/>
              <w:keepLines w:val="0"/>
              <w:spacing w:before="0" w:after="60" w:line="240" w:lineRule="auto"/>
            </w:pPr>
            <w:r>
              <w:rPr>
                <w:rFonts w:ascii="Calibri" w:hAnsi="Calibri"/>
                <w:b w:val="0"/>
                <w:i w:val="0"/>
                <w:color w:val="000000"/>
                <w:sz w:val="22"/>
              </w:rPr>
              <w:t>S3–S5</w:t>
            </w:r>
          </w:p>
        </w:tc>
        <w:tc>
          <w:tcPr>
            <w:tcW w:type="dxa" w:w="2102"/>
            <w:vAlign w:val="center"/>
          </w:tcPr>
          <w:p>
            <w:pPr>
              <w:keepNext w:val="0"/>
              <w:keepLines w:val="0"/>
              <w:spacing w:before="0" w:after="60" w:line="240" w:lineRule="auto"/>
            </w:pPr>
            <w:r/>
            <w:r>
              <w:rPr>
                <w:rFonts w:ascii="Calibri" w:hAnsi="Calibri"/>
                <w:b w:val="0"/>
                <w:i w:val="0"/>
                <w:color w:val="000000"/>
                <w:sz w:val="22"/>
              </w:rPr>
              <w:t>Equipo; Diego Sandoval en estudio de mercado.</w:t>
            </w:r>
          </w:p>
        </w:tc>
        <w:tc>
          <w:tcPr>
            <w:tcW w:type="dxa" w:w="2981"/>
            <w:vAlign w:val="center"/>
          </w:tcPr>
          <w:p>
            <w:pPr>
              <w:keepNext w:val="0"/>
              <w:keepLines w:val="0"/>
              <w:spacing w:before="0" w:after="60" w:line="240" w:lineRule="auto"/>
            </w:pPr>
            <w:r/>
            <w:r>
              <w:rPr>
                <w:rFonts w:ascii="Calibri" w:hAnsi="Calibri"/>
                <w:b w:val="0"/>
                <w:i w:val="0"/>
                <w:color w:val="000000"/>
                <w:sz w:val="22"/>
              </w:rPr>
              <w:t>Disponibilidad del hotel; validar alcance.</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C2, C3, C4</w:t>
            </w:r>
          </w:p>
        </w:tc>
        <w:tc>
          <w:tcPr>
            <w:tcW w:type="dxa" w:w="2304"/>
            <w:vAlign w:val="center"/>
          </w:tcPr>
          <w:p>
            <w:pPr>
              <w:keepNext w:val="0"/>
              <w:keepLines w:val="0"/>
              <w:spacing w:before="0" w:after="60" w:line="240" w:lineRule="auto"/>
            </w:pPr>
            <w:r/>
            <w:r>
              <w:rPr>
                <w:rFonts w:ascii="Calibri" w:hAnsi="Calibri"/>
                <w:b w:val="0"/>
                <w:i w:val="0"/>
                <w:color w:val="000000"/>
                <w:sz w:val="22"/>
              </w:rPr>
              <w:t>A2 Diseño y decisiones técnicas</w:t>
            </w:r>
          </w:p>
        </w:tc>
        <w:tc>
          <w:tcPr>
            <w:tcW w:type="dxa" w:w="3110"/>
            <w:vAlign w:val="center"/>
          </w:tcPr>
          <w:p>
            <w:pPr>
              <w:keepNext w:val="0"/>
              <w:keepLines w:val="0"/>
              <w:spacing w:before="0" w:after="60" w:line="240" w:lineRule="auto"/>
            </w:pPr>
            <w:r/>
            <w:r>
              <w:rPr>
                <w:rFonts w:ascii="Calibri" w:hAnsi="Calibri"/>
                <w:b w:val="0"/>
                <w:i w:val="0"/>
                <w:color w:val="000000"/>
                <w:sz w:val="22"/>
              </w:rPr>
              <w:t>Stack, arquitectura, datos, CU y prototipos.</w:t>
            </w:r>
          </w:p>
        </w:tc>
        <w:tc>
          <w:tcPr>
            <w:tcW w:type="dxa" w:w="2189"/>
            <w:vAlign w:val="center"/>
          </w:tcPr>
          <w:p>
            <w:pPr>
              <w:keepNext w:val="0"/>
              <w:keepLines w:val="0"/>
              <w:spacing w:before="0" w:after="60" w:line="240" w:lineRule="auto"/>
            </w:pPr>
            <w:r/>
            <w:r>
              <w:rPr>
                <w:rFonts w:ascii="Calibri" w:hAnsi="Calibri"/>
                <w:b w:val="0"/>
                <w:i w:val="0"/>
                <w:color w:val="000000"/>
                <w:sz w:val="22"/>
              </w:rPr>
              <w:t>RF/RNF, diagramador, editor y repositorio.</w:t>
            </w:r>
          </w:p>
        </w:tc>
        <w:tc>
          <w:tcPr>
            <w:tcW w:type="dxa" w:w="1296"/>
            <w:vAlign w:val="center"/>
          </w:tcPr>
          <w:p>
            <w:pPr>
              <w:keepNext w:val="0"/>
              <w:keepLines w:val="0"/>
              <w:spacing w:before="0" w:after="60" w:line="240" w:lineRule="auto"/>
            </w:pPr>
            <w:r/>
            <w:r>
              <w:rPr>
                <w:rFonts w:ascii="Calibri" w:hAnsi="Calibri"/>
                <w:b w:val="0"/>
                <w:i w:val="0"/>
                <w:color w:val="000000"/>
                <w:sz w:val="22"/>
              </w:rPr>
              <w:t>3 sem.</w:t>
            </w:r>
          </w:p>
          <w:p>
            <w:pPr>
              <w:keepNext w:val="0"/>
              <w:keepLines w:val="0"/>
              <w:spacing w:before="0" w:after="60" w:line="240" w:lineRule="auto"/>
            </w:pPr>
            <w:r>
              <w:rPr>
                <w:rFonts w:ascii="Calibri" w:hAnsi="Calibri"/>
                <w:b w:val="0"/>
                <w:i w:val="0"/>
                <w:color w:val="000000"/>
                <w:sz w:val="22"/>
              </w:rPr>
              <w:t>S4–S6</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Confirmar proveedor, accesos y modelo de datos.</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C3, C4</w:t>
            </w:r>
          </w:p>
        </w:tc>
        <w:tc>
          <w:tcPr>
            <w:tcW w:type="dxa" w:w="2304"/>
            <w:vAlign w:val="center"/>
          </w:tcPr>
          <w:p>
            <w:pPr>
              <w:keepNext w:val="0"/>
              <w:keepLines w:val="0"/>
              <w:spacing w:before="0" w:after="60" w:line="240" w:lineRule="auto"/>
            </w:pPr>
            <w:r/>
            <w:r>
              <w:rPr>
                <w:rFonts w:ascii="Calibri" w:hAnsi="Calibri"/>
                <w:b w:val="0"/>
                <w:i w:val="0"/>
                <w:color w:val="000000"/>
                <w:sz w:val="22"/>
              </w:rPr>
              <w:t>A3 Obtención de oportunidades</w:t>
            </w:r>
          </w:p>
        </w:tc>
        <w:tc>
          <w:tcPr>
            <w:tcW w:type="dxa" w:w="3110"/>
            <w:vAlign w:val="center"/>
          </w:tcPr>
          <w:p>
            <w:pPr>
              <w:keepNext w:val="0"/>
              <w:keepLines w:val="0"/>
              <w:spacing w:before="0" w:after="60" w:line="240" w:lineRule="auto"/>
            </w:pPr>
            <w:r/>
            <w:r>
              <w:rPr>
                <w:rFonts w:ascii="Calibri" w:hAnsi="Calibri"/>
                <w:b w:val="0"/>
                <w:i w:val="0"/>
                <w:color w:val="000000"/>
                <w:sz w:val="22"/>
              </w:rPr>
              <w:t>Conectar la API prevista y consultar publicaciones y documentos.</w:t>
            </w:r>
          </w:p>
        </w:tc>
        <w:tc>
          <w:tcPr>
            <w:tcW w:type="dxa" w:w="2189"/>
            <w:vAlign w:val="center"/>
          </w:tcPr>
          <w:p>
            <w:pPr>
              <w:keepNext w:val="0"/>
              <w:keepLines w:val="0"/>
              <w:spacing w:before="0" w:after="60" w:line="240" w:lineRule="auto"/>
            </w:pPr>
            <w:r/>
            <w:r>
              <w:rPr>
                <w:rFonts w:ascii="Calibri" w:hAnsi="Calibri"/>
                <w:b w:val="0"/>
                <w:i w:val="0"/>
                <w:color w:val="000000"/>
                <w:sz w:val="22"/>
              </w:rPr>
              <w:t>Backend Python y fuente externa habilitada.</w:t>
            </w:r>
          </w:p>
        </w:tc>
        <w:tc>
          <w:tcPr>
            <w:tcW w:type="dxa" w:w="1296"/>
            <w:vAlign w:val="center"/>
          </w:tcPr>
          <w:p>
            <w:pPr>
              <w:keepNext w:val="0"/>
              <w:keepLines w:val="0"/>
              <w:spacing w:before="0" w:after="60" w:line="240" w:lineRule="auto"/>
            </w:pPr>
            <w:r/>
            <w:r>
              <w:rPr>
                <w:rFonts w:ascii="Calibri" w:hAnsi="Calibri"/>
                <w:b w:val="0"/>
                <w:i w:val="0"/>
                <w:color w:val="000000"/>
                <w:sz w:val="22"/>
              </w:rPr>
              <w:t>2 sem.</w:t>
            </w:r>
          </w:p>
          <w:p>
            <w:pPr>
              <w:keepNext w:val="0"/>
              <w:keepLines w:val="0"/>
              <w:spacing w:before="0" w:after="60" w:line="240" w:lineRule="auto"/>
            </w:pPr>
            <w:r>
              <w:rPr>
                <w:rFonts w:ascii="Calibri" w:hAnsi="Calibri"/>
                <w:b w:val="0"/>
                <w:i w:val="0"/>
                <w:color w:val="000000"/>
                <w:sz w:val="22"/>
              </w:rPr>
              <w:t>S6–S7</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Verificar acceso y cobertura de Compra Ágil.</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C4</w:t>
            </w:r>
          </w:p>
        </w:tc>
        <w:tc>
          <w:tcPr>
            <w:tcW w:type="dxa" w:w="2304"/>
            <w:vAlign w:val="center"/>
          </w:tcPr>
          <w:p>
            <w:pPr>
              <w:keepNext w:val="0"/>
              <w:keepLines w:val="0"/>
              <w:spacing w:before="0" w:after="60" w:line="240" w:lineRule="auto"/>
            </w:pPr>
            <w:r/>
            <w:r>
              <w:rPr>
                <w:rFonts w:ascii="Calibri" w:hAnsi="Calibri"/>
                <w:b w:val="0"/>
                <w:i w:val="0"/>
                <w:color w:val="000000"/>
                <w:sz w:val="22"/>
              </w:rPr>
              <w:t>A4 Filtrado e integración LLM</w:t>
            </w:r>
          </w:p>
        </w:tc>
        <w:tc>
          <w:tcPr>
            <w:tcW w:type="dxa" w:w="3110"/>
            <w:vAlign w:val="center"/>
          </w:tcPr>
          <w:p>
            <w:pPr>
              <w:keepNext w:val="0"/>
              <w:keepLines w:val="0"/>
              <w:spacing w:before="0" w:after="60" w:line="240" w:lineRule="auto"/>
            </w:pPr>
            <w:r/>
            <w:r>
              <w:rPr>
                <w:rFonts w:ascii="Calibri" w:hAnsi="Calibri"/>
                <w:b w:val="0"/>
                <w:i w:val="0"/>
                <w:color w:val="000000"/>
                <w:sz w:val="22"/>
              </w:rPr>
              <w:t>Aplicar parámetros, filtrado semántico y selección final de relevancia.</w:t>
            </w:r>
          </w:p>
        </w:tc>
        <w:tc>
          <w:tcPr>
            <w:tcW w:type="dxa" w:w="2189"/>
            <w:vAlign w:val="center"/>
          </w:tcPr>
          <w:p>
            <w:pPr>
              <w:keepNext w:val="0"/>
              <w:keepLines w:val="0"/>
              <w:spacing w:before="0" w:after="60" w:line="240" w:lineRule="auto"/>
            </w:pPr>
            <w:r/>
            <w:r>
              <w:rPr>
                <w:rFonts w:ascii="Calibri" w:hAnsi="Calibri"/>
                <w:b w:val="0"/>
                <w:i w:val="0"/>
                <w:color w:val="000000"/>
                <w:sz w:val="22"/>
              </w:rPr>
              <w:t>Criterios del hotel y servicio/modelo de IA.</w:t>
            </w:r>
          </w:p>
        </w:tc>
        <w:tc>
          <w:tcPr>
            <w:tcW w:type="dxa" w:w="1296"/>
            <w:vAlign w:val="center"/>
          </w:tcPr>
          <w:p>
            <w:pPr>
              <w:keepNext w:val="0"/>
              <w:keepLines w:val="0"/>
              <w:spacing w:before="0" w:after="60" w:line="240" w:lineRule="auto"/>
            </w:pPr>
            <w:r/>
            <w:r>
              <w:rPr>
                <w:rFonts w:ascii="Calibri" w:hAnsi="Calibri"/>
                <w:b w:val="0"/>
                <w:i w:val="0"/>
                <w:color w:val="000000"/>
                <w:sz w:val="22"/>
              </w:rPr>
              <w:t>1 sem.</w:t>
            </w:r>
          </w:p>
          <w:p>
            <w:pPr>
              <w:keepNext w:val="0"/>
              <w:keepLines w:val="0"/>
              <w:spacing w:before="0" w:after="60" w:line="240" w:lineRule="auto"/>
            </w:pPr>
            <w:r>
              <w:rPr>
                <w:rFonts w:ascii="Calibri" w:hAnsi="Calibri"/>
                <w:b w:val="0"/>
                <w:i w:val="0"/>
                <w:color w:val="000000"/>
                <w:sz w:val="22"/>
              </w:rPr>
              <w:t>S8–S8</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Proveedor, costos y reglas finales pendientes.</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C4</w:t>
            </w:r>
          </w:p>
        </w:tc>
        <w:tc>
          <w:tcPr>
            <w:tcW w:type="dxa" w:w="2304"/>
            <w:vAlign w:val="center"/>
          </w:tcPr>
          <w:p>
            <w:pPr>
              <w:keepNext w:val="0"/>
              <w:keepLines w:val="0"/>
              <w:spacing w:before="0" w:after="60" w:line="240" w:lineRule="auto"/>
            </w:pPr>
            <w:r/>
            <w:r>
              <w:rPr>
                <w:rFonts w:ascii="Calibri" w:hAnsi="Calibri"/>
                <w:b w:val="0"/>
                <w:i w:val="0"/>
                <w:color w:val="000000"/>
                <w:sz w:val="22"/>
              </w:rPr>
              <w:t>A5 Interfaz de consulta</w:t>
            </w:r>
          </w:p>
        </w:tc>
        <w:tc>
          <w:tcPr>
            <w:tcW w:type="dxa" w:w="3110"/>
            <w:vAlign w:val="center"/>
          </w:tcPr>
          <w:p>
            <w:pPr>
              <w:keepNext w:val="0"/>
              <w:keepLines w:val="0"/>
              <w:spacing w:before="0" w:after="60" w:line="240" w:lineRule="auto"/>
            </w:pPr>
            <w:r/>
            <w:r>
              <w:rPr>
                <w:rFonts w:ascii="Calibri" w:hAnsi="Calibri"/>
                <w:b w:val="0"/>
                <w:i w:val="0"/>
                <w:color w:val="000000"/>
                <w:sz w:val="22"/>
              </w:rPr>
              <w:t>Implementar la vista de oportunidades y la configuración de búsqueda.</w:t>
            </w:r>
          </w:p>
        </w:tc>
        <w:tc>
          <w:tcPr>
            <w:tcW w:type="dxa" w:w="2189"/>
            <w:vAlign w:val="center"/>
          </w:tcPr>
          <w:p>
            <w:pPr>
              <w:keepNext w:val="0"/>
              <w:keepLines w:val="0"/>
              <w:spacing w:before="0" w:after="60" w:line="240" w:lineRule="auto"/>
            </w:pPr>
            <w:r/>
            <w:r>
              <w:rPr>
                <w:rFonts w:ascii="Calibri" w:hAnsi="Calibri"/>
                <w:b w:val="0"/>
                <w:i w:val="0"/>
                <w:color w:val="000000"/>
                <w:sz w:val="22"/>
              </w:rPr>
              <w:t>Prototipos, herramientas web y API interna.</w:t>
            </w:r>
          </w:p>
        </w:tc>
        <w:tc>
          <w:tcPr>
            <w:tcW w:type="dxa" w:w="1296"/>
            <w:vAlign w:val="center"/>
          </w:tcPr>
          <w:p>
            <w:pPr>
              <w:keepNext w:val="0"/>
              <w:keepLines w:val="0"/>
              <w:spacing w:before="0" w:after="60" w:line="240" w:lineRule="auto"/>
            </w:pPr>
            <w:r/>
            <w:r>
              <w:rPr>
                <w:rFonts w:ascii="Calibri" w:hAnsi="Calibri"/>
                <w:b w:val="0"/>
                <w:i w:val="0"/>
                <w:color w:val="000000"/>
                <w:sz w:val="22"/>
              </w:rPr>
              <w:t>1 sem.</w:t>
            </w:r>
          </w:p>
          <w:p>
            <w:pPr>
              <w:keepNext w:val="0"/>
              <w:keepLines w:val="0"/>
              <w:spacing w:before="0" w:after="60" w:line="240" w:lineRule="auto"/>
            </w:pPr>
            <w:r>
              <w:rPr>
                <w:rFonts w:ascii="Calibri" w:hAnsi="Calibri"/>
                <w:b w:val="0"/>
                <w:i w:val="0"/>
                <w:color w:val="000000"/>
                <w:sz w:val="22"/>
              </w:rPr>
              <w:t>S9–S9</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Revisar comprensión con el usuario.</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C1, C4</w:t>
            </w:r>
          </w:p>
        </w:tc>
        <w:tc>
          <w:tcPr>
            <w:tcW w:type="dxa" w:w="2304"/>
            <w:vAlign w:val="center"/>
          </w:tcPr>
          <w:p>
            <w:pPr>
              <w:keepNext w:val="0"/>
              <w:keepLines w:val="0"/>
              <w:spacing w:before="0" w:after="60" w:line="240" w:lineRule="auto"/>
            </w:pPr>
            <w:r/>
            <w:r>
              <w:rPr>
                <w:rFonts w:ascii="Calibri" w:hAnsi="Calibri"/>
                <w:b w:val="0"/>
                <w:i w:val="0"/>
                <w:color w:val="000000"/>
                <w:sz w:val="22"/>
              </w:rPr>
              <w:t>A6 Identidad y análisis documental</w:t>
            </w:r>
          </w:p>
        </w:tc>
        <w:tc>
          <w:tcPr>
            <w:tcW w:type="dxa" w:w="3110"/>
            <w:vAlign w:val="center"/>
          </w:tcPr>
          <w:p>
            <w:pPr>
              <w:keepNext w:val="0"/>
              <w:keepLines w:val="0"/>
              <w:spacing w:before="0" w:after="60" w:line="240" w:lineRule="auto"/>
            </w:pPr>
            <w:r/>
            <w:r>
              <w:rPr>
                <w:rFonts w:ascii="Calibri" w:hAnsi="Calibri"/>
                <w:b w:val="0"/>
                <w:i w:val="0"/>
                <w:color w:val="000000"/>
                <w:sz w:val="22"/>
              </w:rPr>
              <w:t>Validar identidad, configurar prompts y evaluar resúmenes y extracción.</w:t>
            </w:r>
          </w:p>
        </w:tc>
        <w:tc>
          <w:tcPr>
            <w:tcW w:type="dxa" w:w="2189"/>
            <w:vAlign w:val="center"/>
          </w:tcPr>
          <w:p>
            <w:pPr>
              <w:keepNext w:val="0"/>
              <w:keepLines w:val="0"/>
              <w:spacing w:before="0" w:after="60" w:line="240" w:lineRule="auto"/>
            </w:pPr>
            <w:r/>
            <w:r>
              <w:rPr>
                <w:rFonts w:ascii="Calibri" w:hAnsi="Calibri"/>
                <w:b w:val="0"/>
                <w:i w:val="0"/>
                <w:color w:val="000000"/>
                <w:sz w:val="22"/>
              </w:rPr>
              <w:t>Bases/TDR, publicaciones y motor IA/NLP.</w:t>
            </w:r>
          </w:p>
        </w:tc>
        <w:tc>
          <w:tcPr>
            <w:tcW w:type="dxa" w:w="1296"/>
            <w:vAlign w:val="center"/>
          </w:tcPr>
          <w:p>
            <w:pPr>
              <w:keepNext w:val="0"/>
              <w:keepLines w:val="0"/>
              <w:spacing w:before="0" w:after="60" w:line="240" w:lineRule="auto"/>
            </w:pPr>
            <w:r/>
            <w:r>
              <w:rPr>
                <w:rFonts w:ascii="Calibri" w:hAnsi="Calibri"/>
                <w:b w:val="0"/>
                <w:i w:val="0"/>
                <w:color w:val="000000"/>
                <w:sz w:val="22"/>
              </w:rPr>
              <w:t>4 sem.</w:t>
            </w:r>
          </w:p>
          <w:p>
            <w:pPr>
              <w:keepNext w:val="0"/>
              <w:keepLines w:val="0"/>
              <w:spacing w:before="0" w:after="60" w:line="240" w:lineRule="auto"/>
            </w:pPr>
            <w:r>
              <w:rPr>
                <w:rFonts w:ascii="Calibri" w:hAnsi="Calibri"/>
                <w:b w:val="0"/>
                <w:i w:val="0"/>
                <w:color w:val="000000"/>
                <w:sz w:val="22"/>
              </w:rPr>
              <w:t>S9–S12</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Contemplar documentos incompletos y hasta 50 páginas.</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C3, C4</w:t>
            </w:r>
          </w:p>
        </w:tc>
        <w:tc>
          <w:tcPr>
            <w:tcW w:type="dxa" w:w="2304"/>
            <w:vAlign w:val="center"/>
          </w:tcPr>
          <w:p>
            <w:pPr>
              <w:keepNext w:val="0"/>
              <w:keepLines w:val="0"/>
              <w:spacing w:before="0" w:after="60" w:line="240" w:lineRule="auto"/>
            </w:pPr>
            <w:r/>
            <w:r>
              <w:rPr>
                <w:rFonts w:ascii="Calibri" w:hAnsi="Calibri"/>
                <w:b w:val="0"/>
                <w:i w:val="0"/>
                <w:color w:val="000000"/>
                <w:sz w:val="22"/>
              </w:rPr>
              <w:t>A7 Tablero de control</w:t>
            </w:r>
          </w:p>
        </w:tc>
        <w:tc>
          <w:tcPr>
            <w:tcW w:type="dxa" w:w="3110"/>
            <w:vAlign w:val="center"/>
          </w:tcPr>
          <w:p>
            <w:pPr>
              <w:keepNext w:val="0"/>
              <w:keepLines w:val="0"/>
              <w:spacing w:before="0" w:after="60" w:line="240" w:lineRule="auto"/>
            </w:pPr>
            <w:r/>
            <w:r>
              <w:rPr>
                <w:rFonts w:ascii="Calibri" w:hAnsi="Calibri"/>
                <w:b w:val="0"/>
                <w:i w:val="0"/>
                <w:color w:val="000000"/>
                <w:sz w:val="22"/>
              </w:rPr>
              <w:t>Construir y completar embudo, totales por estado y tasa de cierre.</w:t>
            </w:r>
          </w:p>
        </w:tc>
        <w:tc>
          <w:tcPr>
            <w:tcW w:type="dxa" w:w="2189"/>
            <w:vAlign w:val="center"/>
          </w:tcPr>
          <w:p>
            <w:pPr>
              <w:keepNext w:val="0"/>
              <w:keepLines w:val="0"/>
              <w:spacing w:before="0" w:after="60" w:line="240" w:lineRule="auto"/>
            </w:pPr>
            <w:r/>
            <w:r>
              <w:rPr>
                <w:rFonts w:ascii="Calibri" w:hAnsi="Calibri"/>
                <w:b w:val="0"/>
                <w:i w:val="0"/>
                <w:color w:val="000000"/>
                <w:sz w:val="22"/>
              </w:rPr>
              <w:t>Datos de oportunidades e interfaz web.</w:t>
            </w:r>
          </w:p>
        </w:tc>
        <w:tc>
          <w:tcPr>
            <w:tcW w:type="dxa" w:w="1296"/>
            <w:vAlign w:val="center"/>
          </w:tcPr>
          <w:p>
            <w:pPr>
              <w:keepNext w:val="0"/>
              <w:keepLines w:val="0"/>
              <w:spacing w:before="0" w:after="60" w:line="240" w:lineRule="auto"/>
            </w:pPr>
            <w:r/>
            <w:r>
              <w:rPr>
                <w:rFonts w:ascii="Calibri" w:hAnsi="Calibri"/>
                <w:b w:val="0"/>
                <w:i w:val="0"/>
                <w:color w:val="000000"/>
                <w:sz w:val="22"/>
              </w:rPr>
              <w:t>4 sem.</w:t>
            </w:r>
          </w:p>
          <w:p>
            <w:pPr>
              <w:keepNext w:val="0"/>
              <w:keepLines w:val="0"/>
              <w:spacing w:before="0" w:after="60" w:line="240" w:lineRule="auto"/>
            </w:pPr>
            <w:r>
              <w:rPr>
                <w:rFonts w:ascii="Calibri" w:hAnsi="Calibri"/>
                <w:b w:val="0"/>
                <w:i w:val="0"/>
                <w:color w:val="000000"/>
                <w:sz w:val="22"/>
              </w:rPr>
              <w:t>S11–S14</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Inicio S11–12 del Gantt; cierre S13–14 del Sprint 5.</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C3, C4</w:t>
            </w:r>
          </w:p>
        </w:tc>
        <w:tc>
          <w:tcPr>
            <w:tcW w:type="dxa" w:w="2304"/>
            <w:vAlign w:val="center"/>
          </w:tcPr>
          <w:p>
            <w:pPr>
              <w:keepNext w:val="0"/>
              <w:keepLines w:val="0"/>
              <w:spacing w:before="0" w:after="60" w:line="240" w:lineRule="auto"/>
            </w:pPr>
            <w:r/>
            <w:r>
              <w:rPr>
                <w:rFonts w:ascii="Calibri" w:hAnsi="Calibri"/>
                <w:b w:val="0"/>
                <w:i w:val="0"/>
                <w:color w:val="000000"/>
                <w:sz w:val="22"/>
              </w:rPr>
              <w:t>A8 Presupuesto y seguimiento</w:t>
            </w:r>
          </w:p>
        </w:tc>
        <w:tc>
          <w:tcPr>
            <w:tcW w:type="dxa" w:w="3110"/>
            <w:vAlign w:val="center"/>
          </w:tcPr>
          <w:p>
            <w:pPr>
              <w:keepNext w:val="0"/>
              <w:keepLines w:val="0"/>
              <w:spacing w:before="0" w:after="60" w:line="240" w:lineRule="auto"/>
            </w:pPr>
            <w:r/>
            <w:r>
              <w:rPr>
                <w:rFonts w:ascii="Calibri" w:hAnsi="Calibri"/>
                <w:b w:val="0"/>
                <w:i w:val="0"/>
                <w:color w:val="000000"/>
                <w:sz w:val="22"/>
              </w:rPr>
              <w:t>Configurar umbrales, alertas, admisibilidad y estados comerciales.</w:t>
            </w:r>
          </w:p>
        </w:tc>
        <w:tc>
          <w:tcPr>
            <w:tcW w:type="dxa" w:w="2189"/>
            <w:vAlign w:val="center"/>
          </w:tcPr>
          <w:p>
            <w:pPr>
              <w:keepNext w:val="0"/>
              <w:keepLines w:val="0"/>
              <w:spacing w:before="0" w:after="60" w:line="240" w:lineRule="auto"/>
            </w:pPr>
            <w:r/>
            <w:r>
              <w:rPr>
                <w:rFonts w:ascii="Calibri" w:hAnsi="Calibri"/>
                <w:b w:val="0"/>
                <w:i w:val="0"/>
                <w:color w:val="000000"/>
                <w:sz w:val="22"/>
              </w:rPr>
              <w:t>Reglas del hotel y módulos de evaluación.</w:t>
            </w:r>
          </w:p>
        </w:tc>
        <w:tc>
          <w:tcPr>
            <w:tcW w:type="dxa" w:w="1296"/>
            <w:vAlign w:val="center"/>
          </w:tcPr>
          <w:p>
            <w:pPr>
              <w:keepNext w:val="0"/>
              <w:keepLines w:val="0"/>
              <w:spacing w:before="0" w:after="60" w:line="240" w:lineRule="auto"/>
            </w:pPr>
            <w:r/>
            <w:r>
              <w:rPr>
                <w:rFonts w:ascii="Calibri" w:hAnsi="Calibri"/>
                <w:b w:val="0"/>
                <w:i w:val="0"/>
                <w:color w:val="000000"/>
                <w:sz w:val="22"/>
              </w:rPr>
              <w:t>3 sem.</w:t>
            </w:r>
          </w:p>
          <w:p>
            <w:pPr>
              <w:keepNext w:val="0"/>
              <w:keepLines w:val="0"/>
              <w:spacing w:before="0" w:after="60" w:line="240" w:lineRule="auto"/>
            </w:pPr>
            <w:r>
              <w:rPr>
                <w:rFonts w:ascii="Calibri" w:hAnsi="Calibri"/>
                <w:b w:val="0"/>
                <w:i w:val="0"/>
                <w:color w:val="000000"/>
                <w:sz w:val="22"/>
              </w:rPr>
              <w:t>S12–S14</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CU-06 en S12; CU-07 a CU-09 en S13–14.</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C4</w:t>
            </w:r>
          </w:p>
        </w:tc>
        <w:tc>
          <w:tcPr>
            <w:tcW w:type="dxa" w:w="2304"/>
            <w:vAlign w:val="center"/>
          </w:tcPr>
          <w:p>
            <w:pPr>
              <w:keepNext w:val="0"/>
              <w:keepLines w:val="0"/>
              <w:spacing w:before="0" w:after="60" w:line="240" w:lineRule="auto"/>
            </w:pPr>
            <w:r/>
            <w:r>
              <w:rPr>
                <w:rFonts w:ascii="Calibri" w:hAnsi="Calibri"/>
                <w:b w:val="0"/>
                <w:i w:val="0"/>
                <w:color w:val="000000"/>
                <w:sz w:val="22"/>
              </w:rPr>
              <w:t>A9 Integración y reportería</w:t>
            </w:r>
          </w:p>
        </w:tc>
        <w:tc>
          <w:tcPr>
            <w:tcW w:type="dxa" w:w="3110"/>
            <w:vAlign w:val="center"/>
          </w:tcPr>
          <w:p>
            <w:pPr>
              <w:keepNext w:val="0"/>
              <w:keepLines w:val="0"/>
              <w:spacing w:before="0" w:after="60" w:line="240" w:lineRule="auto"/>
            </w:pPr>
            <w:r/>
            <w:r>
              <w:rPr>
                <w:rFonts w:ascii="Calibri" w:hAnsi="Calibri"/>
                <w:b w:val="0"/>
                <w:i w:val="0"/>
                <w:color w:val="000000"/>
                <w:sz w:val="22"/>
              </w:rPr>
              <w:t>Integrar módulos y generar informes de gestión semanales y mensuales.</w:t>
            </w:r>
          </w:p>
        </w:tc>
        <w:tc>
          <w:tcPr>
            <w:tcW w:type="dxa" w:w="2189"/>
            <w:vAlign w:val="center"/>
          </w:tcPr>
          <w:p>
            <w:pPr>
              <w:keepNext w:val="0"/>
              <w:keepLines w:val="0"/>
              <w:spacing w:before="0" w:after="60" w:line="240" w:lineRule="auto"/>
            </w:pPr>
            <w:r/>
            <w:r>
              <w:rPr>
                <w:rFonts w:ascii="Calibri" w:hAnsi="Calibri"/>
                <w:b w:val="0"/>
                <w:i w:val="0"/>
                <w:color w:val="000000"/>
                <w:sz w:val="22"/>
              </w:rPr>
              <w:t>Backend, datos y criterios de reportería.</w:t>
            </w:r>
          </w:p>
        </w:tc>
        <w:tc>
          <w:tcPr>
            <w:tcW w:type="dxa" w:w="1296"/>
            <w:vAlign w:val="center"/>
          </w:tcPr>
          <w:p>
            <w:pPr>
              <w:keepNext w:val="0"/>
              <w:keepLines w:val="0"/>
              <w:spacing w:before="0" w:after="60" w:line="240" w:lineRule="auto"/>
            </w:pPr>
            <w:r/>
            <w:r>
              <w:rPr>
                <w:rFonts w:ascii="Calibri" w:hAnsi="Calibri"/>
                <w:b w:val="0"/>
                <w:i w:val="0"/>
                <w:color w:val="000000"/>
                <w:sz w:val="22"/>
              </w:rPr>
              <w:t>3 sem.</w:t>
            </w:r>
          </w:p>
          <w:p>
            <w:pPr>
              <w:keepNext w:val="0"/>
              <w:keepLines w:val="0"/>
              <w:spacing w:before="0" w:after="60" w:line="240" w:lineRule="auto"/>
            </w:pPr>
            <w:r>
              <w:rPr>
                <w:rFonts w:ascii="Calibri" w:hAnsi="Calibri"/>
                <w:b w:val="0"/>
                <w:i w:val="0"/>
                <w:color w:val="000000"/>
                <w:sz w:val="22"/>
              </w:rPr>
              <w:t>S14–S16</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Integración S14; reportería S15–16.</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C1</w:t>
            </w:r>
          </w:p>
        </w:tc>
        <w:tc>
          <w:tcPr>
            <w:tcW w:type="dxa" w:w="2304"/>
            <w:vAlign w:val="center"/>
          </w:tcPr>
          <w:p>
            <w:pPr>
              <w:keepNext w:val="0"/>
              <w:keepLines w:val="0"/>
              <w:spacing w:before="0" w:after="60" w:line="240" w:lineRule="auto"/>
            </w:pPr>
            <w:r/>
            <w:r>
              <w:rPr>
                <w:rFonts w:ascii="Calibri" w:hAnsi="Calibri"/>
                <w:b w:val="0"/>
                <w:i w:val="0"/>
                <w:color w:val="000000"/>
                <w:sz w:val="22"/>
              </w:rPr>
              <w:t>A10 Pruebas y ajustes</w:t>
            </w:r>
          </w:p>
        </w:tc>
        <w:tc>
          <w:tcPr>
            <w:tcW w:type="dxa" w:w="3110"/>
            <w:vAlign w:val="center"/>
          </w:tcPr>
          <w:p>
            <w:pPr>
              <w:keepNext w:val="0"/>
              <w:keepLines w:val="0"/>
              <w:spacing w:before="0" w:after="60" w:line="240" w:lineRule="auto"/>
            </w:pPr>
            <w:r/>
            <w:r>
              <w:rPr>
                <w:rFonts w:ascii="Calibri" w:hAnsi="Calibri"/>
                <w:b w:val="0"/>
                <w:i w:val="0"/>
                <w:color w:val="000000"/>
                <w:sz w:val="22"/>
              </w:rPr>
              <w:t>Ejecutar QA, registrar incidencias y comprobar correcciones.</w:t>
            </w:r>
          </w:p>
        </w:tc>
        <w:tc>
          <w:tcPr>
            <w:tcW w:type="dxa" w:w="2189"/>
            <w:vAlign w:val="center"/>
          </w:tcPr>
          <w:p>
            <w:pPr>
              <w:keepNext w:val="0"/>
              <w:keepLines w:val="0"/>
              <w:spacing w:before="0" w:after="60" w:line="240" w:lineRule="auto"/>
            </w:pPr>
            <w:r/>
            <w:r>
              <w:rPr>
                <w:rFonts w:ascii="Calibri" w:hAnsi="Calibri"/>
                <w:b w:val="0"/>
                <w:i w:val="0"/>
                <w:color w:val="000000"/>
                <w:sz w:val="22"/>
              </w:rPr>
              <w:t>Casos de prueba, entorno y datos de prueba.</w:t>
            </w:r>
          </w:p>
        </w:tc>
        <w:tc>
          <w:tcPr>
            <w:tcW w:type="dxa" w:w="1296"/>
            <w:vAlign w:val="center"/>
          </w:tcPr>
          <w:p>
            <w:pPr>
              <w:keepNext w:val="0"/>
              <w:keepLines w:val="0"/>
              <w:spacing w:before="0" w:after="60" w:line="240" w:lineRule="auto"/>
            </w:pPr>
            <w:r/>
            <w:r>
              <w:rPr>
                <w:rFonts w:ascii="Calibri" w:hAnsi="Calibri"/>
                <w:b w:val="0"/>
                <w:i w:val="0"/>
                <w:color w:val="000000"/>
                <w:sz w:val="22"/>
              </w:rPr>
              <w:t>2 sem.</w:t>
            </w:r>
          </w:p>
          <w:p>
            <w:pPr>
              <w:keepNext w:val="0"/>
              <w:keepLines w:val="0"/>
              <w:spacing w:before="0" w:after="60" w:line="240" w:lineRule="auto"/>
            </w:pPr>
            <w:r>
              <w:rPr>
                <w:rFonts w:ascii="Calibri" w:hAnsi="Calibri"/>
                <w:b w:val="0"/>
                <w:i w:val="0"/>
                <w:color w:val="000000"/>
                <w:sz w:val="22"/>
              </w:rPr>
              <w:t>S15–S16</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Acordar criterios de aceptación y red del hotel.</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C2, C4</w:t>
            </w:r>
          </w:p>
        </w:tc>
        <w:tc>
          <w:tcPr>
            <w:tcW w:type="dxa" w:w="2304"/>
            <w:vAlign w:val="center"/>
          </w:tcPr>
          <w:p>
            <w:pPr>
              <w:keepNext w:val="0"/>
              <w:keepLines w:val="0"/>
              <w:spacing w:before="0" w:after="60" w:line="240" w:lineRule="auto"/>
            </w:pPr>
            <w:r/>
            <w:r>
              <w:rPr>
                <w:rFonts w:ascii="Calibri" w:hAnsi="Calibri"/>
                <w:b w:val="0"/>
                <w:i w:val="0"/>
                <w:color w:val="000000"/>
                <w:sz w:val="22"/>
              </w:rPr>
              <w:t>A11 Documentación</w:t>
            </w:r>
          </w:p>
        </w:tc>
        <w:tc>
          <w:tcPr>
            <w:tcW w:type="dxa" w:w="3110"/>
            <w:vAlign w:val="center"/>
          </w:tcPr>
          <w:p>
            <w:pPr>
              <w:keepNext w:val="0"/>
              <w:keepLines w:val="0"/>
              <w:spacing w:before="0" w:after="60" w:line="240" w:lineRule="auto"/>
            </w:pPr>
            <w:r/>
            <w:r>
              <w:rPr>
                <w:rFonts w:ascii="Calibri" w:hAnsi="Calibri"/>
                <w:b w:val="0"/>
                <w:i w:val="0"/>
                <w:color w:val="000000"/>
                <w:sz w:val="22"/>
              </w:rPr>
              <w:t>Completar README, manual de usuario y documentación final.</w:t>
            </w:r>
          </w:p>
        </w:tc>
        <w:tc>
          <w:tcPr>
            <w:tcW w:type="dxa" w:w="2189"/>
            <w:vAlign w:val="center"/>
          </w:tcPr>
          <w:p>
            <w:pPr>
              <w:keepNext w:val="0"/>
              <w:keepLines w:val="0"/>
              <w:spacing w:before="0" w:after="60" w:line="240" w:lineRule="auto"/>
            </w:pPr>
            <w:r/>
            <w:r>
              <w:rPr>
                <w:rFonts w:ascii="Calibri" w:hAnsi="Calibri"/>
                <w:b w:val="0"/>
                <w:i w:val="0"/>
                <w:color w:val="000000"/>
                <w:sz w:val="22"/>
              </w:rPr>
              <w:t>Repositorio y evidencias del proyecto.</w:t>
            </w:r>
          </w:p>
        </w:tc>
        <w:tc>
          <w:tcPr>
            <w:tcW w:type="dxa" w:w="1296"/>
            <w:vAlign w:val="center"/>
          </w:tcPr>
          <w:p>
            <w:pPr>
              <w:keepNext w:val="0"/>
              <w:keepLines w:val="0"/>
              <w:spacing w:before="0" w:after="60" w:line="240" w:lineRule="auto"/>
            </w:pPr>
            <w:r/>
            <w:r>
              <w:rPr>
                <w:rFonts w:ascii="Calibri" w:hAnsi="Calibri"/>
                <w:b w:val="0"/>
                <w:i w:val="0"/>
                <w:color w:val="000000"/>
                <w:sz w:val="22"/>
              </w:rPr>
              <w:t>3 sem.</w:t>
            </w:r>
          </w:p>
          <w:p>
            <w:pPr>
              <w:keepNext w:val="0"/>
              <w:keepLines w:val="0"/>
              <w:spacing w:before="0" w:after="60" w:line="240" w:lineRule="auto"/>
            </w:pPr>
            <w:r>
              <w:rPr>
                <w:rFonts w:ascii="Calibri" w:hAnsi="Calibri"/>
                <w:b w:val="0"/>
                <w:i w:val="0"/>
                <w:color w:val="000000"/>
                <w:sz w:val="22"/>
              </w:rPr>
              <w:t>S15–S17</w:t>
            </w:r>
          </w:p>
        </w:tc>
        <w:tc>
          <w:tcPr>
            <w:tcW w:type="dxa" w:w="2102"/>
            <w:vAlign w:val="center"/>
          </w:tcPr>
          <w:p>
            <w:pPr>
              <w:keepNext w:val="0"/>
              <w:keepLines w:val="0"/>
              <w:spacing w:before="0" w:after="60" w:line="240" w:lineRule="auto"/>
            </w:pPr>
            <w:r/>
            <w:r>
              <w:rPr>
                <w:rFonts w:ascii="Calibri" w:hAnsi="Calibri"/>
                <w:b w:val="0"/>
                <w:i w:val="0"/>
                <w:color w:val="000000"/>
                <w:sz w:val="22"/>
              </w:rPr>
              <w:t>Asignación nominal pendiente.</w:t>
            </w:r>
          </w:p>
        </w:tc>
        <w:tc>
          <w:tcPr>
            <w:tcW w:type="dxa" w:w="2981"/>
            <w:vAlign w:val="center"/>
          </w:tcPr>
          <w:p>
            <w:pPr>
              <w:keepNext w:val="0"/>
              <w:keepLines w:val="0"/>
              <w:spacing w:before="0" w:after="60" w:line="240" w:lineRule="auto"/>
            </w:pPr>
            <w:r/>
            <w:r>
              <w:rPr>
                <w:rFonts w:ascii="Calibri" w:hAnsi="Calibri"/>
                <w:b w:val="0"/>
                <w:i w:val="0"/>
                <w:color w:val="000000"/>
                <w:sz w:val="22"/>
              </w:rPr>
              <w:t>Mantener correspondencia con la versión entregada.</w:t>
            </w:r>
          </w:p>
        </w:tc>
      </w:tr>
      <w:tr>
        <w:trPr>
          <w:cantSplit/>
        </w:trPr>
        <w:tc>
          <w:tcPr>
            <w:tcW w:type="dxa" w:w="893"/>
            <w:vAlign w:val="center"/>
          </w:tcPr>
          <w:p>
            <w:pPr>
              <w:keepNext w:val="0"/>
              <w:keepLines w:val="0"/>
              <w:spacing w:before="0" w:after="60" w:line="240" w:lineRule="auto"/>
            </w:pPr>
            <w:r/>
            <w:r>
              <w:rPr>
                <w:rFonts w:ascii="Calibri" w:hAnsi="Calibri"/>
                <w:b w:val="0"/>
                <w:i w:val="0"/>
                <w:color w:val="000000"/>
                <w:sz w:val="22"/>
              </w:rPr>
              <w:t>C1, C2</w:t>
            </w:r>
          </w:p>
        </w:tc>
        <w:tc>
          <w:tcPr>
            <w:tcW w:type="dxa" w:w="2304"/>
            <w:vAlign w:val="center"/>
          </w:tcPr>
          <w:p>
            <w:pPr>
              <w:keepNext w:val="0"/>
              <w:keepLines w:val="0"/>
              <w:spacing w:before="0" w:after="60" w:line="240" w:lineRule="auto"/>
            </w:pPr>
            <w:r/>
            <w:r>
              <w:rPr>
                <w:rFonts w:ascii="Calibri" w:hAnsi="Calibri"/>
                <w:b w:val="0"/>
                <w:i w:val="0"/>
                <w:color w:val="000000"/>
                <w:sz w:val="22"/>
              </w:rPr>
              <w:t>A12 Validación y entrega</w:t>
            </w:r>
          </w:p>
        </w:tc>
        <w:tc>
          <w:tcPr>
            <w:tcW w:type="dxa" w:w="3110"/>
            <w:vAlign w:val="center"/>
          </w:tcPr>
          <w:p>
            <w:pPr>
              <w:keepNext w:val="0"/>
              <w:keepLines w:val="0"/>
              <w:spacing w:before="0" w:after="60" w:line="240" w:lineRule="auto"/>
            </w:pPr>
            <w:r/>
            <w:r>
              <w:rPr>
                <w:rFonts w:ascii="Calibri" w:hAnsi="Calibri"/>
                <w:b w:val="0"/>
                <w:i w:val="0"/>
                <w:color w:val="000000"/>
                <w:sz w:val="22"/>
              </w:rPr>
              <w:t>Validar el MVP, preparar la presentación y entregar evidencias.</w:t>
            </w:r>
          </w:p>
        </w:tc>
        <w:tc>
          <w:tcPr>
            <w:tcW w:type="dxa" w:w="2189"/>
            <w:vAlign w:val="center"/>
          </w:tcPr>
          <w:p>
            <w:pPr>
              <w:keepNext w:val="0"/>
              <w:keepLines w:val="0"/>
              <w:spacing w:before="0" w:after="60" w:line="240" w:lineRule="auto"/>
            </w:pPr>
            <w:r/>
            <w:r>
              <w:rPr>
                <w:rFonts w:ascii="Calibri" w:hAnsi="Calibri"/>
                <w:b w:val="0"/>
                <w:i w:val="0"/>
                <w:color w:val="000000"/>
                <w:sz w:val="22"/>
              </w:rPr>
              <w:t>Sistema integrado y documentación.</w:t>
            </w:r>
          </w:p>
        </w:tc>
        <w:tc>
          <w:tcPr>
            <w:tcW w:type="dxa" w:w="1296"/>
            <w:vAlign w:val="center"/>
          </w:tcPr>
          <w:p>
            <w:pPr>
              <w:keepNext w:val="0"/>
              <w:keepLines w:val="0"/>
              <w:spacing w:before="0" w:after="60" w:line="240" w:lineRule="auto"/>
            </w:pPr>
            <w:r/>
            <w:r>
              <w:rPr>
                <w:rFonts w:ascii="Calibri" w:hAnsi="Calibri"/>
                <w:b w:val="0"/>
                <w:i w:val="0"/>
                <w:color w:val="000000"/>
                <w:sz w:val="22"/>
              </w:rPr>
              <w:t>2 sem.</w:t>
            </w:r>
          </w:p>
          <w:p>
            <w:pPr>
              <w:keepNext w:val="0"/>
              <w:keepLines w:val="0"/>
              <w:spacing w:before="0" w:after="60" w:line="240" w:lineRule="auto"/>
            </w:pPr>
            <w:r>
              <w:rPr>
                <w:rFonts w:ascii="Calibri" w:hAnsi="Calibri"/>
                <w:b w:val="0"/>
                <w:i w:val="0"/>
                <w:color w:val="000000"/>
                <w:sz w:val="22"/>
              </w:rPr>
              <w:t>S17–S18</w:t>
            </w:r>
          </w:p>
        </w:tc>
        <w:tc>
          <w:tcPr>
            <w:tcW w:type="dxa" w:w="2102"/>
            <w:vAlign w:val="center"/>
          </w:tcPr>
          <w:p>
            <w:pPr>
              <w:keepNext w:val="0"/>
              <w:keepLines w:val="0"/>
              <w:spacing w:before="0" w:after="60" w:line="240" w:lineRule="auto"/>
            </w:pPr>
            <w:r/>
            <w:r>
              <w:rPr>
                <w:rFonts w:ascii="Calibri" w:hAnsi="Calibri"/>
                <w:b w:val="0"/>
                <w:i w:val="0"/>
                <w:color w:val="000000"/>
                <w:sz w:val="22"/>
              </w:rPr>
              <w:t>Todo el equipo.</w:t>
            </w:r>
          </w:p>
        </w:tc>
        <w:tc>
          <w:tcPr>
            <w:tcW w:type="dxa" w:w="2981"/>
            <w:vAlign w:val="center"/>
          </w:tcPr>
          <w:p>
            <w:pPr>
              <w:keepNext w:val="0"/>
              <w:keepLines w:val="0"/>
              <w:spacing w:before="0" w:after="60" w:line="240" w:lineRule="auto"/>
            </w:pPr>
            <w:r/>
            <w:r>
              <w:rPr>
                <w:rFonts w:ascii="Calibri" w:hAnsi="Calibri"/>
                <w:b w:val="0"/>
                <w:i w:val="0"/>
                <w:color w:val="000000"/>
                <w:sz w:val="22"/>
              </w:rPr>
              <w:t>Coordinar revisión final con docente y hotel.</w:t>
            </w:r>
          </w:p>
        </w:tc>
      </w:tr>
    </w:tbl>
    <w:p>
      <w:pPr>
        <w:keepNext/>
        <w:pageBreakBefore/>
        <w:spacing w:before="0" w:after="0" w:line="20" w:lineRule="exact"/>
      </w:pPr>
      <w:r/>
      <w:r>
        <w:rPr>
          <w:sz w:val="2"/>
        </w:rPr>
      </w:r>
    </w:p>
    <w:tbl>
      <w:tblPr>
        <w:tblStyle w:val="Tablaconcuadrcula"/>
        <w:tblW w:w="15120" w:type="dxa"/>
        <w:jc w:val="center"/>
        <w:tblBorders>
          <w:top w:val="single" w:sz="4" w:space="0" w:color="B7BDC5" w:themeColor="background1" w:themeShade="BF"/>
          <w:left w:val="single" w:sz="4" w:space="0" w:color="B7BDC5" w:themeColor="background1" w:themeShade="BF"/>
          <w:bottom w:val="single" w:sz="4" w:space="0" w:color="B7BDC5" w:themeColor="background1" w:themeShade="BF"/>
          <w:right w:val="single" w:sz="4" w:space="0" w:color="B7BDC5" w:themeColor="background1" w:themeShade="BF"/>
          <w:insideH w:val="single" w:sz="4" w:space="0" w:color="B7BDC5" w:themeColor="background1" w:themeShade="BF"/>
          <w:insideV w:val="single" w:sz="4" w:space="0" w:color="B7BDC5" w:themeColor="background1" w:themeShade="BF"/>
        </w:tblBorders>
        <w:tblLayout w:type="fixed"/>
        <w:tblLook w:val="04A0" w:firstRow="1" w:lastRow="0" w:firstColumn="1" w:lastColumn="0" w:noHBand="0" w:noVBand="1"/>
      </w:tblPr>
      <w:tblGrid>
        <w:gridCol w:w="15120"/>
      </w:tblGrid>
      <w:tr w:rsidR="00416B89" w14:paraId="5B2FAC7B" w14:textId="77777777" w:rsidTr="00E65CC9">
        <w:trPr/>
        <w:tc>
          <w:tcPr>
            <w:tcW w:w="15120" w:type="dxa"/>
            <w:vAlign w:val="center"/>
          </w:tcPr>
          <w:p w14:paraId="133108EA" w14:textId="656617DA" w:rsidR="00416B89" w:rsidRPr="00BF2EA6" w:rsidRDefault="009D04DC" w:rsidP="009D04DC">
            <w:pPr>
              <w:keepNext/>
              <w:pageBreakBefore w:val="0"/>
              <w:spacing w:after="60"/>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c>
          <w:tcPr>
            <w:tcW w:w="15120" w:type="dxa"/>
            <w:shd w:val="clear" w:color="auto" w:fill="D9E2F3" w:themeFill="accent1" w:themeFillTint="33"/>
            <w:vAlign w:val="center"/>
          </w:tcPr>
          <w:p w14:paraId="4EF8E2B8" w14:textId="0172F32A" w:rsidR="00416B89" w:rsidRPr="00874D16" w:rsidRDefault="00416B89" w:rsidP="00E65CC9">
            <w:pPr>
              <w:pStyle w:val="Piedepgina"/>
              <w:keepNext/>
              <w:spacing w:after="60"/>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pPr>
        <w:spacing w:after="100"/>
      </w:pPr>
      <w:r>
        <w:t>Semanas académicas relativas. Se conserva la distribución de fases de la guía. El plan del equipo comienza en S3; S1 y S2 no tienen actividades asignadas en su Gantt. Fechas calendario y horas del ramo: por confirmar.</w:t>
      </w:r>
    </w:p>
    <w:tbl>
      <w:tblPr>
        <w:tblW w:type="dxa" w:w="15149"/>
        <w:jc w:val="center"/>
        <w:tblLayout w:type="fixed"/>
        <w:tblLook w:firstColumn="1" w:firstRow="1" w:lastColumn="0" w:lastRow="0" w:noHBand="0" w:noVBand="1" w:val="04A0"/>
        <w:tblBorders>
          <w:top w:val="single" w:sz="4" w:color="B7BDC5"/>
          <w:left w:val="single" w:sz="4" w:color="B7BDC5"/>
          <w:bottom w:val="single" w:sz="4" w:color="B7BDC5"/>
          <w:right w:val="single" w:sz="4" w:color="B7BDC5"/>
          <w:insideH w:val="single" w:sz="4" w:color="B7BDC5"/>
          <w:insideV w:val="single" w:sz="4" w:color="B7BDC5"/>
        </w:tblBorders>
      </w:tblPr>
      <w:tblGrid>
        <w:gridCol w:w="3744"/>
        <w:gridCol w:w="634"/>
        <w:gridCol w:w="634"/>
        <w:gridCol w:w="634"/>
        <w:gridCol w:w="634"/>
        <w:gridCol w:w="634"/>
        <w:gridCol w:w="634"/>
        <w:gridCol w:w="634"/>
        <w:gridCol w:w="634"/>
        <w:gridCol w:w="634"/>
        <w:gridCol w:w="634"/>
        <w:gridCol w:w="634"/>
        <w:gridCol w:w="634"/>
        <w:gridCol w:w="634"/>
        <w:gridCol w:w="634"/>
        <w:gridCol w:w="634"/>
        <w:gridCol w:w="634"/>
        <w:gridCol w:w="634"/>
        <w:gridCol w:w="634"/>
      </w:tblGrid>
      <w:tr>
        <w:trPr>
          <w:tblHeader/>
        </w:trPr>
        <w:tc>
          <w:tcPr>
            <w:tcW w:type="dxa" w:w="3744"/>
            <w:vMerge w:val="restart"/>
            <w:vAlign w:val="center"/>
          </w:tcPr>
          <w:p>
            <w:pPr>
              <w:keepNext w:val="0"/>
              <w:keepLines w:val="0"/>
              <w:spacing w:before="0" w:after="60" w:line="240" w:lineRule="auto"/>
            </w:pPr>
            <w:r/>
            <w:r>
              <w:rPr>
                <w:rFonts w:ascii="Calibri" w:hAnsi="Calibri"/>
                <w:b/>
                <w:i w:val="0"/>
                <w:color w:val="000000"/>
                <w:sz w:val="20"/>
              </w:rPr>
              <w:t>Actividad</w:t>
            </w:r>
          </w:p>
        </w:tc>
        <w:tc>
          <w:tcPr>
            <w:tcW w:type="dxa" w:w="634"/>
            <w:gridSpan w:val="4"/>
            <w:vAlign w:val="center"/>
            <w:shd w:fill="E2EFD9"/>
          </w:tcPr>
          <w:p>
            <w:pPr>
              <w:keepNext w:val="0"/>
              <w:keepLines w:val="0"/>
              <w:spacing w:before="0" w:after="60" w:line="240" w:lineRule="auto"/>
            </w:pPr>
            <w:r/>
            <w:r>
              <w:rPr>
                <w:rFonts w:ascii="Calibri" w:hAnsi="Calibri"/>
                <w:b/>
                <w:i w:val="0"/>
                <w:color w:val="000000"/>
                <w:sz w:val="20"/>
              </w:rPr>
              <w:t>Fase 1</w:t>
            </w:r>
          </w:p>
        </w:tc>
        <w:tc>
          <w:tcPr>
            <w:tcW w:type="dxa" w:w="634"/>
            <w:gridSpan w:val="11"/>
            <w:vAlign w:val="center"/>
            <w:shd w:fill="FFF2CC"/>
          </w:tcPr>
          <w:p>
            <w:pPr>
              <w:keepNext w:val="0"/>
              <w:keepLines w:val="0"/>
              <w:spacing w:before="0" w:after="60" w:line="240" w:lineRule="auto"/>
            </w:pPr>
            <w:r/>
            <w:r>
              <w:rPr>
                <w:rFonts w:ascii="Calibri" w:hAnsi="Calibri"/>
                <w:b/>
                <w:i w:val="0"/>
                <w:color w:val="000000"/>
                <w:sz w:val="20"/>
              </w:rPr>
              <w:t>Fase 2</w:t>
            </w:r>
          </w:p>
        </w:tc>
        <w:tc>
          <w:tcPr>
            <w:tcW w:type="dxa" w:w="634"/>
            <w:gridSpan w:val="3"/>
            <w:vAlign w:val="center"/>
            <w:shd w:fill="FBE4D5"/>
          </w:tcPr>
          <w:p>
            <w:pPr>
              <w:keepNext w:val="0"/>
              <w:keepLines w:val="0"/>
              <w:spacing w:before="0" w:after="60" w:line="240" w:lineRule="auto"/>
            </w:pPr>
            <w:r/>
            <w:r>
              <w:rPr>
                <w:rFonts w:ascii="Calibri" w:hAnsi="Calibri"/>
                <w:b/>
                <w:i w:val="0"/>
                <w:color w:val="000000"/>
                <w:sz w:val="20"/>
              </w:rPr>
              <w:t>Fase 3</w:t>
            </w:r>
          </w:p>
        </w:tc>
      </w:tr>
      <w:tr>
        <w:trPr>
          <w:tblHeader/>
        </w:trPr>
        <w:tc>
          <w:tcPr>
            <w:tcW w:type="dxa" w:w="797"/>
            <w:vMerge/>
          </w:tcPr>
          <w:p/>
        </w:tc>
        <w:tc>
          <w:tcPr>
            <w:tcW w:type="dxa" w:w="634"/>
            <w:vAlign w:val="center"/>
          </w:tcPr>
          <w:p>
            <w:pPr>
              <w:keepNext w:val="0"/>
              <w:keepLines w:val="0"/>
              <w:spacing w:before="0" w:after="60" w:line="240" w:lineRule="auto"/>
            </w:pPr>
            <w:r/>
            <w:r>
              <w:rPr>
                <w:rFonts w:ascii="Calibri" w:hAnsi="Calibri"/>
                <w:b/>
                <w:i w:val="0"/>
                <w:color w:val="000000"/>
                <w:sz w:val="18"/>
              </w:rPr>
              <w:t>1</w:t>
            </w:r>
          </w:p>
        </w:tc>
        <w:tc>
          <w:tcPr>
            <w:tcW w:type="dxa" w:w="634"/>
            <w:vAlign w:val="center"/>
          </w:tcPr>
          <w:p>
            <w:pPr>
              <w:keepNext w:val="0"/>
              <w:keepLines w:val="0"/>
              <w:spacing w:before="0" w:after="60" w:line="240" w:lineRule="auto"/>
            </w:pPr>
            <w:r/>
            <w:r>
              <w:rPr>
                <w:rFonts w:ascii="Calibri" w:hAnsi="Calibri"/>
                <w:b/>
                <w:i w:val="0"/>
                <w:color w:val="000000"/>
                <w:sz w:val="18"/>
              </w:rPr>
              <w:t>2</w:t>
            </w:r>
          </w:p>
        </w:tc>
        <w:tc>
          <w:tcPr>
            <w:tcW w:type="dxa" w:w="634"/>
            <w:vAlign w:val="center"/>
          </w:tcPr>
          <w:p>
            <w:pPr>
              <w:keepNext w:val="0"/>
              <w:keepLines w:val="0"/>
              <w:spacing w:before="0" w:after="60" w:line="240" w:lineRule="auto"/>
            </w:pPr>
            <w:r/>
            <w:r>
              <w:rPr>
                <w:rFonts w:ascii="Calibri" w:hAnsi="Calibri"/>
                <w:b/>
                <w:i w:val="0"/>
                <w:color w:val="000000"/>
                <w:sz w:val="18"/>
              </w:rPr>
              <w:t>3</w:t>
            </w:r>
          </w:p>
        </w:tc>
        <w:tc>
          <w:tcPr>
            <w:tcW w:type="dxa" w:w="634"/>
            <w:vAlign w:val="center"/>
          </w:tcPr>
          <w:p>
            <w:pPr>
              <w:keepNext w:val="0"/>
              <w:keepLines w:val="0"/>
              <w:spacing w:before="0" w:after="60" w:line="240" w:lineRule="auto"/>
            </w:pPr>
            <w:r/>
            <w:r>
              <w:rPr>
                <w:rFonts w:ascii="Calibri" w:hAnsi="Calibri"/>
                <w:b/>
                <w:i w:val="0"/>
                <w:color w:val="000000"/>
                <w:sz w:val="18"/>
              </w:rPr>
              <w:t>4</w:t>
            </w:r>
          </w:p>
        </w:tc>
        <w:tc>
          <w:tcPr>
            <w:tcW w:type="dxa" w:w="634"/>
            <w:vAlign w:val="center"/>
          </w:tcPr>
          <w:p>
            <w:pPr>
              <w:keepNext w:val="0"/>
              <w:keepLines w:val="0"/>
              <w:spacing w:before="0" w:after="60" w:line="240" w:lineRule="auto"/>
            </w:pPr>
            <w:r/>
            <w:r>
              <w:rPr>
                <w:rFonts w:ascii="Calibri" w:hAnsi="Calibri"/>
                <w:b/>
                <w:i w:val="0"/>
                <w:color w:val="000000"/>
                <w:sz w:val="18"/>
              </w:rPr>
              <w:t>5</w:t>
            </w:r>
          </w:p>
        </w:tc>
        <w:tc>
          <w:tcPr>
            <w:tcW w:type="dxa" w:w="634"/>
            <w:vAlign w:val="center"/>
          </w:tcPr>
          <w:p>
            <w:pPr>
              <w:keepNext w:val="0"/>
              <w:keepLines w:val="0"/>
              <w:spacing w:before="0" w:after="60" w:line="240" w:lineRule="auto"/>
            </w:pPr>
            <w:r/>
            <w:r>
              <w:rPr>
                <w:rFonts w:ascii="Calibri" w:hAnsi="Calibri"/>
                <w:b/>
                <w:i w:val="0"/>
                <w:color w:val="000000"/>
                <w:sz w:val="18"/>
              </w:rPr>
              <w:t>6</w:t>
            </w:r>
          </w:p>
        </w:tc>
        <w:tc>
          <w:tcPr>
            <w:tcW w:type="dxa" w:w="634"/>
            <w:vAlign w:val="center"/>
          </w:tcPr>
          <w:p>
            <w:pPr>
              <w:keepNext w:val="0"/>
              <w:keepLines w:val="0"/>
              <w:spacing w:before="0" w:after="60" w:line="240" w:lineRule="auto"/>
            </w:pPr>
            <w:r/>
            <w:r>
              <w:rPr>
                <w:rFonts w:ascii="Calibri" w:hAnsi="Calibri"/>
                <w:b/>
                <w:i w:val="0"/>
                <w:color w:val="000000"/>
                <w:sz w:val="18"/>
              </w:rPr>
              <w:t>7</w:t>
            </w:r>
          </w:p>
        </w:tc>
        <w:tc>
          <w:tcPr>
            <w:tcW w:type="dxa" w:w="634"/>
            <w:vAlign w:val="center"/>
          </w:tcPr>
          <w:p>
            <w:pPr>
              <w:keepNext w:val="0"/>
              <w:keepLines w:val="0"/>
              <w:spacing w:before="0" w:after="60" w:line="240" w:lineRule="auto"/>
            </w:pPr>
            <w:r/>
            <w:r>
              <w:rPr>
                <w:rFonts w:ascii="Calibri" w:hAnsi="Calibri"/>
                <w:b/>
                <w:i w:val="0"/>
                <w:color w:val="000000"/>
                <w:sz w:val="18"/>
              </w:rPr>
              <w:t>8</w:t>
            </w:r>
          </w:p>
        </w:tc>
        <w:tc>
          <w:tcPr>
            <w:tcW w:type="dxa" w:w="634"/>
            <w:vAlign w:val="center"/>
          </w:tcPr>
          <w:p>
            <w:pPr>
              <w:keepNext w:val="0"/>
              <w:keepLines w:val="0"/>
              <w:spacing w:before="0" w:after="60" w:line="240" w:lineRule="auto"/>
            </w:pPr>
            <w:r/>
            <w:r>
              <w:rPr>
                <w:rFonts w:ascii="Calibri" w:hAnsi="Calibri"/>
                <w:b/>
                <w:i w:val="0"/>
                <w:color w:val="000000"/>
                <w:sz w:val="18"/>
              </w:rPr>
              <w:t>9</w:t>
            </w:r>
          </w:p>
        </w:tc>
        <w:tc>
          <w:tcPr>
            <w:tcW w:type="dxa" w:w="634"/>
            <w:vAlign w:val="center"/>
          </w:tcPr>
          <w:p>
            <w:pPr>
              <w:keepNext w:val="0"/>
              <w:keepLines w:val="0"/>
              <w:spacing w:before="0" w:after="60" w:line="240" w:lineRule="auto"/>
            </w:pPr>
            <w:r/>
            <w:r>
              <w:rPr>
                <w:rFonts w:ascii="Calibri" w:hAnsi="Calibri"/>
                <w:b/>
                <w:i w:val="0"/>
                <w:color w:val="000000"/>
                <w:sz w:val="18"/>
              </w:rPr>
              <w:t>10</w:t>
            </w:r>
          </w:p>
        </w:tc>
        <w:tc>
          <w:tcPr>
            <w:tcW w:type="dxa" w:w="634"/>
            <w:vAlign w:val="center"/>
          </w:tcPr>
          <w:p>
            <w:pPr>
              <w:keepNext w:val="0"/>
              <w:keepLines w:val="0"/>
              <w:spacing w:before="0" w:after="60" w:line="240" w:lineRule="auto"/>
            </w:pPr>
            <w:r/>
            <w:r>
              <w:rPr>
                <w:rFonts w:ascii="Calibri" w:hAnsi="Calibri"/>
                <w:b/>
                <w:i w:val="0"/>
                <w:color w:val="000000"/>
                <w:sz w:val="18"/>
              </w:rPr>
              <w:t>11</w:t>
            </w:r>
          </w:p>
        </w:tc>
        <w:tc>
          <w:tcPr>
            <w:tcW w:type="dxa" w:w="634"/>
            <w:vAlign w:val="center"/>
          </w:tcPr>
          <w:p>
            <w:pPr>
              <w:keepNext w:val="0"/>
              <w:keepLines w:val="0"/>
              <w:spacing w:before="0" w:after="60" w:line="240" w:lineRule="auto"/>
            </w:pPr>
            <w:r/>
            <w:r>
              <w:rPr>
                <w:rFonts w:ascii="Calibri" w:hAnsi="Calibri"/>
                <w:b/>
                <w:i w:val="0"/>
                <w:color w:val="000000"/>
                <w:sz w:val="18"/>
              </w:rPr>
              <w:t>12</w:t>
            </w:r>
          </w:p>
        </w:tc>
        <w:tc>
          <w:tcPr>
            <w:tcW w:type="dxa" w:w="634"/>
            <w:vAlign w:val="center"/>
          </w:tcPr>
          <w:p>
            <w:pPr>
              <w:keepNext w:val="0"/>
              <w:keepLines w:val="0"/>
              <w:spacing w:before="0" w:after="60" w:line="240" w:lineRule="auto"/>
            </w:pPr>
            <w:r/>
            <w:r>
              <w:rPr>
                <w:rFonts w:ascii="Calibri" w:hAnsi="Calibri"/>
                <w:b/>
                <w:i w:val="0"/>
                <w:color w:val="000000"/>
                <w:sz w:val="18"/>
              </w:rPr>
              <w:t>13</w:t>
            </w:r>
          </w:p>
        </w:tc>
        <w:tc>
          <w:tcPr>
            <w:tcW w:type="dxa" w:w="634"/>
            <w:vAlign w:val="center"/>
          </w:tcPr>
          <w:p>
            <w:pPr>
              <w:keepNext w:val="0"/>
              <w:keepLines w:val="0"/>
              <w:spacing w:before="0" w:after="60" w:line="240" w:lineRule="auto"/>
            </w:pPr>
            <w:r/>
            <w:r>
              <w:rPr>
                <w:rFonts w:ascii="Calibri" w:hAnsi="Calibri"/>
                <w:b/>
                <w:i w:val="0"/>
                <w:color w:val="000000"/>
                <w:sz w:val="18"/>
              </w:rPr>
              <w:t>14</w:t>
            </w:r>
          </w:p>
        </w:tc>
        <w:tc>
          <w:tcPr>
            <w:tcW w:type="dxa" w:w="634"/>
            <w:vAlign w:val="center"/>
          </w:tcPr>
          <w:p>
            <w:pPr>
              <w:keepNext w:val="0"/>
              <w:keepLines w:val="0"/>
              <w:spacing w:before="0" w:after="60" w:line="240" w:lineRule="auto"/>
            </w:pPr>
            <w:r/>
            <w:r>
              <w:rPr>
                <w:rFonts w:ascii="Calibri" w:hAnsi="Calibri"/>
                <w:b/>
                <w:i w:val="0"/>
                <w:color w:val="000000"/>
                <w:sz w:val="18"/>
              </w:rPr>
              <w:t>15</w:t>
            </w:r>
          </w:p>
        </w:tc>
        <w:tc>
          <w:tcPr>
            <w:tcW w:type="dxa" w:w="634"/>
            <w:vAlign w:val="center"/>
          </w:tcPr>
          <w:p>
            <w:pPr>
              <w:keepNext w:val="0"/>
              <w:keepLines w:val="0"/>
              <w:spacing w:before="0" w:after="60" w:line="240" w:lineRule="auto"/>
            </w:pPr>
            <w:r/>
            <w:r>
              <w:rPr>
                <w:rFonts w:ascii="Calibri" w:hAnsi="Calibri"/>
                <w:b/>
                <w:i w:val="0"/>
                <w:color w:val="000000"/>
                <w:sz w:val="18"/>
              </w:rPr>
              <w:t>16</w:t>
            </w:r>
          </w:p>
        </w:tc>
        <w:tc>
          <w:tcPr>
            <w:tcW w:type="dxa" w:w="634"/>
            <w:vAlign w:val="center"/>
          </w:tcPr>
          <w:p>
            <w:pPr>
              <w:keepNext w:val="0"/>
              <w:keepLines w:val="0"/>
              <w:spacing w:before="0" w:after="60" w:line="240" w:lineRule="auto"/>
            </w:pPr>
            <w:r/>
            <w:r>
              <w:rPr>
                <w:rFonts w:ascii="Calibri" w:hAnsi="Calibri"/>
                <w:b/>
                <w:i w:val="0"/>
                <w:color w:val="000000"/>
                <w:sz w:val="18"/>
              </w:rPr>
              <w:t>17</w:t>
            </w:r>
          </w:p>
        </w:tc>
        <w:tc>
          <w:tcPr>
            <w:tcW w:type="dxa" w:w="634"/>
            <w:vAlign w:val="center"/>
          </w:tcPr>
          <w:p>
            <w:pPr>
              <w:keepNext w:val="0"/>
              <w:keepLines w:val="0"/>
              <w:spacing w:before="0" w:after="60" w:line="240" w:lineRule="auto"/>
            </w:pPr>
            <w:r/>
            <w:r>
              <w:rPr>
                <w:rFonts w:ascii="Calibri" w:hAnsi="Calibri"/>
                <w:b/>
                <w:i w:val="0"/>
                <w:color w:val="000000"/>
                <w:sz w:val="18"/>
              </w:rPr>
              <w:t>18</w:t>
            </w:r>
          </w:p>
        </w:tc>
      </w:tr>
      <w:tr>
        <w:trPr/>
        <w:tc>
          <w:tcPr>
            <w:tcW w:type="dxa" w:w="3744"/>
            <w:vAlign w:val="center"/>
          </w:tcPr>
          <w:p>
            <w:pPr>
              <w:keepNext w:val="0"/>
              <w:keepLines w:val="0"/>
              <w:spacing w:before="0" w:after="60" w:line="240" w:lineRule="auto"/>
            </w:pPr>
            <w:r/>
            <w:r>
              <w:rPr>
                <w:rFonts w:ascii="Calibri" w:hAnsi="Calibri"/>
                <w:b w:val="0"/>
                <w:i w:val="0"/>
                <w:color w:val="000000"/>
                <w:sz w:val="20"/>
              </w:rPr>
              <w:t>A1 Alcance y estudio de mercado</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A2 Diseño y decisiones técnicas</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A3 Obtención de oportunidades</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A4 Filtrado e integración LLM</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A5 Interfaz de consulta</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A6 Identidad y análisis documental</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A7 Tablero de control</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A8 Presupuesto y seguimiento</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A9 Integración y reportería</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A10 Pruebas y ajustes</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A11 Documentación</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r>
      <w:tr>
        <w:trPr/>
        <w:tc>
          <w:tcPr>
            <w:tcW w:type="dxa" w:w="3744"/>
            <w:vAlign w:val="center"/>
          </w:tcPr>
          <w:p>
            <w:pPr>
              <w:keepNext w:val="0"/>
              <w:keepLines w:val="0"/>
              <w:spacing w:before="0" w:after="60" w:line="240" w:lineRule="auto"/>
            </w:pPr>
            <w:r/>
            <w:r>
              <w:rPr>
                <w:rFonts w:ascii="Calibri" w:hAnsi="Calibri"/>
                <w:b w:val="0"/>
                <w:i w:val="0"/>
                <w:color w:val="000000"/>
                <w:sz w:val="20"/>
              </w:rPr>
              <w:t>A12 Validación y entrega</w:t>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tcPr>
          <w:p>
            <w:pPr>
              <w:keepNext w:val="0"/>
              <w:keepLines w:val="0"/>
              <w:spacing w:before="0" w:after="60" w:line="240" w:lineRule="auto"/>
              <w:jc w:val="center"/>
            </w:pPr>
            <w:r/>
            <w:r>
              <w:rPr>
                <w:rFonts w:ascii="Calibri" w:hAnsi="Calibri"/>
                <w:b w:val="0"/>
                <w:i w:val="0"/>
                <w:color w:val="000000"/>
                <w:sz w:val="18"/>
              </w:rPr>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c>
          <w:tcPr>
            <w:tcW w:type="dxa" w:w="634"/>
            <w:vAlign w:val="center"/>
            <w:shd w:fill="C9DCEC"/>
          </w:tcPr>
          <w:p>
            <w:pPr>
              <w:keepNext w:val="0"/>
              <w:keepLines w:val="0"/>
              <w:spacing w:before="0" w:after="60" w:line="240" w:lineRule="auto"/>
              <w:jc w:val="center"/>
            </w:pPr>
            <w:r/>
            <w:r>
              <w:rPr>
                <w:rFonts w:ascii="Calibri" w:hAnsi="Calibri"/>
                <w:b w:val="0"/>
                <w:i w:val="0"/>
                <w:color w:val="000000"/>
                <w:sz w:val="18"/>
              </w:rPr>
              <w:t>●</w:t>
            </w:r>
          </w:p>
        </w:tc>
      </w:tr>
    </w:tbl>
    <w:p w14:paraId="18F2DC26" w14:textId="77777777" w:rsidR="00D110EC" w:rsidRDefault="00D110EC"/>
    <w:sectPr w:rsidR="00D110EC">
      <w:headerReference w:type="default" r:id="rId10"/>
      <w:pgSz w:w="16838" w:h="11906"/>
      <w:pgMar w:top="1020" w:right="850" w:bottom="1020"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Licing | Thomas Leighton | Fase 1</w:t>
    </w:r>
    <w:r>
      <w:rPr>
        <w:rFonts w:ascii="Calibri" w:hAnsi="Calibri"/>
        <w:color w:val="666666"/>
        <w:sz w:val="18"/>
      </w:rPr>
      <w:t xml:space="preserve"> · </w:t>
    </w:r>
    <w:fldSimple w:instr="PAG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Licing</dc:title>
  <dc:subject/>
  <dc:creator>Thomas Alexander Leighton Nuñez</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