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74CA" w:rsidRDefault="00000000">
      <w:pPr>
        <w:spacing w:after="160"/>
      </w:pPr>
      <w:r>
        <w:rPr>
          <w:b/>
          <w:bCs/>
          <w:color w:val="1F3864"/>
          <w:sz w:val="40"/>
          <w:szCs w:val="40"/>
        </w:rPr>
        <w:t>Silenzio assenso TFR 2026: cosa cambia davvero dal 1° luglio (e perché non puoi più rimandare)</w:t>
      </w:r>
    </w:p>
    <w:p w:rsidR="00EB74CA" w:rsidRDefault="00000000">
      <w:pPr>
        <w:spacing w:after="320"/>
      </w:pPr>
      <w:r>
        <w:rPr>
          <w:i/>
          <w:iCs/>
          <w:color w:val="595959"/>
          <w:sz w:val="24"/>
          <w:szCs w:val="24"/>
        </w:rPr>
        <w:t>Dal 1° luglio 2026 l'adesione alla previdenza complementare diventa la regola, la rinuncia l'eccezione. Cosa significa per i lavoratori dipendenti del settore privato, perché lo Stato lo sta facendo davvero e come trasformare un automatismo normativo in una scelta consapevole.</w:t>
      </w:r>
    </w:p>
    <w:p w:rsidR="00EB74CA" w:rsidRDefault="00000000">
      <w:pPr>
        <w:spacing w:after="240"/>
      </w:pPr>
      <w:r>
        <w:rPr>
          <w:i/>
          <w:iCs/>
          <w:color w:val="808080"/>
          <w:sz w:val="20"/>
          <w:szCs w:val="20"/>
        </w:rPr>
        <w:t xml:space="preserve">A cura di </w:t>
      </w:r>
      <w:r>
        <w:rPr>
          <w:b/>
          <w:bCs/>
          <w:i/>
          <w:iCs/>
          <w:color w:val="808080"/>
          <w:sz w:val="20"/>
          <w:szCs w:val="20"/>
        </w:rPr>
        <w:t>Dott. Amine Alahiyane, CFP®</w:t>
      </w:r>
      <w:r>
        <w:rPr>
          <w:i/>
          <w:iCs/>
          <w:color w:val="808080"/>
          <w:sz w:val="20"/>
          <w:szCs w:val="20"/>
        </w:rPr>
        <w:t xml:space="preserve"> </w:t>
      </w:r>
    </w:p>
    <w:p w:rsidR="00EB74CA" w:rsidRDefault="00000000">
      <w:pPr>
        <w:spacing w:after="160" w:line="300" w:lineRule="auto"/>
        <w:jc w:val="both"/>
      </w:pPr>
      <w:r>
        <w:t xml:space="preserve">Per la prima volta nella storia previdenziale italiana, non scegliere è una scelta. </w:t>
      </w:r>
      <w:r>
        <w:rPr>
          <w:b/>
          <w:bCs/>
        </w:rPr>
        <w:t>Dal 1° luglio 2026</w:t>
      </w:r>
      <w:r>
        <w:t xml:space="preserve"> — con l'entrata in vigore dell'articolo 1, commi 203-205 della Legge 30 dicembre 2025 n. 199 (Legge di Bilancio 2026) — i lavoratori dipendenti del settore privato che vengono assunti per la prima volta saranno iscritti automaticamente alla previdenza complementare. Se entro 60 giorni dall'assunzione non manifestano espressamente una scelta diversa, il loro TFR confluirà di default nel fondo pensione previsto dal contratto collettivo applicato in azienda.</w:t>
      </w:r>
    </w:p>
    <w:p w:rsidR="00EB74CA" w:rsidRDefault="00000000">
      <w:pPr>
        <w:spacing w:after="160" w:line="300" w:lineRule="auto"/>
        <w:jc w:val="both"/>
      </w:pPr>
      <w:r>
        <w:t>Non è un dettaglio tecnico. È un cambio di paradigma culturale.</w:t>
      </w:r>
    </w:p>
    <w:p w:rsidR="00EB74CA" w:rsidRDefault="00000000">
      <w:pPr>
        <w:spacing w:after="160" w:line="300" w:lineRule="auto"/>
        <w:jc w:val="both"/>
      </w:pPr>
      <w:r>
        <w:t xml:space="preserve">Per decenni, il sistema italiano si è retto su una promessa implicita: </w:t>
      </w:r>
      <w:r>
        <w:rPr>
          <w:i/>
          <w:iCs/>
        </w:rPr>
        <w:t>ci penserà lo Stato</w:t>
      </w:r>
      <w:r>
        <w:t>. Pensione pubblica, TFR in azienda, magari una casa in più. Quella promessa, oggi, lo dice il legislatore stesso: non basta. E lo dice nel modo più chiaro possibile, ribaltando l'onere della scelta. Non sei più tu che devi attivarti per aderire alla previdenza integrativa. Sei tu che, se vuoi restarne fuori, devi dirlo entro un tempo preciso.</w:t>
      </w:r>
    </w:p>
    <w:p w:rsidR="00EB74CA" w:rsidRDefault="00000000">
      <w:pPr>
        <w:spacing w:after="160" w:line="300" w:lineRule="auto"/>
        <w:jc w:val="both"/>
      </w:pPr>
      <w:r>
        <w:t>In questo articolo voglio aiutarti a capire tre cose: cosa cambia concretamente per te il 1° luglio 2026, perché lo Stato lo sta facendo proprio adesso, e — soprattutto — come trasformare un automatismo normativo in una decisione tua, consapevole, costruita su misura della tua vita.</w:t>
      </w:r>
    </w:p>
    <w:p w:rsidR="00EB74CA" w:rsidRDefault="00000000">
      <w:pPr>
        <w:spacing w:after="160" w:line="300" w:lineRule="auto"/>
        <w:jc w:val="both"/>
      </w:pPr>
      <w:r>
        <w:t>Approfondisco questo tema in modo molto più ampio nel libro che sto per pubblicare. Se vuoi essere tra i primi a leggerlo quando uscirà, alla fine dell'articolo trovi come iscriverti alla lista d'attesa.</w:t>
      </w:r>
    </w:p>
    <w:p w:rsidR="00EB74CA" w:rsidRDefault="00000000">
      <w:pPr>
        <w:pStyle w:val="Titolo2"/>
        <w:spacing w:before="240"/>
      </w:pPr>
      <w:r>
        <w:t>Cos'è il silenzio assenso TFR e cosa cambia dal 1° luglio 2026</w:t>
      </w:r>
    </w:p>
    <w:p w:rsidR="00EB74CA" w:rsidRDefault="00000000">
      <w:pPr>
        <w:spacing w:after="160" w:line="300" w:lineRule="auto"/>
        <w:jc w:val="both"/>
      </w:pPr>
      <w:r>
        <w:t xml:space="preserve">Il </w:t>
      </w:r>
      <w:r>
        <w:rPr>
          <w:b/>
          <w:bCs/>
        </w:rPr>
        <w:t>silenzio assenso</w:t>
      </w:r>
      <w:r>
        <w:t xml:space="preserve"> è il meccanismo per cui l'assenza di una scelta esplicita da parte del lavoratore equivale, ai fini di legge, a una scelta affermativa. Applicato alla previdenza complementare, significa questo: se al momento dell'assunzione non comunichi nulla, il tuo TFR — il trattamento di fine rapporto — viene destinato automaticamente a un fondo pensione di categoria, quello previsto dal contratto collettivo nazionale (CCNL) applicato alla tua azienda.</w:t>
      </w:r>
    </w:p>
    <w:p w:rsidR="00EB74CA" w:rsidRDefault="00000000">
      <w:pPr>
        <w:spacing w:after="160" w:line="300" w:lineRule="auto"/>
        <w:jc w:val="both"/>
      </w:pPr>
      <w:r>
        <w:t>Fino al 30 giugno 2026, le regole erano diverse. Avevi sei mesi di tempo per decidere dove far confluire il tuo TFR e, in assenza di scelta, scattava comunque un meccanismo di adesione tacita, ma con caratteristiche più morbide. Dal 1° luglio 2026, tutto cambia.</w:t>
      </w:r>
    </w:p>
    <w:p w:rsidR="00EB74CA" w:rsidRDefault="00000000">
      <w:pPr>
        <w:pStyle w:val="Titolo3"/>
        <w:spacing w:before="200"/>
      </w:pPr>
      <w:r>
        <w:t>Le tre novità da conoscere</w:t>
      </w:r>
    </w:p>
    <w:p w:rsidR="00EB74CA" w:rsidRDefault="00000000">
      <w:pPr>
        <w:pStyle w:val="Paragrafoelenco"/>
        <w:numPr>
          <w:ilvl w:val="0"/>
          <w:numId w:val="2"/>
        </w:numPr>
        <w:spacing w:after="100" w:line="300" w:lineRule="auto"/>
        <w:jc w:val="both"/>
      </w:pPr>
      <w:r>
        <w:rPr>
          <w:b/>
          <w:bCs/>
        </w:rPr>
        <w:lastRenderedPageBreak/>
        <w:t xml:space="preserve">Adesione automatica dal primo giorno. </w:t>
      </w:r>
      <w:r>
        <w:t>Per i lavoratori alla prima esperienza lavorativa, al momento dell'assunzione si è di fatto già '</w:t>
      </w:r>
      <w:proofErr w:type="spellStart"/>
      <w:r>
        <w:t>pre</w:t>
      </w:r>
      <w:proofErr w:type="spellEnd"/>
      <w:r>
        <w:t>-iscritti' al fondo pensione di categoria. L'iscrizione non richiede più una manifestazione di volontà iniziale.</w:t>
      </w:r>
    </w:p>
    <w:p w:rsidR="00EB74CA" w:rsidRDefault="00000000">
      <w:pPr>
        <w:pStyle w:val="Paragrafoelenco"/>
        <w:numPr>
          <w:ilvl w:val="0"/>
          <w:numId w:val="2"/>
        </w:numPr>
        <w:spacing w:after="100" w:line="300" w:lineRule="auto"/>
        <w:jc w:val="both"/>
      </w:pPr>
      <w:r>
        <w:rPr>
          <w:b/>
          <w:bCs/>
        </w:rPr>
        <w:t xml:space="preserve">Finestra di scelta ridotta a 60 giorni. </w:t>
      </w:r>
      <w:r>
        <w:t>I sei mesi di tempo per riflettere diventano due. Entro 60 giorni dall'assunzione puoi decidere di destinare il TFR a un altro fondo pensione (di tua scelta) oppure di mantenerlo in azienda. Trascorsi i 60 giorni senza alcuna comunicazione, il datore di lavoro procede con l'iscrizione al fondo di riferimento e avvia i versamenti dal mese successivo.</w:t>
      </w:r>
    </w:p>
    <w:p w:rsidR="00EB74CA" w:rsidRDefault="00000000">
      <w:pPr>
        <w:pStyle w:val="Paragrafoelenco"/>
        <w:numPr>
          <w:ilvl w:val="0"/>
          <w:numId w:val="2"/>
        </w:numPr>
        <w:spacing w:after="100" w:line="300" w:lineRule="auto"/>
        <w:jc w:val="both"/>
      </w:pPr>
      <w:r>
        <w:rPr>
          <w:b/>
          <w:bCs/>
        </w:rPr>
        <w:t xml:space="preserve">Cosa confluisce nel fondo. </w:t>
      </w:r>
      <w:r>
        <w:t>Con l'adesione automatica al fondo finiscono tre cose: il TFR maturando, il contributo a carico del datore di lavoro previsto dal CCNL (quando previsto), e il contributo minimo del lavoratore nella misura stabilita dagli accordi applicabili.</w:t>
      </w:r>
    </w:p>
    <w:p w:rsidR="00EB74CA" w:rsidRDefault="00000000">
      <w:pPr>
        <w:spacing w:after="160" w:line="300" w:lineRule="auto"/>
        <w:jc w:val="both"/>
      </w:pPr>
      <w:r>
        <w:t>C'è un punto che voglio sottolineare con forza, perché è quello che molte persone non capiscono: se il TFR finisce nel fondo pensione per silenzio assenso, la scelta è irreversibile. Non potrai più, in un secondo momento, ripensarci e riportare il TFR in azienda. Il percorso inverso, invece, resta possibile: se entro i 60 giorni scegli di lasciare il TFR in azienda, in qualsiasi momento futuro potrai cambiare idea e destinarlo a un fondo pensione.</w:t>
      </w:r>
    </w:p>
    <w:p w:rsidR="00EB74CA" w:rsidRDefault="00EB74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74CA">
        <w:tblPrEx>
          <w:tblCellMar>
            <w:top w:w="0" w:type="dxa"/>
            <w:bottom w:w="0" w:type="dxa"/>
          </w:tblCellMar>
        </w:tblPrEx>
        <w:tc>
          <w:tcPr>
            <w:tcW w:w="9360" w:type="dxa"/>
            <w:tcBorders>
              <w:top w:val="single" w:sz="8" w:space="0" w:color="1F3864"/>
              <w:left w:val="single" w:sz="8" w:space="0" w:color="1F3864"/>
              <w:bottom w:val="single" w:sz="8" w:space="0" w:color="1F3864"/>
              <w:right w:val="single" w:sz="8" w:space="0" w:color="1F3864"/>
            </w:tcBorders>
            <w:shd w:val="clear" w:color="auto" w:fill="EAF1F9"/>
            <w:tcMar>
              <w:top w:w="200" w:type="dxa"/>
              <w:left w:w="240" w:type="dxa"/>
              <w:bottom w:w="200" w:type="dxa"/>
              <w:right w:w="240" w:type="dxa"/>
            </w:tcMar>
          </w:tcPr>
          <w:p w:rsidR="00EB74CA" w:rsidRDefault="00000000">
            <w:pPr>
              <w:spacing w:after="120"/>
            </w:pPr>
            <w:r>
              <w:rPr>
                <w:b/>
                <w:bCs/>
                <w:color w:val="1F3864"/>
                <w:sz w:val="24"/>
                <w:szCs w:val="24"/>
              </w:rPr>
              <w:t>Facciamo chiarezza!</w:t>
            </w:r>
          </w:p>
          <w:p w:rsidR="00EB74CA" w:rsidRDefault="00000000">
            <w:pPr>
              <w:spacing w:after="160" w:line="300" w:lineRule="auto"/>
              <w:jc w:val="both"/>
            </w:pPr>
            <w:r>
              <w:t>Il TFR — Trattamento di Fine Rapporto — è una quota della tua retribuzione (circa il 6,91% della retribuzione annua lorda) che il datore di lavoro accantona ogni anno e ti liquida al termine del rapporto di lavoro. Può seguire due strade: restare in azienda (o essere versato al Fondo di Tesoreria INPS, per le aziende oltre una certa dimensione) oppure essere destinato a una forma di previdenza complementare.</w:t>
            </w:r>
          </w:p>
          <w:p w:rsidR="00EB74CA" w:rsidRDefault="00000000">
            <w:pPr>
              <w:spacing w:after="160" w:line="300" w:lineRule="auto"/>
              <w:jc w:val="both"/>
            </w:pPr>
            <w:r>
              <w:t>La differenza non è solo amministrativa. È fiscale, finanziaria e di prospettiva.</w:t>
            </w:r>
          </w:p>
          <w:p w:rsidR="00EB74CA" w:rsidRDefault="00000000">
            <w:pPr>
              <w:spacing w:after="160" w:line="300" w:lineRule="auto"/>
              <w:jc w:val="both"/>
            </w:pPr>
            <w:r>
              <w:rPr>
                <w:b/>
                <w:bCs/>
              </w:rPr>
              <w:t xml:space="preserve">TFR in azienda: </w:t>
            </w:r>
            <w:r>
              <w:t>viene rivalutato ogni anno dell'1,5% fisso più il 75% dell'inflazione. Al momento della liquidazione, viene tassato con un'aliquota IRPEF media calcolata sui tuoi ultimi cinque anni di redditi (in genere tra il 23% e il 43%).</w:t>
            </w:r>
          </w:p>
          <w:p w:rsidR="00EB74CA" w:rsidRDefault="00000000">
            <w:pPr>
              <w:spacing w:after="160" w:line="300" w:lineRule="auto"/>
              <w:jc w:val="both"/>
            </w:pPr>
            <w:r>
              <w:rPr>
                <w:b/>
                <w:bCs/>
              </w:rPr>
              <w:t xml:space="preserve">TFR nel fondo pensione: </w:t>
            </w:r>
            <w:r>
              <w:t>viene investito sui mercati finanziari secondo la linea di investimento prescelta. Al momento della prestazione, l'aliquota fiscale parte da un massimo del 15% e si riduce dello 0,30% per ogni anno di partecipazione oltre il quindicesimo, fino a un minimo del 9%.</w:t>
            </w:r>
          </w:p>
        </w:tc>
      </w:tr>
    </w:tbl>
    <w:p w:rsidR="00EB74CA" w:rsidRDefault="00EB74CA"/>
    <w:p w:rsidR="00EB74CA" w:rsidRDefault="00000000">
      <w:pPr>
        <w:pStyle w:val="Titolo2"/>
        <w:spacing w:before="240"/>
      </w:pPr>
      <w:r>
        <w:t>Perché lo Stato sta facendo questo proprio adesso (la verità demografica)</w:t>
      </w:r>
    </w:p>
    <w:p w:rsidR="00EB74CA" w:rsidRDefault="00000000">
      <w:pPr>
        <w:spacing w:after="160" w:line="300" w:lineRule="auto"/>
        <w:jc w:val="both"/>
      </w:pPr>
      <w:r>
        <w:t>La risposta breve è: perché la pensione pubblica, da sola, non basterà più. La risposta lunga è più scomoda, e merita di essere capita fino in fondo.</w:t>
      </w:r>
    </w:p>
    <w:p w:rsidR="00EB74CA" w:rsidRDefault="00000000">
      <w:pPr>
        <w:spacing w:after="160" w:line="300" w:lineRule="auto"/>
        <w:jc w:val="both"/>
      </w:pPr>
      <w:r>
        <w:lastRenderedPageBreak/>
        <w:t xml:space="preserve">Il sistema previdenziale italiano funziona </w:t>
      </w:r>
      <w:r>
        <w:rPr>
          <w:b/>
          <w:bCs/>
        </w:rPr>
        <w:t>a ripartizione</w:t>
      </w:r>
      <w:r>
        <w:t>. Tradotto: i contributi che versi oggi non vengono accantonati in un fondo intestato a te, da cui un domani attingerai. Vengono usati immediatamente per pagare le pensioni di chi è già in quiescenza. La promessa è implicita ma chiara: quando sarà il tuo turno, ci saranno altri lavoratori che faranno lo stesso per te.</w:t>
      </w:r>
    </w:p>
    <w:p w:rsidR="00EB74CA" w:rsidRDefault="00000000">
      <w:pPr>
        <w:spacing w:after="160" w:line="300" w:lineRule="auto"/>
        <w:jc w:val="both"/>
      </w:pPr>
      <w:r>
        <w:t>Finché ci sono molti lavoratori e pochi pensionati, il meccanismo regge. Quando il rapporto si inverte, comincia a scricchiolare.</w:t>
      </w:r>
    </w:p>
    <w:p w:rsidR="00EB74CA" w:rsidRDefault="00000000">
      <w:pPr>
        <w:pStyle w:val="Titolo3"/>
        <w:spacing w:before="200"/>
      </w:pPr>
      <w:r>
        <w:t>Lo schema delle caramelle (e perché ti riguarda)</w:t>
      </w:r>
    </w:p>
    <w:p w:rsidR="00EB74CA" w:rsidRDefault="00000000">
      <w:pPr>
        <w:spacing w:after="160" w:line="300" w:lineRule="auto"/>
        <w:jc w:val="both"/>
      </w:pPr>
      <w:r>
        <w:t>Ti racconto una piccola storia che uso spesso. C'era una volta un signore molto convincente che si avvicinò a un bambino e gli disse: «Se mi dai dieci caramelle oggi, tra una settimana te ne restituirò quindici». Il bambino accettò entusiasta. Una settimana dopo, però, il signore non aveva caramelle in più: nessuna fabbrica, nessun negozio, nessun campo di canna da zucchero. Trovò allora un secondo bambino a cui fece la stessa promessa. Con le dieci caramelle appena ricevute, ne prese quindici e le consegnò al primo. Funzionava — sembrava. In realtà, stava semplicemente usando le caramelle dei nuovi arrivati per pagare i vecchi.</w:t>
      </w:r>
    </w:p>
    <w:p w:rsidR="00EB74CA" w:rsidRDefault="00000000">
      <w:pPr>
        <w:spacing w:after="160" w:line="300" w:lineRule="auto"/>
        <w:jc w:val="both"/>
      </w:pPr>
      <w:r>
        <w:t>Il sistema reggeva solo finché continuavano a presentarsi nuovi bambini disposti a consegnare caramelle. Appena finivano i nuovi, il castello crollava.</w:t>
      </w:r>
    </w:p>
    <w:p w:rsidR="00EB74CA" w:rsidRDefault="00000000">
      <w:pPr>
        <w:spacing w:after="160" w:line="300" w:lineRule="auto"/>
        <w:jc w:val="both"/>
      </w:pPr>
      <w:r>
        <w:t xml:space="preserve">Attenzione — questa è una metafora estrema, non un'accusa. Il sistema pensionistico italiano ha finalità pubbliche e solidali, non fraudolente. Ma la dinamica strutturale presenta una somiglianza che è onesto riconoscere: </w:t>
      </w:r>
      <w:r>
        <w:rPr>
          <w:b/>
          <w:bCs/>
        </w:rPr>
        <w:t>dipende dall'apporto costante di nuovi contribuenti</w:t>
      </w:r>
      <w:r>
        <w:t>. E qui c'è il problema.</w:t>
      </w:r>
    </w:p>
    <w:p w:rsidR="00EB74CA" w:rsidRDefault="00000000">
      <w:pPr>
        <w:pStyle w:val="Titolo3"/>
        <w:spacing w:before="200"/>
      </w:pPr>
      <w:r>
        <w:t>I numeri che il legislatore ha letto prima di te</w:t>
      </w:r>
    </w:p>
    <w:p w:rsidR="00EB74CA" w:rsidRDefault="00000000">
      <w:pPr>
        <w:spacing w:after="160" w:line="300" w:lineRule="auto"/>
        <w:jc w:val="both"/>
      </w:pPr>
      <w:r>
        <w:t>Nel 1950, ogni donna italiana metteva al mondo in media 2,5 figli. Oggi siamo a 1,2 figli per donna, e il dato è stabile su questi livelli da oltre vent'anni. Nel frattempo l'aspettativa di vita è passata da 65 a quasi 84 anni. Più figli ne facciamo meno, più viviamo a lungo.</w:t>
      </w:r>
    </w:p>
    <w:p w:rsidR="00EB74CA" w:rsidRDefault="00000000">
      <w:pPr>
        <w:spacing w:after="160" w:line="300" w:lineRule="auto"/>
        <w:jc w:val="both"/>
      </w:pPr>
      <w:r>
        <w:t xml:space="preserve">Le proiezioni dell'INAPP (Istituto Nazionale per l'Analisi delle Politiche Pubbliche) stimano che nei prossimi dieci anni l'Italia perderà sei milioni di lavoratori, un esodo verso la pensione che non sarà compensato da nuovi ingressi nel mondo del lavoro. Il rapporto MEF 2025 </w:t>
      </w:r>
      <w:r>
        <w:rPr>
          <w:i/>
          <w:iCs/>
        </w:rPr>
        <w:t>"Le tendenze di medio-lungo periodo del sistema pensionistico e socio-sanitario"</w:t>
      </w:r>
      <w:r>
        <w:t xml:space="preserve"> fotografa con chiarezza l'esito: i tassi di sostituzione lordi — cioè la percentuale dell'ultimo stipendio lordo che riceverai come pensione — sono destinati a scendere drasticamente.</w:t>
      </w:r>
    </w:p>
    <w:p w:rsidR="00EB74CA" w:rsidRDefault="00000000">
      <w:pPr>
        <w:spacing w:after="160" w:line="300" w:lineRule="auto"/>
        <w:jc w:val="both"/>
      </w:pPr>
      <w:r>
        <w:t>Un lavoratore dipendente che andrà in pensione nel 2030 potrà contare su circa il 72% dell'ultimo reddito. Nel 2040 scenderà al 62%. Nel 2070 sarà al 58%. Per i lavoratori autonomi, la prospettiva è ancora più dura: si passerà dal 50% del 2030 a meno del 47% nei decenni successivi.</w:t>
      </w:r>
    </w:p>
    <w:p w:rsidR="00EB74CA" w:rsidRDefault="00000000">
      <w:pPr>
        <w:spacing w:after="160" w:line="300" w:lineRule="auto"/>
        <w:jc w:val="both"/>
      </w:pPr>
      <w:r>
        <w:t>Tradotto in parole semplici: chi oggi ha 30 o 40 anni rischia di vivere con una pensione pari a poco più della metà del proprio ultimo stipendio. La differenza tra ciò che guadagni ora e ciò che riceverai poi è il cosiddetto gap previdenziale. Ed è enorme.</w:t>
      </w:r>
    </w:p>
    <w:p w:rsidR="00EB74CA" w:rsidRDefault="00EB74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74CA">
        <w:tblPrEx>
          <w:tblCellMar>
            <w:top w:w="0" w:type="dxa"/>
            <w:bottom w:w="0" w:type="dxa"/>
          </w:tblCellMar>
        </w:tblPrEx>
        <w:tc>
          <w:tcPr>
            <w:tcW w:w="9360" w:type="dxa"/>
            <w:tcBorders>
              <w:top w:val="single" w:sz="8" w:space="0" w:color="1F3864"/>
              <w:left w:val="single" w:sz="8" w:space="0" w:color="1F3864"/>
              <w:bottom w:val="single" w:sz="8" w:space="0" w:color="1F3864"/>
              <w:right w:val="single" w:sz="8" w:space="0" w:color="1F3864"/>
            </w:tcBorders>
            <w:shd w:val="clear" w:color="auto" w:fill="EAF1F9"/>
            <w:tcMar>
              <w:top w:w="200" w:type="dxa"/>
              <w:left w:w="240" w:type="dxa"/>
              <w:bottom w:w="200" w:type="dxa"/>
              <w:right w:w="240" w:type="dxa"/>
            </w:tcMar>
          </w:tcPr>
          <w:p w:rsidR="00EB74CA" w:rsidRDefault="00000000">
            <w:pPr>
              <w:spacing w:after="120"/>
            </w:pPr>
            <w:r>
              <w:rPr>
                <w:b/>
                <w:bCs/>
                <w:color w:val="1F3864"/>
                <w:sz w:val="24"/>
                <w:szCs w:val="24"/>
              </w:rPr>
              <w:lastRenderedPageBreak/>
              <w:t>Facciamo chiarezza!</w:t>
            </w:r>
          </w:p>
          <w:p w:rsidR="00EB74CA" w:rsidRDefault="00000000">
            <w:pPr>
              <w:spacing w:after="160" w:line="300" w:lineRule="auto"/>
              <w:jc w:val="both"/>
            </w:pPr>
            <w:r>
              <w:rPr>
                <w:b/>
                <w:bCs/>
              </w:rPr>
              <w:t xml:space="preserve">Il tasso di sostituzione </w:t>
            </w:r>
            <w:r>
              <w:t>è la percentuale che indica quanto del tuo ultimo stipendio otterrai una volta in pensione. Più il tasso è basso, più sarà la perdita di potere d'acquisto nel passaggio dalla vita lavorativa a quella da pensionato.</w:t>
            </w:r>
          </w:p>
          <w:p w:rsidR="00EB74CA" w:rsidRDefault="00000000">
            <w:pPr>
              <w:spacing w:after="160" w:line="300" w:lineRule="auto"/>
              <w:jc w:val="both"/>
            </w:pPr>
            <w:r>
              <w:rPr>
                <w:b/>
                <w:bCs/>
              </w:rPr>
              <w:t xml:space="preserve">Il gap previdenziale </w:t>
            </w:r>
            <w:r>
              <w:t>è invece la differenza tra il tuo ultimo stipendio e la pensione che effettivamente riceverai. È lo spazio che, se vuoi mantenere il tuo tenore di vita, dovrai colmare con altre risorse: previdenza integrativa, investimenti, patrimonio.</w:t>
            </w:r>
          </w:p>
        </w:tc>
      </w:tr>
    </w:tbl>
    <w:p w:rsidR="00EB74CA" w:rsidRDefault="00EB74CA"/>
    <w:p w:rsidR="00EB74CA" w:rsidRDefault="00000000">
      <w:pPr>
        <w:spacing w:after="160" w:line="300" w:lineRule="auto"/>
        <w:jc w:val="both"/>
      </w:pPr>
      <w:r>
        <w:t xml:space="preserve">È questo il contesto che spiega la riforma. Il legislatore sa benissimo che </w:t>
      </w:r>
      <w:r>
        <w:rPr>
          <w:b/>
          <w:bCs/>
        </w:rPr>
        <w:t>una pensione pubblica al 58% dell'ultimo stipendio non basta</w:t>
      </w:r>
      <w:r>
        <w:t xml:space="preserve"> a garantire il tenore di vita a cui le persone sono abituate. E sa anche un'altra cosa: che, lasciati liberi di scegliere, i lavoratori italiani tendono a rimandare. Nel 2024 la partecipazione ai fondi pensione privati era ferma al 38,3% della forza lavoro. Due lavoratori su tre, in un Paese dove la pensione pubblica del futuro coprirà appena metà dello stipendio, non hanno alcuna copertura integrativa attiva.</w:t>
      </w:r>
    </w:p>
    <w:p w:rsidR="00EB74CA" w:rsidRDefault="00000000">
      <w:pPr>
        <w:spacing w:after="160" w:line="300" w:lineRule="auto"/>
        <w:jc w:val="both"/>
      </w:pPr>
      <w:r>
        <w:t xml:space="preserve">Il silenzio assenso, in questo quadro, è la risposta più diretta possibile: se le persone non scelgono attivamente di proteggersi, le proteggiamo noi per default. Non è cattiveria. Non è imposizione. È, in linguaggio tecnico, un </w:t>
      </w:r>
      <w:proofErr w:type="spellStart"/>
      <w:r>
        <w:t>nudge</w:t>
      </w:r>
      <w:proofErr w:type="spellEnd"/>
      <w:r>
        <w:t xml:space="preserve"> — una spinta gentile che sfrutta proprio quella tendenza all'inerzia che è la principale nemica della pianificazione previdenziale.</w:t>
      </w:r>
    </w:p>
    <w:p w:rsidR="00EB74CA" w:rsidRDefault="00000000">
      <w:pPr>
        <w:pStyle w:val="Titolo2"/>
        <w:spacing w:before="240"/>
      </w:pPr>
      <w:r>
        <w:t>Il silenzio assenso è una buona notizia? La mia posizione</w:t>
      </w:r>
    </w:p>
    <w:p w:rsidR="00EB74CA" w:rsidRDefault="00000000">
      <w:pPr>
        <w:spacing w:after="160" w:line="300" w:lineRule="auto"/>
        <w:jc w:val="both"/>
      </w:pPr>
      <w:r>
        <w:t>Voglio essere onesto con te, perché credo sia mio dovere professionale dirti come la penso davvero — non per influenzarti, ma per metterti di fronte a un quadro completo.</w:t>
      </w:r>
    </w:p>
    <w:p w:rsidR="00EB74CA" w:rsidRDefault="00000000">
      <w:pPr>
        <w:spacing w:after="160" w:line="300" w:lineRule="auto"/>
        <w:jc w:val="both"/>
      </w:pPr>
      <w:r>
        <w:rPr>
          <w:b/>
          <w:bCs/>
        </w:rPr>
        <w:t xml:space="preserve">Il silenzio assenso, in linea generale, è una buona notizia. </w:t>
      </w:r>
      <w:r>
        <w:t>L'inerzia uccide molte più persone, finanziariamente parlando, di quante ne uccida una scelta sbagliata. La maggior parte dei lavoratori italiani non aderisce alla previdenza complementare non perché abbia valutato e ritenuto che non le serva, ma semplicemente perché non si è mai fermata a pensarci. E intanto il tempo, che è la risorsa più preziosa che hai in finanza, passa. Da questo punto di vista, una norma che ti mette di default nella condizione di costruire una pensione integrativa è una rete di protezione utile.</w:t>
      </w:r>
    </w:p>
    <w:p w:rsidR="00EB74CA" w:rsidRDefault="00000000">
      <w:pPr>
        <w:spacing w:after="160" w:line="300" w:lineRule="auto"/>
        <w:jc w:val="both"/>
      </w:pPr>
      <w:r>
        <w:t xml:space="preserve">Detto questo, </w:t>
      </w:r>
      <w:r>
        <w:rPr>
          <w:b/>
          <w:bCs/>
        </w:rPr>
        <w:t>non delegare interamente questa scelta al silenzio assenso</w:t>
      </w:r>
      <w:r>
        <w:t>. Per due motivi che vale la pena nominare con chiarezza.</w:t>
      </w:r>
    </w:p>
    <w:p w:rsidR="00EB74CA" w:rsidRDefault="00000000">
      <w:pPr>
        <w:spacing w:after="160" w:line="300" w:lineRule="auto"/>
        <w:jc w:val="both"/>
      </w:pPr>
      <w:r>
        <w:rPr>
          <w:b/>
          <w:bCs/>
        </w:rPr>
        <w:t xml:space="preserve">Primo: il fondo che ti viene assegnato di default non è necessariamente il migliore per te. </w:t>
      </w:r>
      <w:r>
        <w:t>Il meccanismo ti iscrive al fondo di categoria previsto dal tuo CCNL, oppure — se nella tua azienda ce ne sono più di uno — a quello con più iscritti. È una scelta amministrativa, non una scelta su misura. I costi, la linea di investimento, la qualità della gestione possono variare sensibilmente da un fondo all'altro. Capire dove sta andando il tuo TFR resta un lavoro che vale la pena fare.</w:t>
      </w:r>
    </w:p>
    <w:p w:rsidR="00EB74CA" w:rsidRDefault="00000000">
      <w:pPr>
        <w:spacing w:after="160" w:line="300" w:lineRule="auto"/>
        <w:jc w:val="both"/>
      </w:pPr>
      <w:r>
        <w:rPr>
          <w:b/>
          <w:bCs/>
        </w:rPr>
        <w:lastRenderedPageBreak/>
        <w:t xml:space="preserve">Secondo: la linea di investimento di default segue ora un modello life </w:t>
      </w:r>
      <w:proofErr w:type="spellStart"/>
      <w:r>
        <w:rPr>
          <w:b/>
          <w:bCs/>
        </w:rPr>
        <w:t>cycle</w:t>
      </w:r>
      <w:proofErr w:type="spellEnd"/>
      <w:r>
        <w:rPr>
          <w:b/>
          <w:bCs/>
        </w:rPr>
        <w:t xml:space="preserve">. </w:t>
      </w:r>
      <w:r>
        <w:t>Significa che la composizione del tuo investimento cambierà automaticamente nel tempo, con maggiore esposizione azionaria quando sei giovane e progressivo spostamento verso strumenti più prudenti man mano che ti avvicini al pensionamento. È un approccio ragionevole in linea di principio. Ma è anche una scelta importante che, se non sai cosa significa, ti viene fatta sopra la testa.</w:t>
      </w:r>
    </w:p>
    <w:p w:rsidR="00EB74CA" w:rsidRDefault="00000000">
      <w:pPr>
        <w:spacing w:after="160" w:line="300" w:lineRule="auto"/>
        <w:jc w:val="both"/>
      </w:pPr>
      <w:r>
        <w:t>Il legislatore ti sta dicendo, nei fatti, che la pensione pubblica non basta più. È un'ammissione importante. Ma non sta scegliendo per te il fondo migliore: ti sta solo iscrivendo a quello di default. Capire cosa c'è dentro, e se è il posto giusto dove far crescere una parte importante del tuo futuro, resta un tuo lavoro.</w:t>
      </w:r>
    </w:p>
    <w:p w:rsidR="00EB74CA" w:rsidRDefault="00000000">
      <w:pPr>
        <w:pStyle w:val="Titolo2"/>
        <w:spacing w:before="240"/>
      </w:pPr>
      <w:r>
        <w:t>Cosa fare entro i tuoi 60 giorni: una checklist concreta</w:t>
      </w:r>
    </w:p>
    <w:p w:rsidR="00EB74CA" w:rsidRDefault="00000000">
      <w:pPr>
        <w:spacing w:after="160" w:line="300" w:lineRule="auto"/>
        <w:jc w:val="both"/>
      </w:pPr>
      <w:r>
        <w:t>Se vieni assunto per la prima volta nel settore privato dal 1° luglio 2026 in avanti, hai esattamente 60 giorni dalla data di assunzione per agire. Ti propongo una breve mappa per non arrivare alla scadenza senza aver capito.</w:t>
      </w:r>
    </w:p>
    <w:p w:rsidR="00EB74CA" w:rsidRDefault="00000000">
      <w:pPr>
        <w:pStyle w:val="Titolo3"/>
        <w:spacing w:before="200"/>
      </w:pPr>
      <w:r>
        <w:t>1. Leggi l'informativa che il datore di lavoro è obbligato a consegnarti</w:t>
      </w:r>
    </w:p>
    <w:p w:rsidR="00EB74CA" w:rsidRDefault="00000000">
      <w:pPr>
        <w:spacing w:after="160" w:line="300" w:lineRule="auto"/>
        <w:jc w:val="both"/>
      </w:pPr>
      <w:r>
        <w:t>Al momento dell'assunzione, l'azienda è obbligata per legge a fornirti un'informativa chiara e completa che includa: il quadro degli accordi collettivi applicabili in materia di previdenza complementare, il funzionamento dell'adesione automatica, l'indicazione del fondo pensione destinatario dei flussi contributivi, le alternative disponibili e le tempistiche per esercitare una scelta diversa. Leggila. Non firmare nulla solo perché te lo chiedono.</w:t>
      </w:r>
    </w:p>
    <w:p w:rsidR="00EB74CA" w:rsidRDefault="00000000">
      <w:pPr>
        <w:pStyle w:val="Titolo3"/>
        <w:spacing w:before="200"/>
      </w:pPr>
      <w:r>
        <w:t>2. Capisci qual è il fondo di default a cui saresti iscritto</w:t>
      </w:r>
    </w:p>
    <w:p w:rsidR="00EB74CA" w:rsidRDefault="00000000">
      <w:pPr>
        <w:spacing w:after="160" w:line="300" w:lineRule="auto"/>
        <w:jc w:val="both"/>
      </w:pPr>
      <w:r>
        <w:t>Cerca sul sito del fondo (e su quello della COVIP, la Commissione di Vigilanza sui Fondi Pensione) le informazioni essenziali: rendimenti storici dei diversi comparti, livello dei costi, modalità di gestione, opzioni di prestazione finale. Non serve diventare esperti, serve farsi un'idea.</w:t>
      </w:r>
    </w:p>
    <w:p w:rsidR="00EB74CA" w:rsidRDefault="00000000">
      <w:pPr>
        <w:pStyle w:val="Titolo3"/>
        <w:spacing w:before="200"/>
      </w:pPr>
      <w:r>
        <w:t>3. Valuta se quel fondo è il migliore per te (o se esistono alternative)</w:t>
      </w:r>
    </w:p>
    <w:p w:rsidR="00EB74CA" w:rsidRDefault="00000000">
      <w:pPr>
        <w:spacing w:after="160" w:line="300" w:lineRule="auto"/>
        <w:jc w:val="both"/>
      </w:pPr>
      <w:r>
        <w:t>Oltre ai fondi pensione di categoria (negoziali) esistono i fondi pensione aperti e i Piani Individuali Pensionistici (PIP). Hanno strutture diverse, costi diversi, gradi di personalizzazione diversi. La scelta giusta dipende dalla tua età, dal tuo orizzonte temporale, dal tuo profilo di rischio, dal tuo reddito attuale e da come immagini la tua vita tra trent'anni.</w:t>
      </w:r>
    </w:p>
    <w:p w:rsidR="00EB74CA" w:rsidRDefault="00000000">
      <w:pPr>
        <w:pStyle w:val="Titolo3"/>
        <w:spacing w:before="200"/>
      </w:pPr>
      <w:r>
        <w:t>4. Considera anche le alternative al fondo pensione</w:t>
      </w:r>
    </w:p>
    <w:p w:rsidR="00EB74CA" w:rsidRDefault="00000000">
      <w:pPr>
        <w:spacing w:after="160" w:line="300" w:lineRule="auto"/>
        <w:jc w:val="both"/>
      </w:pPr>
      <w:r>
        <w:t xml:space="preserve">Costruire una pensione integrativa non significa necessariamente farlo dentro un fondo pensione. Puoi farlo anche attraverso investimenti liberi, esterni al contenitore previdenziale. Perdi i vantaggi fiscali — deduzione fino a 5.300 euro all'anno e tassazione agevolata in uscita — ma guadagni flessibilità totale, accesso al denaro in qualsiasi momento e una libertà strategica molto maggiore. La scelta </w:t>
      </w:r>
      <w:proofErr w:type="gramStart"/>
      <w:r>
        <w:t>non è mai bianco o nero</w:t>
      </w:r>
      <w:proofErr w:type="gramEnd"/>
      <w:r>
        <w:t>. Spesso la risposta migliore è una combinazione.</w:t>
      </w:r>
    </w:p>
    <w:p w:rsidR="00EB74CA" w:rsidRDefault="00000000">
      <w:pPr>
        <w:pStyle w:val="Titolo3"/>
        <w:spacing w:before="200"/>
      </w:pPr>
      <w:r>
        <w:t>5. Se vuoi, chiedi aiuto a un professionista</w:t>
      </w:r>
    </w:p>
    <w:p w:rsidR="00EB74CA" w:rsidRDefault="00000000">
      <w:pPr>
        <w:spacing w:after="160" w:line="300" w:lineRule="auto"/>
        <w:jc w:val="both"/>
      </w:pPr>
      <w:r>
        <w:lastRenderedPageBreak/>
        <w:t>Capisco bene che tutto questo possa sembrare opprimente, soprattutto se sei al primo lavoro e nessuno ti ha mai parlato di queste cose. Non è un caso. L'Italia è indietro nell'alfabetizzazione finanziaria perfino rispetto a Cile, Costa Rica e Brasile, secondo le rilevazioni OCSE. Affidarti a un consulente finanziario qualificato che ti aiuti a capire — e a decidere — in 60 giorni non è una spesa, è un investimento nel tuo futuro.</w:t>
      </w:r>
    </w:p>
    <w:p w:rsidR="00EB74CA" w:rsidRDefault="00000000">
      <w:pPr>
        <w:pStyle w:val="Titolo2"/>
        <w:spacing w:before="240"/>
      </w:pPr>
      <w:r>
        <w:t>Il messaggio dietro la riforma</w:t>
      </w:r>
    </w:p>
    <w:p w:rsidR="00EB74CA" w:rsidRDefault="00000000">
      <w:pPr>
        <w:spacing w:after="160" w:line="300" w:lineRule="auto"/>
        <w:jc w:val="both"/>
      </w:pPr>
      <w:r>
        <w:t>C'è un sottotesto, in questa norma, che merita di essere nominato chiaramente.</w:t>
      </w:r>
    </w:p>
    <w:p w:rsidR="00EB74CA" w:rsidRDefault="00000000">
      <w:pPr>
        <w:spacing w:after="160" w:line="300" w:lineRule="auto"/>
        <w:jc w:val="both"/>
      </w:pPr>
      <w:r>
        <w:t xml:space="preserve">Il legislatore sta dicendo a chi entra oggi nel mondo del lavoro: </w:t>
      </w:r>
      <w:r>
        <w:rPr>
          <w:b/>
          <w:bCs/>
        </w:rPr>
        <w:t>comincia subito</w:t>
      </w:r>
      <w:r>
        <w:t>. Non aspettare i tuoi 40 anni per accorgerti che la pensione pubblica non sarà sufficiente. Comincia dal primo stipendio, di default, anche se non hai ancora studiato la materia.</w:t>
      </w:r>
    </w:p>
    <w:p w:rsidR="00EB74CA" w:rsidRDefault="00000000">
      <w:pPr>
        <w:spacing w:after="160" w:line="300" w:lineRule="auto"/>
        <w:jc w:val="both"/>
      </w:pPr>
      <w:r>
        <w:t>È un riconoscimento, da parte dello Stato, di una verità finanziaria semplice: in previdenza il tempo non è un dettaglio. È la variabile. Iniziare a 25 anni con piccole somme batte iniziare a 40 con somme molto più grandi — non per magia, ma per matematica dell'interesse composto.</w:t>
      </w:r>
    </w:p>
    <w:p w:rsidR="00EB74CA" w:rsidRDefault="00000000">
      <w:pPr>
        <w:spacing w:after="160" w:line="300" w:lineRule="auto"/>
        <w:jc w:val="both"/>
      </w:pPr>
      <w:r>
        <w:t>Il silenzio assenso, letto con questa lente, non è una stretta. È una porta che lo Stato apre per te quando sei ancora in tempo perché serva davvero.</w:t>
      </w:r>
    </w:p>
    <w:p w:rsidR="00EB74CA" w:rsidRDefault="00000000">
      <w:pPr>
        <w:pStyle w:val="Titolo2"/>
        <w:spacing w:before="240"/>
      </w:pPr>
      <w:r>
        <w:t>In sintesi: cosa portare a casa</w:t>
      </w:r>
    </w:p>
    <w:p w:rsidR="00EB74CA" w:rsidRDefault="00000000">
      <w:pPr>
        <w:spacing w:after="160" w:line="300" w:lineRule="auto"/>
        <w:jc w:val="both"/>
      </w:pPr>
      <w:r>
        <w:t>Il 1° luglio 2026 segna l'inizio di una nuova era della previdenza complementare italiana. Non è una rivoluzione fiscale. Non è una stretta. È un cambio di paradigma culturale: lo Stato, nei fatti, ammette che la pensione pubblica del futuro non basterà, e ribalta l'onere della scelta sui lavoratori. Chi non sceglie, viene iscritto comunque.</w:t>
      </w:r>
    </w:p>
    <w:p w:rsidR="00EB74CA" w:rsidRDefault="00000000">
      <w:pPr>
        <w:spacing w:after="160" w:line="300" w:lineRule="auto"/>
        <w:jc w:val="both"/>
      </w:pPr>
      <w:r>
        <w:t>Per la maggior parte delle persone — soprattutto chi è giovane, ha davanti decenni di lavoro e poca dimestichezza con la materia previdenziale — questo automatismo è una buona notizia. Costruisce una protezione che, da soli, in molti non avrebbero mai costruito.</w:t>
      </w:r>
    </w:p>
    <w:p w:rsidR="00EB74CA" w:rsidRDefault="00000000">
      <w:pPr>
        <w:spacing w:after="160" w:line="300" w:lineRule="auto"/>
        <w:jc w:val="both"/>
      </w:pPr>
      <w:r>
        <w:t>Ma il silenzio assenso non sostituisce la consapevolezza. Capire dove sta andando il tuo TFR, in quale fondo, con quale linea di investimento, con quali costi, con quali alternative possibili: questo resta un lavoro che vale la pena fare. Perché un futuro previdenziale solido non si costruisce per default. Si progetta.</w:t>
      </w:r>
    </w:p>
    <w:p w:rsidR="00EB74CA" w:rsidRDefault="00000000">
      <w:pPr>
        <w:spacing w:after="160" w:line="300" w:lineRule="auto"/>
        <w:jc w:val="both"/>
      </w:pPr>
      <w:r>
        <w:t>Prima si disegna il progetto. Poi si scelgono i materiali.</w:t>
      </w:r>
    </w:p>
    <w:p w:rsidR="00EB74CA" w:rsidRDefault="00EB74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74CA">
        <w:tblPrEx>
          <w:tblCellMar>
            <w:top w:w="0" w:type="dxa"/>
            <w:bottom w:w="0" w:type="dxa"/>
          </w:tblCellMar>
        </w:tblPrEx>
        <w:tc>
          <w:tcPr>
            <w:tcW w:w="9360" w:type="dxa"/>
            <w:tcBorders>
              <w:top w:val="single" w:sz="12" w:space="0" w:color="1F3864"/>
              <w:left w:val="single" w:sz="12" w:space="0" w:color="1F3864"/>
              <w:bottom w:val="single" w:sz="12" w:space="0" w:color="1F3864"/>
              <w:right w:val="single" w:sz="12" w:space="0" w:color="1F3864"/>
            </w:tcBorders>
            <w:shd w:val="clear" w:color="auto" w:fill="1F3864"/>
            <w:tcMar>
              <w:top w:w="280" w:type="dxa"/>
              <w:left w:w="320" w:type="dxa"/>
              <w:bottom w:w="280" w:type="dxa"/>
              <w:right w:w="320" w:type="dxa"/>
            </w:tcMar>
          </w:tcPr>
          <w:p w:rsidR="00EB74CA" w:rsidRDefault="00000000">
            <w:pPr>
              <w:spacing w:after="120"/>
            </w:pPr>
            <w:r>
              <w:rPr>
                <w:b/>
                <w:bCs/>
                <w:color w:val="FFFFFF"/>
                <w:sz w:val="28"/>
                <w:szCs w:val="28"/>
              </w:rPr>
              <w:t>Il libro è in uscita</w:t>
            </w:r>
          </w:p>
          <w:p w:rsidR="00EB74CA" w:rsidRDefault="00000000">
            <w:pPr>
              <w:spacing w:after="120"/>
              <w:jc w:val="both"/>
            </w:pPr>
            <w:r>
              <w:rPr>
                <w:color w:val="FFFFFF"/>
              </w:rPr>
              <w:t>Approfondisco la pensione, la previdenza integrativa, gli investimenti per il lungo periodo e molto altro nel mio libro che sta per uscire. È il distillato di anni di lavoro con persone reali, dati ufficiali e una convinzione di fondo: la confusione finanziaria non è un destino, è un problema risolvibile.</w:t>
            </w:r>
          </w:p>
          <w:p w:rsidR="00EB74CA" w:rsidRDefault="00000000">
            <w:pPr>
              <w:jc w:val="both"/>
            </w:pPr>
            <w:r>
              <w:rPr>
                <w:b/>
                <w:bCs/>
                <w:color w:val="FFFFFF"/>
              </w:rPr>
              <w:t>Iscriviti alla lista d'attesa per essere tra i primi a leggerlo quando sarà disponibile.</w:t>
            </w:r>
          </w:p>
        </w:tc>
      </w:tr>
    </w:tbl>
    <w:p w:rsidR="00EB74CA" w:rsidRDefault="00EB74CA"/>
    <w:p w:rsidR="00EB74CA" w:rsidRDefault="00000000">
      <w:pPr>
        <w:pStyle w:val="Titolo2"/>
        <w:spacing w:before="240"/>
      </w:pPr>
      <w:r>
        <w:t>Domande frequenti sul silenzio assenso TFR 2026</w:t>
      </w:r>
    </w:p>
    <w:p w:rsidR="00EB74CA" w:rsidRDefault="00000000">
      <w:pPr>
        <w:spacing w:before="200" w:after="100"/>
      </w:pPr>
      <w:r>
        <w:rPr>
          <w:b/>
          <w:bCs/>
          <w:sz w:val="24"/>
          <w:szCs w:val="24"/>
        </w:rPr>
        <w:t>Chi è interessato dal silenzio assenso dal 1° luglio 2026?</w:t>
      </w:r>
    </w:p>
    <w:p w:rsidR="00EB74CA" w:rsidRDefault="00000000">
      <w:pPr>
        <w:spacing w:after="160" w:line="300" w:lineRule="auto"/>
        <w:jc w:val="both"/>
      </w:pPr>
      <w:r>
        <w:t>I lavoratori dipendenti del settore privato assunti per la prima volta dal 1° luglio 2026 in avanti. Sono esclusi i lavoratori domestici, gli organismi pubblici privatizzati, gli enti pubblici economici e i dipendenti della pubblica amministrazione (salvo i casi in cui il rapporto di lavoro sia regolato integralmente dal diritto comune).</w:t>
      </w:r>
    </w:p>
    <w:p w:rsidR="00EB74CA" w:rsidRDefault="00000000">
      <w:pPr>
        <w:spacing w:before="200" w:after="100"/>
      </w:pPr>
      <w:r>
        <w:rPr>
          <w:b/>
          <w:bCs/>
          <w:sz w:val="24"/>
          <w:szCs w:val="24"/>
        </w:rPr>
        <w:t>Cosa succede se non scelgo entro i 60 giorni?</w:t>
      </w:r>
    </w:p>
    <w:p w:rsidR="00EB74CA" w:rsidRDefault="00000000">
      <w:pPr>
        <w:spacing w:after="160" w:line="300" w:lineRule="auto"/>
        <w:jc w:val="both"/>
      </w:pPr>
      <w:r>
        <w:t>Se entro 60 giorni dall'assunzione non comunichi alcuna scelta al tuo datore di lavoro, il TFR maturando, il contributo del datore di lavoro (se previsto dal CCNL) e il contributo minimo a tuo carico vengono versati automaticamente al fondo pensione di categoria previsto dal contratto collettivo. I versamenti iniziano dal mese successivo alla scadenza dei 60 giorni.</w:t>
      </w:r>
    </w:p>
    <w:p w:rsidR="00EB74CA" w:rsidRDefault="00000000">
      <w:pPr>
        <w:spacing w:before="200" w:after="100"/>
      </w:pPr>
      <w:r>
        <w:rPr>
          <w:b/>
          <w:bCs/>
          <w:sz w:val="24"/>
          <w:szCs w:val="24"/>
        </w:rPr>
        <w:t>La scelta di destinare il TFR al fondo pensione è reversibile?</w:t>
      </w:r>
    </w:p>
    <w:p w:rsidR="00EB74CA" w:rsidRDefault="00000000">
      <w:pPr>
        <w:spacing w:after="160" w:line="300" w:lineRule="auto"/>
        <w:jc w:val="both"/>
      </w:pPr>
      <w:r>
        <w:t>No. Una volta che il TFR confluisce nel fondo pensione — sia per scelta esplicita sia per silenzio assenso — la decisione è irreversibile: non potrai più riportare il TFR in azienda. Diversamente, se entro i 60 giorni scegli espressamente di mantenere il TFR in azienda, potrai sempre cambiare idea in un momento successivo e aderire a un fondo pensione.</w:t>
      </w:r>
    </w:p>
    <w:p w:rsidR="00EB74CA" w:rsidRDefault="00000000">
      <w:pPr>
        <w:spacing w:before="200" w:after="100"/>
      </w:pPr>
      <w:r>
        <w:rPr>
          <w:b/>
          <w:bCs/>
          <w:sz w:val="24"/>
          <w:szCs w:val="24"/>
        </w:rPr>
        <w:t>A quale fondo pensione verrei iscritto automaticamente?</w:t>
      </w:r>
    </w:p>
    <w:p w:rsidR="00EB74CA" w:rsidRDefault="00000000">
      <w:pPr>
        <w:spacing w:after="160" w:line="300" w:lineRule="auto"/>
        <w:jc w:val="both"/>
      </w:pPr>
      <w:r>
        <w:t>Al fondo pensione negoziale previsto dal contratto collettivo nazionale (CCNL) applicato dalla tua azienda. Se nella tua azienda esistono più forme di previdenza complementare di riferimento, l'iscrizione avviene a quella che raccoglie il maggior numero di iscritti tra i lavoratori dell'azienda, salvo diverso accordo aziendale.</w:t>
      </w:r>
    </w:p>
    <w:p w:rsidR="00EB74CA" w:rsidRDefault="00000000">
      <w:pPr>
        <w:spacing w:before="200" w:after="100"/>
      </w:pPr>
      <w:r>
        <w:rPr>
          <w:b/>
          <w:bCs/>
          <w:sz w:val="24"/>
          <w:szCs w:val="24"/>
        </w:rPr>
        <w:t>Posso scegliere un fondo pensione diverso da quello di categoria?</w:t>
      </w:r>
    </w:p>
    <w:p w:rsidR="00EB74CA" w:rsidRDefault="00000000">
      <w:pPr>
        <w:spacing w:after="160" w:line="300" w:lineRule="auto"/>
        <w:jc w:val="both"/>
      </w:pPr>
      <w:r>
        <w:t>Sì. Entro i 60 giorni dall'assunzione puoi indicare al datore di lavoro un fondo pensione diverso, liberamente individuato: può essere un fondo pensione aperto o un Piano Individuale Pensionistico (PIP). In quel caso, il TFR confluirà nel fondo da te scelto e non in quello di default.</w:t>
      </w:r>
    </w:p>
    <w:p w:rsidR="00EB74CA" w:rsidRDefault="00000000">
      <w:pPr>
        <w:spacing w:before="200" w:after="100"/>
      </w:pPr>
      <w:r>
        <w:rPr>
          <w:b/>
          <w:bCs/>
          <w:sz w:val="24"/>
          <w:szCs w:val="24"/>
        </w:rPr>
        <w:t>Il silenzio assenso riguarda anche chi è già al lavoro da anni?</w:t>
      </w:r>
    </w:p>
    <w:p w:rsidR="00EB74CA" w:rsidRDefault="00000000">
      <w:pPr>
        <w:spacing w:after="160" w:line="300" w:lineRule="auto"/>
        <w:jc w:val="both"/>
      </w:pPr>
      <w:r>
        <w:t>Per i lavoratori che alla data del 1° luglio 2026 risultano già occupati, le regole sono leggermente diverse. Se cambi azienda, il nuovo datore di lavoro è tenuto a verificare se in passato hai già destinato il TFR a un fondo pensione e, in caso negativo, a fornirti un'informativa specifica. Sul trattamento del silenzio in questi casi residua un'area di incertezza interpretativa che sarà chiarita dai prossimi provvedimenti attuativi di COVIP e INPS.</w:t>
      </w:r>
    </w:p>
    <w:p w:rsidR="00EB74CA" w:rsidRDefault="00000000">
      <w:pPr>
        <w:spacing w:before="200" w:after="100"/>
      </w:pPr>
      <w:r>
        <w:rPr>
          <w:b/>
          <w:bCs/>
          <w:sz w:val="24"/>
          <w:szCs w:val="24"/>
        </w:rPr>
        <w:t>Quali sono i vantaggi fiscali del fondo pensione?</w:t>
      </w:r>
    </w:p>
    <w:p w:rsidR="00EB74CA" w:rsidRDefault="00000000">
      <w:pPr>
        <w:spacing w:after="160" w:line="300" w:lineRule="auto"/>
        <w:jc w:val="both"/>
      </w:pPr>
      <w:r>
        <w:t xml:space="preserve">I principali vantaggi fiscali sono due. Primo: i contributi volontari versati al fondo pensione sono deducibili dal reddito imponibile fino a 5.300 euro all'anno (la Legge di Bilancio 2026 ha innalzato il </w:t>
      </w:r>
      <w:r>
        <w:lastRenderedPageBreak/>
        <w:t>precedente limite di 5.164,57 euro). Significa che, se versi 2.000 euro all'anno nel fondo, le tasse vengono calcolate sul tuo reddito al netto di quei 2.000 euro.</w:t>
      </w:r>
    </w:p>
    <w:p w:rsidR="00EB74CA" w:rsidRDefault="00000000">
      <w:pPr>
        <w:spacing w:after="160" w:line="300" w:lineRule="auto"/>
        <w:jc w:val="both"/>
      </w:pPr>
      <w:r>
        <w:t>Secondo: la tassazione finale è agevolata. Al momento della prestazione, l'aliquota parte da un massimo del 15% e si riduce dello 0,30% per ogni anno di partecipazione oltre il quindicesimo, fino a un minimo del 9%. Per confronto, il TFR liquidato dall'azienda viene tassato con la media delle aliquote IRPEF degli ultimi cinque anni (in genere tra il 23% e il 43%).</w:t>
      </w:r>
    </w:p>
    <w:p w:rsidR="00EB74CA" w:rsidRDefault="00000000">
      <w:pPr>
        <w:spacing w:before="200" w:after="100"/>
      </w:pPr>
      <w:r>
        <w:rPr>
          <w:b/>
          <w:bCs/>
          <w:sz w:val="24"/>
          <w:szCs w:val="24"/>
        </w:rPr>
        <w:t>Posso prelevare i soldi dal fondo pensione prima della pensione?</w:t>
      </w:r>
    </w:p>
    <w:p w:rsidR="00EB74CA" w:rsidRDefault="00000000">
      <w:pPr>
        <w:spacing w:after="160" w:line="300" w:lineRule="auto"/>
        <w:jc w:val="both"/>
      </w:pPr>
      <w:r>
        <w:t>Sì, in casi specifici. La legge prevede tre tipologie di anticipazioni:</w:t>
      </w:r>
    </w:p>
    <w:p w:rsidR="00EB74CA" w:rsidRDefault="00000000">
      <w:pPr>
        <w:spacing w:after="160" w:line="300" w:lineRule="auto"/>
        <w:jc w:val="both"/>
      </w:pPr>
      <w:r>
        <w:t>• in qualsiasi momento, fino al 75% del capitale accumulato, per spese sanitarie straordinarie tue, dei figli o del coniuge;</w:t>
      </w:r>
    </w:p>
    <w:p w:rsidR="00EB74CA" w:rsidRDefault="00000000">
      <w:pPr>
        <w:spacing w:after="160" w:line="300" w:lineRule="auto"/>
        <w:jc w:val="both"/>
      </w:pPr>
      <w:r>
        <w:t>• dopo 8 anni di partecipazione al fondo, fino al 75%, per l'acquisto o la ristrutturazione della prima casa (tua o dei figli);</w:t>
      </w:r>
    </w:p>
    <w:p w:rsidR="00EB74CA" w:rsidRDefault="00000000">
      <w:pPr>
        <w:spacing w:after="160" w:line="300" w:lineRule="auto"/>
        <w:jc w:val="both"/>
      </w:pPr>
      <w:r>
        <w:t>• dopo 8 anni di partecipazione, fino al 30%, per ulteriori esigenze personali, senza necessità di motivazione.</w:t>
      </w:r>
    </w:p>
    <w:p w:rsidR="00EB74CA" w:rsidRDefault="00000000">
      <w:pPr>
        <w:spacing w:before="200" w:after="100"/>
      </w:pPr>
      <w:r>
        <w:rPr>
          <w:b/>
          <w:bCs/>
          <w:sz w:val="24"/>
          <w:szCs w:val="24"/>
        </w:rPr>
        <w:t>Conviene di più il TFR in azienda o il fondo pensione?</w:t>
      </w:r>
    </w:p>
    <w:p w:rsidR="00EB74CA" w:rsidRDefault="00000000">
      <w:pPr>
        <w:spacing w:after="160" w:line="300" w:lineRule="auto"/>
        <w:jc w:val="both"/>
      </w:pPr>
      <w:r>
        <w:t>Non esiste una risposta universale. Dipende dalla tua età, dal tuo orizzonte temporale, dal tuo profilo di rischio, dalla tua aliquota IRPEF attuale e attesa, dalla qualità del fondo di categoria a cui saresti iscritto e dai tuoi obiettivi finanziari complessivi. In linea generale, più sei giovane e più hai davanti tempo per sfruttare l'interesse composto e i vantaggi fiscali del fondo pensione, più la previdenza complementare tende a essere vantaggiosa. Ma una valutazione personalizzata, fatta insieme a un consulente, resta la strada migliore.</w:t>
      </w:r>
    </w:p>
    <w:p w:rsidR="00EB74CA" w:rsidRDefault="00000000">
      <w:pPr>
        <w:pStyle w:val="Titolo2"/>
        <w:spacing w:before="240"/>
      </w:pPr>
      <w:r>
        <w:t>Fonti e riferimenti normativi</w:t>
      </w:r>
    </w:p>
    <w:p w:rsidR="00EB74CA" w:rsidRDefault="00000000">
      <w:pPr>
        <w:pStyle w:val="Paragrafoelenco"/>
        <w:numPr>
          <w:ilvl w:val="0"/>
          <w:numId w:val="2"/>
        </w:numPr>
        <w:spacing w:after="100" w:line="300" w:lineRule="auto"/>
        <w:jc w:val="both"/>
      </w:pPr>
      <w:r>
        <w:t>Legge 30 dicembre 2025 n. 199 (Legge di Bilancio 2026), articolo 1, commi 203-205.</w:t>
      </w:r>
    </w:p>
    <w:p w:rsidR="00EB74CA" w:rsidRDefault="00000000">
      <w:pPr>
        <w:pStyle w:val="Paragrafoelenco"/>
        <w:numPr>
          <w:ilvl w:val="0"/>
          <w:numId w:val="2"/>
        </w:numPr>
        <w:spacing w:after="100" w:line="300" w:lineRule="auto"/>
        <w:jc w:val="both"/>
      </w:pPr>
      <w:proofErr w:type="spellStart"/>
      <w:r>
        <w:t>D.Lgs.</w:t>
      </w:r>
      <w:proofErr w:type="spellEnd"/>
      <w:r>
        <w:t xml:space="preserve"> 5 dicembre 2005 n. 252 (disciplina delle forme pensionistiche complementari), articolo 8.</w:t>
      </w:r>
    </w:p>
    <w:p w:rsidR="00EB74CA" w:rsidRDefault="00000000">
      <w:pPr>
        <w:pStyle w:val="Paragrafoelenco"/>
        <w:numPr>
          <w:ilvl w:val="0"/>
          <w:numId w:val="2"/>
        </w:numPr>
        <w:spacing w:after="100" w:line="300" w:lineRule="auto"/>
        <w:jc w:val="both"/>
      </w:pPr>
      <w:r>
        <w:t>Ministero dell'Economia e delle Finanze, Ragioneria Generale dello Stato, rapporto 2025 n. 26 — "Le tendenze di medio-lungo periodo del sistema pensionistico e socio-sanitario".</w:t>
      </w:r>
    </w:p>
    <w:p w:rsidR="00EB74CA" w:rsidRDefault="00000000">
      <w:pPr>
        <w:pStyle w:val="Paragrafoelenco"/>
        <w:numPr>
          <w:ilvl w:val="0"/>
          <w:numId w:val="2"/>
        </w:numPr>
        <w:spacing w:after="100" w:line="300" w:lineRule="auto"/>
        <w:jc w:val="both"/>
      </w:pPr>
      <w:r>
        <w:t>INAPP — Istituto Nazionale per l'Analisi delle Politiche Pubbliche, proiezioni demografiche e occupazionali 2024-2034.</w:t>
      </w:r>
    </w:p>
    <w:p w:rsidR="00EB74CA" w:rsidRDefault="00000000">
      <w:pPr>
        <w:pStyle w:val="Paragrafoelenco"/>
        <w:numPr>
          <w:ilvl w:val="0"/>
          <w:numId w:val="2"/>
        </w:numPr>
        <w:spacing w:after="100" w:line="300" w:lineRule="auto"/>
        <w:jc w:val="both"/>
      </w:pPr>
      <w:r>
        <w:t>COVIP — Commissione di Vigilanza sui Fondi Pensione, relazione annuale 2024 e dati sulla partecipazione alla previdenza complementare.</w:t>
      </w:r>
    </w:p>
    <w:p w:rsidR="00EB74CA" w:rsidRDefault="00000000">
      <w:pPr>
        <w:pStyle w:val="Paragrafoelenco"/>
        <w:numPr>
          <w:ilvl w:val="0"/>
          <w:numId w:val="2"/>
        </w:numPr>
        <w:spacing w:after="100" w:line="300" w:lineRule="auto"/>
        <w:jc w:val="both"/>
      </w:pPr>
      <w:r>
        <w:t>OCSE/PISA 2023, indagine sull'alfabetizzazione finanziaria nei Paesi membri.</w:t>
      </w:r>
    </w:p>
    <w:p w:rsidR="00EB74CA" w:rsidRDefault="00EB74CA"/>
    <w:p w:rsidR="00EB74CA" w:rsidRDefault="00000000">
      <w:pPr>
        <w:spacing w:before="320" w:after="80"/>
      </w:pPr>
      <w:r>
        <w:rPr>
          <w:b/>
          <w:bCs/>
          <w:sz w:val="24"/>
          <w:szCs w:val="24"/>
        </w:rPr>
        <w:t>Dott. Amine Alahiyane</w:t>
      </w:r>
    </w:p>
    <w:p w:rsidR="009166E8" w:rsidRDefault="00000000">
      <w:pPr>
        <w:spacing w:after="60"/>
        <w:rPr>
          <w:i/>
          <w:iCs/>
          <w:color w:val="595959"/>
        </w:rPr>
      </w:pPr>
      <w:r>
        <w:rPr>
          <w:i/>
          <w:iCs/>
          <w:color w:val="595959"/>
        </w:rPr>
        <w:lastRenderedPageBreak/>
        <w:t xml:space="preserve">Consulente Finanziario CFP® </w:t>
      </w:r>
    </w:p>
    <w:p w:rsidR="009166E8" w:rsidRDefault="009166E8" w:rsidP="009166E8">
      <w:pPr>
        <w:spacing w:after="240"/>
      </w:pPr>
      <w:r>
        <w:rPr>
          <w:i/>
          <w:iCs/>
          <w:color w:val="808080"/>
          <w:sz w:val="20"/>
          <w:szCs w:val="20"/>
        </w:rPr>
        <w:t>Consulente Finanziario abilitato all'offerta fuori sede</w:t>
      </w:r>
    </w:p>
    <w:p w:rsidR="00EB74CA" w:rsidRDefault="00EB74CA">
      <w:pPr>
        <w:spacing w:after="60"/>
      </w:pPr>
    </w:p>
    <w:sectPr w:rsidR="00EB74C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567F5"/>
    <w:multiLevelType w:val="hybridMultilevel"/>
    <w:tmpl w:val="CAE430A0"/>
    <w:lvl w:ilvl="0" w:tplc="F4E22250">
      <w:start w:val="1"/>
      <w:numFmt w:val="bullet"/>
      <w:lvlText w:val="●"/>
      <w:lvlJc w:val="left"/>
      <w:pPr>
        <w:ind w:left="720" w:hanging="360"/>
      </w:pPr>
    </w:lvl>
    <w:lvl w:ilvl="1" w:tplc="CDA6CE38">
      <w:start w:val="1"/>
      <w:numFmt w:val="bullet"/>
      <w:lvlText w:val="○"/>
      <w:lvlJc w:val="left"/>
      <w:pPr>
        <w:ind w:left="1440" w:hanging="360"/>
      </w:pPr>
    </w:lvl>
    <w:lvl w:ilvl="2" w:tplc="C3A2CFC6">
      <w:start w:val="1"/>
      <w:numFmt w:val="bullet"/>
      <w:lvlText w:val="■"/>
      <w:lvlJc w:val="left"/>
      <w:pPr>
        <w:ind w:left="2160" w:hanging="360"/>
      </w:pPr>
    </w:lvl>
    <w:lvl w:ilvl="3" w:tplc="82ACA77A">
      <w:start w:val="1"/>
      <w:numFmt w:val="bullet"/>
      <w:lvlText w:val="●"/>
      <w:lvlJc w:val="left"/>
      <w:pPr>
        <w:ind w:left="2880" w:hanging="360"/>
      </w:pPr>
    </w:lvl>
    <w:lvl w:ilvl="4" w:tplc="85DCE0EA">
      <w:start w:val="1"/>
      <w:numFmt w:val="bullet"/>
      <w:lvlText w:val="○"/>
      <w:lvlJc w:val="left"/>
      <w:pPr>
        <w:ind w:left="3600" w:hanging="360"/>
      </w:pPr>
    </w:lvl>
    <w:lvl w:ilvl="5" w:tplc="EEC4770E">
      <w:start w:val="1"/>
      <w:numFmt w:val="bullet"/>
      <w:lvlText w:val="■"/>
      <w:lvlJc w:val="left"/>
      <w:pPr>
        <w:ind w:left="4320" w:hanging="360"/>
      </w:pPr>
    </w:lvl>
    <w:lvl w:ilvl="6" w:tplc="B8FE8874">
      <w:start w:val="1"/>
      <w:numFmt w:val="bullet"/>
      <w:lvlText w:val="●"/>
      <w:lvlJc w:val="left"/>
      <w:pPr>
        <w:ind w:left="5040" w:hanging="360"/>
      </w:pPr>
    </w:lvl>
    <w:lvl w:ilvl="7" w:tplc="4FEA50E2">
      <w:start w:val="1"/>
      <w:numFmt w:val="bullet"/>
      <w:lvlText w:val="●"/>
      <w:lvlJc w:val="left"/>
      <w:pPr>
        <w:ind w:left="5760" w:hanging="360"/>
      </w:pPr>
    </w:lvl>
    <w:lvl w:ilvl="8" w:tplc="6DE442D2">
      <w:start w:val="1"/>
      <w:numFmt w:val="bullet"/>
      <w:lvlText w:val="●"/>
      <w:lvlJc w:val="left"/>
      <w:pPr>
        <w:ind w:left="6480" w:hanging="360"/>
      </w:pPr>
    </w:lvl>
  </w:abstractNum>
  <w:abstractNum w:abstractNumId="1" w15:restartNumberingAfterBreak="0">
    <w:nsid w:val="78536776"/>
    <w:multiLevelType w:val="hybridMultilevel"/>
    <w:tmpl w:val="DC1EE41C"/>
    <w:lvl w:ilvl="0" w:tplc="9BAED50E">
      <w:start w:val="1"/>
      <w:numFmt w:val="bullet"/>
      <w:lvlText w:val="•"/>
      <w:lvlJc w:val="left"/>
      <w:pPr>
        <w:ind w:left="720" w:hanging="360"/>
      </w:pPr>
    </w:lvl>
    <w:lvl w:ilvl="1" w:tplc="07CA1BDC">
      <w:numFmt w:val="decimal"/>
      <w:lvlText w:val=""/>
      <w:lvlJc w:val="left"/>
    </w:lvl>
    <w:lvl w:ilvl="2" w:tplc="1D5CB3A6">
      <w:numFmt w:val="decimal"/>
      <w:lvlText w:val=""/>
      <w:lvlJc w:val="left"/>
    </w:lvl>
    <w:lvl w:ilvl="3" w:tplc="86BC836A">
      <w:numFmt w:val="decimal"/>
      <w:lvlText w:val=""/>
      <w:lvlJc w:val="left"/>
    </w:lvl>
    <w:lvl w:ilvl="4" w:tplc="D864FE3A">
      <w:numFmt w:val="decimal"/>
      <w:lvlText w:val=""/>
      <w:lvlJc w:val="left"/>
    </w:lvl>
    <w:lvl w:ilvl="5" w:tplc="85F20B7C">
      <w:numFmt w:val="decimal"/>
      <w:lvlText w:val=""/>
      <w:lvlJc w:val="left"/>
    </w:lvl>
    <w:lvl w:ilvl="6" w:tplc="EAFC5888">
      <w:numFmt w:val="decimal"/>
      <w:lvlText w:val=""/>
      <w:lvlJc w:val="left"/>
    </w:lvl>
    <w:lvl w:ilvl="7" w:tplc="DF4ABFFC">
      <w:numFmt w:val="decimal"/>
      <w:lvlText w:val=""/>
      <w:lvlJc w:val="left"/>
    </w:lvl>
    <w:lvl w:ilvl="8" w:tplc="E14C9A9A">
      <w:numFmt w:val="decimal"/>
      <w:lvlText w:val=""/>
      <w:lvlJc w:val="left"/>
    </w:lvl>
  </w:abstractNum>
  <w:num w:numId="1" w16cid:durableId="1801457522">
    <w:abstractNumId w:val="0"/>
    <w:lvlOverride w:ilvl="0">
      <w:startOverride w:val="1"/>
    </w:lvlOverride>
  </w:num>
  <w:num w:numId="2" w16cid:durableId="1958297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4CA"/>
    <w:rsid w:val="00707260"/>
    <w:rsid w:val="009166E8"/>
    <w:rsid w:val="00EB74CA"/>
    <w:rsid w:val="00FA3AE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D000773"/>
  <w15:docId w15:val="{053E6F7A-9EFC-024E-832A-0E1E13CC5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20" w:after="200"/>
      <w:outlineLvl w:val="0"/>
    </w:pPr>
    <w:rPr>
      <w:b/>
      <w:bCs/>
      <w:color w:val="1F3864"/>
      <w:sz w:val="36"/>
      <w:szCs w:val="36"/>
    </w:rPr>
  </w:style>
  <w:style w:type="paragraph" w:styleId="Titolo2">
    <w:name w:val="heading 2"/>
    <w:uiPriority w:val="9"/>
    <w:unhideWhenUsed/>
    <w:qFormat/>
    <w:pPr>
      <w:spacing w:before="320" w:after="160"/>
      <w:outlineLvl w:val="1"/>
    </w:pPr>
    <w:rPr>
      <w:b/>
      <w:bCs/>
      <w:color w:val="1F3864"/>
      <w:sz w:val="30"/>
      <w:szCs w:val="30"/>
    </w:rPr>
  </w:style>
  <w:style w:type="paragraph" w:styleId="Titolo3">
    <w:name w:val="heading 3"/>
    <w:uiPriority w:val="9"/>
    <w:unhideWhenUsed/>
    <w:qFormat/>
    <w:pPr>
      <w:spacing w:before="240" w:after="120"/>
      <w:outlineLvl w:val="2"/>
    </w:pPr>
    <w:rPr>
      <w:b/>
      <w:bCs/>
      <w:color w:val="2E5DA0"/>
      <w:sz w:val="26"/>
      <w:szCs w:val="26"/>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3318</Words>
  <Characters>18919</Characters>
  <Application>Microsoft Office Word</Application>
  <DocSecurity>0</DocSecurity>
  <Lines>157</Lines>
  <Paragraphs>44</Paragraphs>
  <ScaleCrop>false</ScaleCrop>
  <Company/>
  <LinksUpToDate>false</LinksUpToDate>
  <CharactersWithSpaces>22193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Silenzio assenso TFR 2026</dc:title>
  <dc:creator>Dott. Amine Alahiyane</dc:creator>
  <cp:lastModifiedBy>Amine Alahiyane</cp:lastModifiedBy>
  <cp:revision>3</cp:revision>
  <dcterms:created xsi:type="dcterms:W3CDTF">2026-05-14T11:06:00Z</dcterms:created>
  <dcterms:modified xsi:type="dcterms:W3CDTF">2026-05-31T14:26:00Z</dcterms:modified>
</cp:coreProperties>
</file>