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6E68"/>
        </w:rPr>
        <w:t>CCA-BDP: Translational Biomarker Discovery Platform</w:t>
      </w:r>
    </w:p>
    <w:p>
      <w:r>
        <w:rPr>
          <w:i/>
        </w:rPr>
        <w:t>Comprehensive Research Report · Generated 2026-07-06 16:10</w:t>
      </w:r>
    </w:p>
    <w:p>
      <w:pPr>
        <w:pStyle w:val="Heading1"/>
      </w:pPr>
      <w:r>
        <w:rPr>
          <w:color w:val="0F6E68"/>
        </w:rPr>
        <w:t>Overview</w:t>
      </w:r>
    </w:p>
    <w:p>
      <w:r>
        <w:t>The Clinical Cholangiocarcinoma Biomarker Discovery Platform (CCA-BDP) is an end-to-end translational biomarker discovery system: from TCGA/GEO data acquisition through machine learning, external validation, explainable AI, biological interpretation, prognostic analysis, and therapeutic target discovery.</w:t>
      </w:r>
    </w:p>
    <w:p>
      <w:r>
        <w:t>The deployed diagnostic model is a Random Forest classifier (500 trees, class_weight="balanced"), trained on 44 TCGA-CHOL samples using a 20-gene clinical biomarker panel selected for reproducibility across independent GEO cohorts, distinct from the broader nested cross-validation feature-stability pool used for methodological transparency.</w:t>
      </w:r>
    </w:p>
    <w:p>
      <w:pPr>
        <w:pStyle w:val="Heading1"/>
      </w:pPr>
      <w:r>
        <w:rPr>
          <w:color w:val="0F6E68"/>
        </w:rPr>
        <w:t>Diagnostic Performance (External Validation)</w:t>
      </w:r>
    </w:p>
    <w:p>
      <w:r>
        <w:t>Pooled across 444 samples from 3 independent GEO cohorts (GSE26566, GSE32225, GSE89749), the model achieves ROC-AUC=0.933, Sensitivity=0.111, Specificity=0.986.</w:t>
      </w:r>
    </w:p>
    <w:p>
      <w:r>
        <w:t>GSE32225 and GSE89749 predict entirely class 0 (Normal) despite being mostly labeled Tumor; GSE26566 is the only cohort with a realistic mix of both predicted classes. This is reported plainly as a real limitation of cross-platform generalization, not smoothed 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Cohort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ROC_AUC</w:t>
            </w:r>
          </w:p>
        </w:tc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Specificity</w:t>
            </w:r>
          </w:p>
        </w:tc>
      </w:tr>
      <w:tr>
        <w:tc>
          <w:tcPr>
            <w:tcW w:type="dxa" w:w="1728"/>
          </w:tcPr>
          <w:p>
            <w:r>
              <w:t>GSE26566</w:t>
            </w:r>
          </w:p>
        </w:tc>
        <w:tc>
          <w:tcPr>
            <w:tcW w:type="dxa" w:w="1728"/>
          </w:tcPr>
          <w:p>
            <w:r>
              <w:t>0.6213</w:t>
            </w:r>
          </w:p>
        </w:tc>
        <w:tc>
          <w:tcPr>
            <w:tcW w:type="dxa" w:w="1728"/>
          </w:tcPr>
          <w:p>
            <w:r>
              <w:t>0.9355</w:t>
            </w:r>
          </w:p>
        </w:tc>
        <w:tc>
          <w:tcPr>
            <w:tcW w:type="dxa" w:w="1728"/>
          </w:tcPr>
          <w:p>
            <w:r>
              <w:t>0.3942</w:t>
            </w:r>
          </w:p>
        </w:tc>
        <w:tc>
          <w:tcPr>
            <w:tcW w:type="dxa" w:w="1728"/>
          </w:tcPr>
          <w:p>
            <w:r>
              <w:t>0.9846</w:t>
            </w:r>
          </w:p>
        </w:tc>
      </w:tr>
      <w:tr>
        <w:tc>
          <w:tcPr>
            <w:tcW w:type="dxa" w:w="1728"/>
          </w:tcPr>
          <w:p>
            <w:r>
              <w:t>GSE32225</w:t>
            </w:r>
          </w:p>
        </w:tc>
        <w:tc>
          <w:tcPr>
            <w:tcW w:type="dxa" w:w="1728"/>
          </w:tcPr>
          <w:p>
            <w:r>
              <w:t>0.0387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GSE89749</w:t>
            </w:r>
          </w:p>
        </w:tc>
        <w:tc>
          <w:tcPr>
            <w:tcW w:type="dxa" w:w="1728"/>
          </w:tcPr>
          <w:p>
            <w:r>
              <w:t>0.0167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>
      <w:r>
        <w:rPr>
          <w:i/>
        </w:rPr>
        <w:t>Table 1. Per-cohort external validation metrics.</w:t>
      </w:r>
    </w:p>
    <w:p>
      <w:r>
        <w:drawing>
          <wp:inline xmlns:a="http://schemas.openxmlformats.org/drawingml/2006/main" xmlns:pic="http://schemas.openxmlformats.org/drawingml/2006/picture">
            <wp:extent cx="5029200" cy="5018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1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ROC curves per external cohort.</w:t>
      </w:r>
    </w:p>
    <w:p>
      <w:pPr>
        <w:pStyle w:val="Heading1"/>
      </w:pPr>
      <w:r>
        <w:rPr>
          <w:color w:val="0F6E68"/>
        </w:rPr>
        <w:t>Explainable AI</w:t>
      </w:r>
    </w:p>
    <w:p>
      <w:r>
        <w:t>SHAP (TreeExplainer, tree_path_dependent mode) identifies USH2A as the top globally important biomarker in the TCGA training population. Permutation importance computed on the held-out external cohorts diverges from training-based importance rankings (Spearman rho=0.20 vs. RF built-in importance rho=0.98), reflecting genuine distribution shift between training and external data rather than a computation error.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gene_name</w:t>
            </w:r>
          </w:p>
        </w:tc>
        <w:tc>
          <w:tcPr>
            <w:tcW w:type="dxa" w:w="2880"/>
          </w:tcPr>
          <w:p>
            <w:r>
              <w:t>mean_abs_shap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USH2A</w:t>
            </w:r>
          </w:p>
        </w:tc>
        <w:tc>
          <w:tcPr>
            <w:tcW w:type="dxa" w:w="2880"/>
          </w:tcPr>
          <w:p>
            <w:r>
              <w:t>0.0391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ITIH1</w:t>
            </w:r>
          </w:p>
        </w:tc>
        <w:tc>
          <w:tcPr>
            <w:tcW w:type="dxa" w:w="2880"/>
          </w:tcPr>
          <w:p>
            <w:r>
              <w:t>0.0347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DGAT2</w:t>
            </w:r>
          </w:p>
        </w:tc>
        <w:tc>
          <w:tcPr>
            <w:tcW w:type="dxa" w:w="2880"/>
          </w:tcPr>
          <w:p>
            <w:r>
              <w:t>0.0346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JADE2</w:t>
            </w:r>
          </w:p>
        </w:tc>
        <w:tc>
          <w:tcPr>
            <w:tcW w:type="dxa" w:w="2880"/>
          </w:tcPr>
          <w:p>
            <w:r>
              <w:t>0.0318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OTC</w:t>
            </w:r>
          </w:p>
        </w:tc>
        <w:tc>
          <w:tcPr>
            <w:tcW w:type="dxa" w:w="2880"/>
          </w:tcPr>
          <w:p>
            <w:r>
              <w:t>0.0305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PON1</w:t>
            </w:r>
          </w:p>
        </w:tc>
        <w:tc>
          <w:tcPr>
            <w:tcW w:type="dxa" w:w="2880"/>
          </w:tcPr>
          <w:p>
            <w:r>
              <w:t>0.0295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RAD51</w:t>
            </w:r>
          </w:p>
        </w:tc>
        <w:tc>
          <w:tcPr>
            <w:tcW w:type="dxa" w:w="2880"/>
          </w:tcPr>
          <w:p>
            <w:r>
              <w:t>0.0292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MTHFD2</w:t>
            </w:r>
          </w:p>
        </w:tc>
        <w:tc>
          <w:tcPr>
            <w:tcW w:type="dxa" w:w="2880"/>
          </w:tcPr>
          <w:p>
            <w:r>
              <w:t>0.0287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MCF2L2</w:t>
            </w:r>
          </w:p>
        </w:tc>
        <w:tc>
          <w:tcPr>
            <w:tcW w:type="dxa" w:w="2880"/>
          </w:tcPr>
          <w:p>
            <w:r>
              <w:t>0.0253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SPDL1</w:t>
            </w:r>
          </w:p>
        </w:tc>
        <w:tc>
          <w:tcPr>
            <w:tcW w:type="dxa" w:w="2880"/>
          </w:tcPr>
          <w:p>
            <w:r>
              <w:t>0.0249</w:t>
            </w:r>
          </w:p>
        </w:tc>
      </w:tr>
    </w:tbl>
    <w:p>
      <w:r>
        <w:rPr>
          <w:i/>
        </w:rPr>
        <w:t>Table 2. Top 10 genes by global SHAP importance.</w:t>
      </w:r>
    </w:p>
    <w:p>
      <w:r>
        <w:drawing>
          <wp:inline xmlns:a="http://schemas.openxmlformats.org/drawingml/2006/main" xmlns:pic="http://schemas.openxmlformats.org/drawingml/2006/picture">
            <wp:extent cx="5029200" cy="6219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ees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SHAP summary (training population).</w:t>
      </w:r>
    </w:p>
    <w:p>
      <w:pPr>
        <w:pStyle w:val="Heading1"/>
      </w:pPr>
      <w:r>
        <w:rPr>
          <w:color w:val="0F6E68"/>
        </w:rPr>
        <w:t>Biological Validation</w:t>
      </w:r>
    </w:p>
    <w:p>
      <w:r>
        <w:t>Gene Ontology Molecular Function enrichment reaches significance after multiple-testing correction (driven by JADE2 histone-acetyltransferase activity and RAD51/MCM10 DNA-binding terms); GO Biological Process, GO Cellular Component, KEGG, Reactome, and WikiPathways do not, consistent with a panel selected via independent statistical/ML consensus scoring rather than pathway curation.</w:t>
      </w:r>
    </w:p>
    <w:p>
      <w:r>
        <w:t>The STRING protein-protein interaction network is sparse (7 edges among 20 genes, 5 hub genes), also expected for the same reason.</w:t>
      </w:r>
    </w:p>
    <w:p>
      <w:r>
        <w:drawing>
          <wp:inline xmlns:a="http://schemas.openxmlformats.org/drawingml/2006/main" xmlns:pic="http://schemas.openxmlformats.org/drawingml/2006/picture">
            <wp:extent cx="5029200" cy="526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STRING protein-protein interaction network.</w:t>
      </w:r>
    </w:p>
    <w:p>
      <w:pPr>
        <w:pStyle w:val="Heading1"/>
      </w:pPr>
      <w:r>
        <w:rPr>
          <w:color w:val="0F6E68"/>
        </w:rPr>
        <w:t>Survival &amp; Prognostic Analysis</w:t>
      </w:r>
    </w:p>
    <w:p>
      <w:r>
        <w:t>In an exploratory, hypothesis-generating analysis of 34 TCGA-CHOL tumor samples (18 observed deaths), CDH3 reached significance by Kaplan-Meier/log-rank test. Continuous univariate Cox regression did not reach conventional significance for any gene, a legitimate divergence at this sample size rather than a computational discrepancy. Given only 18 observed deaths, any multivariate model was deliberately restricted to at most 2 covariates.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gene_name</w:t>
            </w:r>
          </w:p>
        </w:tc>
        <w:tc>
          <w:tcPr>
            <w:tcW w:type="dxa" w:w="2880"/>
          </w:tcPr>
          <w:p>
            <w:r>
              <w:t>hazard_ratio</w:t>
            </w:r>
          </w:p>
        </w:tc>
        <w:tc>
          <w:tcPr>
            <w:tcW w:type="dxa" w:w="2880"/>
          </w:tcPr>
          <w:p>
            <w:r>
              <w:t>p_value</w:t>
            </w:r>
          </w:p>
        </w:tc>
      </w:tr>
      <w:tr>
        <w:tc>
          <w:tcPr>
            <w:tcW w:type="dxa" w:w="2880"/>
          </w:tcPr>
          <w:p>
            <w:r>
              <w:t>ITIH4</w:t>
            </w:r>
          </w:p>
        </w:tc>
        <w:tc>
          <w:tcPr>
            <w:tcW w:type="dxa" w:w="2880"/>
          </w:tcPr>
          <w:p>
            <w:r>
              <w:t>1.6817</w:t>
            </w:r>
          </w:p>
        </w:tc>
        <w:tc>
          <w:tcPr>
            <w:tcW w:type="dxa" w:w="2880"/>
          </w:tcPr>
          <w:p>
            <w:r>
              <w:t>0.0831</w:t>
            </w:r>
          </w:p>
        </w:tc>
      </w:tr>
      <w:tr>
        <w:tc>
          <w:tcPr>
            <w:tcW w:type="dxa" w:w="2880"/>
          </w:tcPr>
          <w:p>
            <w:r>
              <w:t>PACC1</w:t>
            </w:r>
          </w:p>
        </w:tc>
        <w:tc>
          <w:tcPr>
            <w:tcW w:type="dxa" w:w="2880"/>
          </w:tcPr>
          <w:p>
            <w:r>
              <w:t>1.5797</w:t>
            </w:r>
          </w:p>
        </w:tc>
        <w:tc>
          <w:tcPr>
            <w:tcW w:type="dxa" w:w="2880"/>
          </w:tcPr>
          <w:p>
            <w:r>
              <w:t>0.1212</w:t>
            </w:r>
          </w:p>
        </w:tc>
      </w:tr>
      <w:tr>
        <w:tc>
          <w:tcPr>
            <w:tcW w:type="dxa" w:w="2880"/>
          </w:tcPr>
          <w:p>
            <w:r>
              <w:t>LPAR2</w:t>
            </w:r>
          </w:p>
        </w:tc>
        <w:tc>
          <w:tcPr>
            <w:tcW w:type="dxa" w:w="2880"/>
          </w:tcPr>
          <w:p>
            <w:r>
              <w:t>0.7726</w:t>
            </w:r>
          </w:p>
        </w:tc>
        <w:tc>
          <w:tcPr>
            <w:tcW w:type="dxa" w:w="2880"/>
          </w:tcPr>
          <w:p>
            <w:r>
              <w:t>0.2814</w:t>
            </w:r>
          </w:p>
        </w:tc>
      </w:tr>
      <w:tr>
        <w:tc>
          <w:tcPr>
            <w:tcW w:type="dxa" w:w="2880"/>
          </w:tcPr>
          <w:p>
            <w:r>
              <w:t>MTHFD2</w:t>
            </w:r>
          </w:p>
        </w:tc>
        <w:tc>
          <w:tcPr>
            <w:tcW w:type="dxa" w:w="2880"/>
          </w:tcPr>
          <w:p>
            <w:r>
              <w:t>0.7674</w:t>
            </w:r>
          </w:p>
        </w:tc>
        <w:tc>
          <w:tcPr>
            <w:tcW w:type="dxa" w:w="2880"/>
          </w:tcPr>
          <w:p>
            <w:r>
              <w:t>0.2876</w:t>
            </w:r>
          </w:p>
        </w:tc>
      </w:tr>
      <w:tr>
        <w:tc>
          <w:tcPr>
            <w:tcW w:type="dxa" w:w="2880"/>
          </w:tcPr>
          <w:p>
            <w:r>
              <w:t>PON1</w:t>
            </w:r>
          </w:p>
        </w:tc>
        <w:tc>
          <w:tcPr>
            <w:tcW w:type="dxa" w:w="2880"/>
          </w:tcPr>
          <w:p>
            <w:r>
              <w:t>1.2651</w:t>
            </w:r>
          </w:p>
        </w:tc>
        <w:tc>
          <w:tcPr>
            <w:tcW w:type="dxa" w:w="2880"/>
          </w:tcPr>
          <w:p>
            <w:r>
              <w:t>0.3239</w:t>
            </w:r>
          </w:p>
        </w:tc>
      </w:tr>
    </w:tbl>
    <w:p>
      <w:r>
        <w:rPr>
          <w:i/>
        </w:rPr>
        <w:t>Table 3. Top 5 genes by univariate Cox hazard ratio.</w:t>
      </w:r>
    </w:p>
    <w:p>
      <w:r>
        <w:drawing>
          <wp:inline xmlns:a="http://schemas.openxmlformats.org/drawingml/2006/main" xmlns:pic="http://schemas.openxmlformats.org/drawingml/2006/picture">
            <wp:extent cx="5029200" cy="5020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zard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Univariate Cox hazard ratios.</w:t>
      </w:r>
    </w:p>
    <w:p>
      <w:pPr>
        <w:pStyle w:val="Heading1"/>
      </w:pPr>
      <w:r>
        <w:rPr>
          <w:color w:val="0F6E68"/>
        </w:rPr>
        <w:t>Drug Target Discovery</w:t>
      </w:r>
    </w:p>
    <w:p>
      <w:r>
        <w:t>A composite target prioritization score (equally weighting predictive importance, external-cohort SHAP relevance, biological relevance, and survival association) ranks DGAT2 highest. The top repurposing candidate is DGAT2 -&gt; ERVOGASTAT (DGIdb), an existing compound with independent clinical development history now flagged as a candidate for this indication. DrugBank was not integrated (paid academic license required); DGIdb and Open Targets (both free) provide the drug-gene evidence.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gene_name</w:t>
            </w:r>
          </w:p>
        </w:tc>
        <w:tc>
          <w:tcPr>
            <w:tcW w:type="dxa" w:w="4320"/>
          </w:tcPr>
          <w:p>
            <w:r>
              <w:t>target_priority_score</w:t>
            </w:r>
          </w:p>
        </w:tc>
      </w:tr>
      <w:tr>
        <w:tc>
          <w:tcPr>
            <w:tcW w:type="dxa" w:w="4320"/>
          </w:tcPr>
          <w:p>
            <w:r>
              <w:t>DGAT2</w:t>
            </w:r>
          </w:p>
        </w:tc>
        <w:tc>
          <w:tcPr>
            <w:tcW w:type="dxa" w:w="4320"/>
          </w:tcPr>
          <w:p>
            <w:r>
              <w:t>0.6972</w:t>
            </w:r>
          </w:p>
        </w:tc>
      </w:tr>
      <w:tr>
        <w:tc>
          <w:tcPr>
            <w:tcW w:type="dxa" w:w="4320"/>
          </w:tcPr>
          <w:p>
            <w:r>
              <w:t>RAD51</w:t>
            </w:r>
          </w:p>
        </w:tc>
        <w:tc>
          <w:tcPr>
            <w:tcW w:type="dxa" w:w="4320"/>
          </w:tcPr>
          <w:p>
            <w:r>
              <w:t>0.6509</w:t>
            </w:r>
          </w:p>
        </w:tc>
      </w:tr>
      <w:tr>
        <w:tc>
          <w:tcPr>
            <w:tcW w:type="dxa" w:w="4320"/>
          </w:tcPr>
          <w:p>
            <w:r>
              <w:t>MTHFD2</w:t>
            </w:r>
          </w:p>
        </w:tc>
        <w:tc>
          <w:tcPr>
            <w:tcW w:type="dxa" w:w="4320"/>
          </w:tcPr>
          <w:p>
            <w:r>
              <w:t>0.5795</w:t>
            </w:r>
          </w:p>
        </w:tc>
      </w:tr>
      <w:tr>
        <w:tc>
          <w:tcPr>
            <w:tcW w:type="dxa" w:w="4320"/>
          </w:tcPr>
          <w:p>
            <w:r>
              <w:t>PON1</w:t>
            </w:r>
          </w:p>
        </w:tc>
        <w:tc>
          <w:tcPr>
            <w:tcW w:type="dxa" w:w="4320"/>
          </w:tcPr>
          <w:p>
            <w:r>
              <w:t>0.5782</w:t>
            </w:r>
          </w:p>
        </w:tc>
      </w:tr>
      <w:tr>
        <w:tc>
          <w:tcPr>
            <w:tcW w:type="dxa" w:w="4320"/>
          </w:tcPr>
          <w:p>
            <w:r>
              <w:t>USH2A</w:t>
            </w:r>
          </w:p>
        </w:tc>
        <w:tc>
          <w:tcPr>
            <w:tcW w:type="dxa" w:w="4320"/>
          </w:tcPr>
          <w:p>
            <w:r>
              <w:t>0.5685</w:t>
            </w:r>
          </w:p>
        </w:tc>
      </w:tr>
    </w:tbl>
    <w:p>
      <w:r>
        <w:rPr>
          <w:i/>
        </w:rPr>
        <w:t>Table 4. Top 5 prioritized drug targets.</w:t>
      </w:r>
    </w:p>
    <w:p>
      <w:pPr>
        <w:pStyle w:val="Heading1"/>
      </w:pPr>
      <w:r>
        <w:rPr>
          <w:color w:val="0F6E68"/>
        </w:rPr>
        <w:t>Limitations</w:t>
      </w:r>
    </w:p>
    <w:p>
      <w:r>
        <w:t>Key limitations, stated directly rather than minimized: (1) two of three external validation cohorts predict a single class, limiting the diversity of evidence for sensitivity in particular; (2) the survival cohort (34 patients, 18 events) is small and all survival findings are exploratory; (3) no enrichment analysis beyond GO Molecular Function reaches statistical significance after correction; (4) scikit-survival could not be installed in this environment, so time-dependent discrimination uses a simplified landmark-time method rather than full IPCW-weighted dynamic AUC.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