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jc w:val="center"/>
      </w:pPr>
      <w:r>
        <w:rPr>
          <w:rFonts w:ascii="Calibri" w:hAnsi="Calibri"/>
          <w:b/>
          <w:color w:val="1F4D78"/>
          <w:sz w:val="46"/>
        </w:rPr>
        <w:t>Learning-Augmented Event-Triggered MPC for Supply-Chain Resilience under Nonstationary Disruptions</w:t>
      </w:r>
    </w:p>
    <w:p>
      <w:pPr>
        <w:spacing w:after="360"/>
        <w:jc w:val="center"/>
      </w:pPr>
      <w:r>
        <w:rPr>
          <w:rFonts w:ascii="Calibri" w:hAnsi="Calibri"/>
          <w:i/>
          <w:color w:val="5A5A5A"/>
          <w:sz w:val="26"/>
        </w:rPr>
        <w:t>Exact static benchmarks and full discrete-event validation</w:t>
      </w:r>
    </w:p>
    <w:p>
      <w:pPr>
        <w:spacing w:after="40"/>
        <w:jc w:val="center"/>
      </w:pPr>
      <w:r>
        <w:rPr>
          <w:rFonts w:ascii="Calibri" w:hAnsi="Calibri"/>
          <w:b/>
          <w:sz w:val="22"/>
        </w:rPr>
        <w:t>Target journal:</w:t>
      </w:r>
      <w:r>
        <w:rPr>
          <w:rFonts w:ascii="Calibri" w:hAnsi="Calibri"/>
          <w:sz w:val="22"/>
        </w:rPr>
        <w:t xml:space="preserve"> Computers &amp; Industrial Engineering</w:t>
      </w:r>
    </w:p>
    <w:p>
      <w:pPr>
        <w:spacing w:after="40"/>
        <w:jc w:val="center"/>
      </w:pPr>
      <w:r>
        <w:rPr>
          <w:rFonts w:ascii="Calibri" w:hAnsi="Calibri"/>
          <w:b/>
          <w:sz w:val="22"/>
        </w:rPr>
        <w:t>Document status:</w:t>
      </w:r>
      <w:r>
        <w:rPr>
          <w:rFonts w:ascii="Calibri" w:hAnsi="Calibri"/>
          <w:sz w:val="22"/>
        </w:rPr>
        <w:t xml:space="preserve"> pre-results manuscript, frozen scientific framing; no hybrid result is asserted</w:t>
      </w:r>
    </w:p>
    <w:p>
      <w:pPr>
        <w:spacing w:after="40"/>
        <w:jc w:val="center"/>
      </w:pPr>
      <w:r>
        <w:rPr>
          <w:rFonts w:ascii="Calibri" w:hAnsi="Calibri"/>
          <w:b/>
          <w:sz w:val="22"/>
        </w:rPr>
        <w:t>Model status:</w:t>
      </w:r>
      <w:r>
        <w:rPr>
          <w:rFonts w:ascii="Calibri" w:hAnsi="Calibri"/>
          <w:sz w:val="22"/>
        </w:rPr>
        <w:t xml:space="preserve"> Garrido-informed, thesis-grounded reconstruction and researcher extension</w:t>
      </w:r>
    </w:p>
    <w:p>
      <w:pPr>
        <w:pStyle w:val="Heading1"/>
      </w:pPr>
      <w:r>
        <w:t>Abstract</w:t>
      </w:r>
    </w:p>
    <w:p>
      <w:pPr>
        <w:jc w:val="both"/>
      </w:pPr>
      <w:r>
        <w:rPr>
          <w:rFonts w:ascii="Calibri" w:hAnsi="Calibri"/>
          <w:sz w:val="22"/>
        </w:rPr>
        <w:t xml:space="preserve">Discrete-event simulation can reproduce disruption propagation and recovery in complex supply chains, yet its decision logic commonly remains open loop: model outputs are inspected after a run rather than converted into state-contingent interventions during the run. This study develops a learning-augmented, event-triggered model predictive controller for a two-product extension of a thesis-grounded military food supply-chain DES. The controller combines a causal recurrent belief representation, a distributional continuation-value model, constrained scenario MPC, and a calibrated fallback to robust feasible MPC. The method is evaluated only after three pre-learner conditions are established: residual observable headroom beyond strengthened MPC, value from endogenous review timing under a matched attention budget, and a decision-relevant nonstationary risk envelope. The experimental design compares the proposed method with the complete set of 65,536 open-loop product-mix calendars, pure recurrent reinforcement learning, exact dynamic programming on a reduced benchmark, and preregistered nominal, particle, scenario, robust, constraint-aware, and event-triggered MPC controllers. Information, production, transport, review rights, and online computation are matched. The primary endpoint is canonical order-level ReT under </w:t>
      </w:r>
      <w:r>
        <w:rPr>
          <w:rFonts w:ascii="Courier New" w:hAnsi="Courier New"/>
          <w:sz w:val="19"/>
        </w:rPr>
        <w:t>ret_excel_request_snapshot_v2</w:t>
      </w:r>
      <w:r>
        <w:rPr>
          <w:rFonts w:ascii="Calibri" w:hAnsi="Calibri"/>
          <w:sz w:val="22"/>
        </w:rPr>
        <w:t>, with frozen robustness to both plausible simultaneous-event orderings. The study is designed to identify when learned belief, continuation value, and review timing add value—and when strengthened structured control makes them unnecessary. Results for the integrated hybrid remain gated and will be added only from virgin confirmation artifacts.</w:t>
      </w:r>
    </w:p>
    <w:p>
      <w:pPr>
        <w:jc w:val="both"/>
      </w:pPr>
      <w:r>
        <w:rPr>
          <w:rFonts w:ascii="Calibri" w:hAnsi="Calibri"/>
          <w:b/>
          <w:sz w:val="22"/>
        </w:rPr>
        <w:t>Keywords:</w:t>
      </w:r>
      <w:r>
        <w:rPr>
          <w:rFonts w:ascii="Calibri" w:hAnsi="Calibri"/>
          <w:sz w:val="22"/>
        </w:rPr>
        <w:t xml:space="preserve"> supply-chain resilience; discrete-event simulation; model predictive control; reinforcement learning; event-triggered control; partial observability; simulation optimization</w:t>
      </w:r>
    </w:p>
    <w:p>
      <w:pPr>
        <w:pStyle w:val="Heading1"/>
      </w:pPr>
      <w:r>
        <w:t>1. Introduction</w:t>
      </w:r>
    </w:p>
    <w:p>
      <w:pPr>
        <w:jc w:val="both"/>
      </w:pPr>
      <w:r>
        <w:rPr>
          <w:rFonts w:ascii="Calibri" w:hAnsi="Calibri"/>
          <w:sz w:val="22"/>
        </w:rPr>
        <w:t>Supply-chain resilience models must represent both the physical consequences of disruption and the decisions through which organizations respond. Discrete-event simulation (DES) is well suited to the first task because it preserves queues, lead times, resource contention, inventory propagation, and event timing. It is less often used as a closed-loop decision system. A simulated chain may undergo thousands of disruptions while its policy remains fixed, so simulation experience informs the analyst but not the next in-model decision.</w:t>
      </w:r>
    </w:p>
    <w:p>
      <w:pPr>
        <w:jc w:val="both"/>
      </w:pPr>
      <w:r>
        <w:rPr>
          <w:rFonts w:ascii="Calibri" w:hAnsi="Calibri"/>
          <w:sz w:val="22"/>
        </w:rPr>
        <w:t>Garrido, Pongutá, and Adarme (2024) identify this separation as a limitation in the operationalization of simulation-based supply-chain resilience and propose AI algorithms as a bridge between DES outputs and decision variables. Their contribution is exploratory: it motivates neural and reinforcement-learning mechanisms but does not implement a closed-loop controller or establish that a learned method improves resilience. The present study operationalizes the within-campaign part of that agenda. It does not treat the mere presence of a neural network as evidence of learning, and it does not yet study knowledge retained across campaigns.</w:t>
      </w:r>
    </w:p>
    <w:p>
      <w:pPr>
        <w:jc w:val="both"/>
      </w:pPr>
      <w:r>
        <w:rPr>
          <w:rFonts w:ascii="Calibri" w:hAnsi="Calibri"/>
          <w:sz w:val="22"/>
        </w:rPr>
        <w:t>The empirical setting is a reconstructed version of the 13-operation Military Food Supply Chain described by Garrido-Ríos (2017). Because the original Simulink implementation and all endogenous workbook distributions are unavailable, the Python model is described as a Garrido-informed, thesis-grounded reconstruction and researcher extension—not as an exact reproduction. The extension introduces two nonfungible product classes sharing fixed production and transport rights. Every policy selects only the allocation of those rights; no policy creates inventory, capacity, or transport.</w:t>
      </w:r>
    </w:p>
    <w:p>
      <w:pPr>
        <w:jc w:val="both"/>
      </w:pPr>
      <w:r>
        <w:rPr>
          <w:rFonts w:ascii="Calibri" w:hAnsi="Calibri"/>
          <w:sz w:val="22"/>
        </w:rPr>
        <w:t>Earlier experiments in this environment establish an unusually demanding baseline. A complete frontier of (4^8=65{,}536) open-loop calendars is available. Program Q independently confirmed that a recurrent learned policy outperformed this complete open-loop frontier and was statistically equivalent in canonical ReT to the strongest frozen belief-state controller. It did not establish an incremental neural premium, and its compound worst-product service gate failed. The integrated study therefore asks a narrower and harder question: can learned belief, continuation value, and endogenous review timing improve a strengthened, constraint-aware MPC under equal information, physical resources, attention, and online computation?</w:t>
      </w:r>
    </w:p>
    <w:p>
      <w:pPr>
        <w:jc w:val="both"/>
      </w:pPr>
      <w:r>
        <w:rPr>
          <w:rFonts w:ascii="Calibri" w:hAnsi="Calibri"/>
          <w:sz w:val="22"/>
        </w:rPr>
        <w:t>The contributions are fourfold. First, the study separates efficient static policy discovery, observable feedback value, timing value, and hybrid incremental value. Second, it provides exact static and reduced-POMDP benchmarks before evaluating a full DES. Third, it introduces a confidence-gated learning-augmented scenario-MPC architecture with a feasible robust fallback. Fourth, it uses full action-trajectory, information-placebo, service, resource, and direct-DES replay audits to distinguish genuine feedback from schedule discovery or hidden resource use.</w:t>
      </w:r>
    </w:p>
    <w:p>
      <w:pPr>
        <w:pStyle w:val="Heading1"/>
      </w:pPr>
      <w:r>
        <w:t>2. Research questions and hypotheses</w:t>
      </w:r>
    </w:p>
    <w:p>
      <w:pPr>
        <w:jc w:val="both"/>
      </w:pPr>
      <w:r>
        <w:rPr>
          <w:rFonts w:ascii="Calibri" w:hAnsi="Calibri"/>
          <w:sz w:val="22"/>
        </w:rPr>
        <w:t>The central question is:</w:t>
      </w:r>
    </w:p>
    <w:p>
      <w:pPr>
        <w:spacing w:before="80" w:after="200"/>
        <w:ind w:left="504" w:right="360"/>
      </w:pPr>
      <w:r>
        <w:rPr>
          <w:rFonts w:ascii="Calibri" w:hAnsi="Calibri"/>
          <w:i/>
          <w:color w:val="1F4D78"/>
          <w:sz w:val="21"/>
        </w:rPr>
        <w:t>Can a simulator-budgeted learning-augmented planner outperform the complete</w:t>
      </w:r>
    </w:p>
    <w:p>
      <w:pPr>
        <w:spacing w:before="80" w:after="200"/>
        <w:ind w:left="504" w:right="360"/>
      </w:pPr>
      <w:r>
        <w:rPr>
          <w:rFonts w:ascii="Calibri" w:hAnsi="Calibri"/>
          <w:i/>
          <w:color w:val="1F4D78"/>
          <w:sz w:val="21"/>
        </w:rPr>
        <w:t>open-loop frontier, pure recurrent RL, and strong belief-, robust-, and</w:t>
      </w:r>
    </w:p>
    <w:p>
      <w:pPr>
        <w:spacing w:before="80" w:after="200"/>
        <w:ind w:left="504" w:right="360"/>
      </w:pPr>
      <w:r>
        <w:rPr>
          <w:rFonts w:ascii="Calibri" w:hAnsi="Calibri"/>
          <w:i/>
          <w:color w:val="1F4D78"/>
          <w:sz w:val="21"/>
        </w:rPr>
        <w:t>event-triggered MPC under matched information, resources, intervention</w:t>
      </w:r>
    </w:p>
    <w:p>
      <w:pPr>
        <w:spacing w:before="80" w:after="200"/>
        <w:ind w:left="504" w:right="360"/>
      </w:pPr>
      <w:r>
        <w:rPr>
          <w:rFonts w:ascii="Calibri" w:hAnsi="Calibri"/>
          <w:i/>
          <w:color w:val="1F4D78"/>
          <w:sz w:val="21"/>
        </w:rPr>
        <w:t>rights, review budgets, and online computation?</w:t>
      </w:r>
    </w:p>
    <w:p>
      <w:pPr>
        <w:jc w:val="both"/>
      </w:pPr>
      <w:r>
        <w:rPr>
          <w:rFonts w:ascii="Calibri" w:hAnsi="Calibri"/>
          <w:sz w:val="22"/>
        </w:rPr>
        <w:t>Four prospectively ordered hypotheses follow.</w:t>
      </w:r>
    </w:p>
    <w:p>
      <w:pPr>
        <w:jc w:val="both"/>
      </w:pPr>
      <w:r>
        <w:rPr>
          <w:rFonts w:ascii="Calibri" w:hAnsi="Calibri"/>
          <w:b/>
          <w:sz w:val="22"/>
        </w:rPr>
        <w:t>H1 — Static search efficiency.</w:t>
      </w:r>
      <w:r>
        <w:rPr>
          <w:rFonts w:ascii="Calibri" w:hAnsi="Calibri"/>
          <w:sz w:val="22"/>
        </w:rPr>
        <w:t xml:space="preserve"> Under an equal calendar-by-tape simulator budget, simulation-based optimizers approach the exact static optimum without reading the enumerated score matrix during search.</w:t>
      </w:r>
    </w:p>
    <w:p>
      <w:pPr>
        <w:jc w:val="both"/>
      </w:pPr>
      <w:r>
        <w:rPr>
          <w:rFonts w:ascii="Calibri" w:hAnsi="Calibri"/>
          <w:b/>
          <w:sz w:val="22"/>
        </w:rPr>
        <w:t>H2 — Observable feedback value.</w:t>
      </w:r>
      <w:r>
        <w:rPr>
          <w:rFonts w:ascii="Calibri" w:hAnsi="Calibri"/>
          <w:sz w:val="22"/>
        </w:rPr>
        <w:t xml:space="preserve"> Observable weekly feedback achieves higher canonical ReT than the complete static frontier under identical physical rights.</w:t>
      </w:r>
    </w:p>
    <w:p>
      <w:pPr>
        <w:jc w:val="both"/>
      </w:pPr>
      <w:r>
        <w:rPr>
          <w:rFonts w:ascii="Calibri" w:hAnsi="Calibri"/>
          <w:b/>
          <w:sz w:val="22"/>
        </w:rPr>
        <w:t>H3 — Endogenous review value.</w:t>
      </w:r>
      <w:r>
        <w:rPr>
          <w:rFonts w:ascii="Calibri" w:hAnsi="Calibri"/>
          <w:sz w:val="22"/>
        </w:rPr>
        <w:t xml:space="preserve"> A variable-review adaptive controller with four review rights outperforms the strongest fixed-cadence adaptive controller with the same four rights. The unconstrained weekly perfect-information oracle is an upper ceiling, not a comparator that the restricted policy can logically dominate.</w:t>
      </w:r>
    </w:p>
    <w:p>
      <w:pPr>
        <w:jc w:val="both"/>
      </w:pPr>
      <w:r>
        <w:rPr>
          <w:rFonts w:ascii="Calibri" w:hAnsi="Calibri"/>
          <w:b/>
          <w:sz w:val="22"/>
        </w:rPr>
        <w:t>H4 — Hybrid incremental value.</w:t>
      </w:r>
      <w:r>
        <w:rPr>
          <w:rFonts w:ascii="Calibri" w:hAnsi="Calibri"/>
          <w:sz w:val="22"/>
        </w:rPr>
        <w:t xml:space="preserve"> The complete learning-augmented controller outperforms strengthened MPC and pure recurrent RL while satisfying frozen worst-product, lost-demand, resource, review, and computation guardrails.</w:t>
      </w:r>
    </w:p>
    <w:p>
      <w:pPr>
        <w:jc w:val="both"/>
      </w:pPr>
      <w:r>
        <w:rPr>
          <w:rFonts w:ascii="Calibri" w:hAnsi="Calibri"/>
          <w:sz w:val="22"/>
        </w:rPr>
        <w:t>Successive-disruption learning curves, volatility reduction, path dependency, and retained (L_{e-1}) are reserved for Paper 3. They are not inferred from within-episode recurrence.</w:t>
      </w:r>
    </w:p>
    <w:p>
      <w:pPr>
        <w:pStyle w:val="Heading1"/>
      </w:pPr>
      <w:r>
        <w:t>3. System and decision problem</w:t>
      </w:r>
    </w:p>
    <w:p>
      <w:pPr>
        <w:pStyle w:val="Heading2"/>
      </w:pPr>
      <w:r>
        <w:t>3.1 DES provenance and claim boundary</w:t>
      </w:r>
    </w:p>
    <w:p>
      <w:pPr>
        <w:jc w:val="both"/>
      </w:pPr>
      <w:r>
        <w:rPr>
          <w:rFonts w:ascii="Calibri" w:hAnsi="Calibri"/>
          <w:sz w:val="22"/>
        </w:rPr>
        <w:t>The model preserves the thesis-grounded operation sequence, order flow, production and transport timing, disruption interfaces, and canonical ReT continuity metric. The two-product layer is a disclosed researcher extension motivated by the aggregation of multiple ration classes into one homogeneous product in the thesis. Products are nonfungible in the primary cell and share the same aggregate processing and transport rights.</w:t>
      </w:r>
    </w:p>
    <w:p>
      <w:pPr>
        <w:pStyle w:val="Heading2"/>
      </w:pPr>
      <w:r>
        <w:t>3.2 Decisions and information</w:t>
      </w:r>
    </w:p>
    <w:p>
      <w:pPr>
        <w:jc w:val="both"/>
      </w:pPr>
      <w:r>
        <w:rPr>
          <w:rFonts w:ascii="Calibri" w:hAnsi="Calibri"/>
          <w:sz w:val="22"/>
        </w:rPr>
        <w:t>Each eight-week episode contains 24 fixed production slots. At a weekly commitment, action k_t ∈ {0, 1, 2, 3} assigns k_t slots to product C and 3-k_t to product H. The event-triggered action is</w:t>
      </w:r>
    </w:p>
    <w:p>
      <w:pPr>
        <w:jc w:val="both"/>
      </w:pPr>
      <w:r>
        <w:rPr>
          <w:rFonts w:ascii="Calibri" w:hAnsi="Calibri"/>
          <w:sz w:val="22"/>
        </w:rPr>
        <w:t>a_t = (k_t, d_t), with d_t ∈ {1, 2, 4} weeks,</w:t>
      </w:r>
    </w:p>
    <w:p>
      <w:pPr>
        <w:jc w:val="both"/>
      </w:pPr>
      <w:r>
        <w:rPr>
          <w:rFonts w:ascii="Calibri" w:hAnsi="Calibri"/>
          <w:sz w:val="22"/>
        </w:rPr>
        <w:t>with four review rights. Between reviews the selected mix is held; hidden weekly changes are prohibited.</w:t>
      </w:r>
    </w:p>
    <w:p>
      <w:pPr>
        <w:jc w:val="both"/>
      </w:pPr>
      <w:r>
        <w:rPr>
          <w:rFonts w:ascii="Calibri" w:hAnsi="Calibri"/>
          <w:sz w:val="22"/>
        </w:rPr>
        <w:t>Observable history includes product-specific inventory, WIP, locked pipeline, in-transit quantities, backlog quantities and ages, realized demand history, previous actions, current disruption indicators, and remaining review rights. True regimes, transition parameters, future demand or risk, tape identity, random seeds, and oracle actions are excluded.</w:t>
      </w:r>
    </w:p>
    <w:p>
      <w:pPr>
        <w:pStyle w:val="Heading2"/>
      </w:pPr>
      <w:r>
        <w:t>3.3 Outcomes and resources</w:t>
      </w:r>
    </w:p>
    <w:p>
      <w:pPr>
        <w:jc w:val="both"/>
      </w:pPr>
      <w:r>
        <w:rPr>
          <w:rFonts w:ascii="Calibri" w:hAnsi="Calibri"/>
          <w:sz w:val="22"/>
        </w:rPr>
        <w:t xml:space="preserve">The primary endpoint is order-level ReT computed with </w:t>
      </w:r>
      <w:r>
        <w:rPr>
          <w:rFonts w:ascii="Courier New" w:hAnsi="Courier New"/>
          <w:sz w:val="19"/>
        </w:rPr>
        <w:t>ret_excel_request_snapshot_v2</w:t>
      </w:r>
      <w:r>
        <w:rPr>
          <w:rFonts w:ascii="Calibri" w:hAnsi="Calibri"/>
          <w:sz w:val="22"/>
        </w:rPr>
        <w:t>. Because the exact ordering of simultaneous request and delivery callbacks remains historically ambiguous, both plausible event orderings are frozen robustness analyses; neither is selected after results. Secondary outcomes include quantity-weighted ReT, full-ledger ReT, service-loss AUC, backlog, fill, cycle time, recovery time, CVaR10, lost demand, and worst-product fill.</w:t>
      </w:r>
    </w:p>
    <w:p>
      <w:pPr>
        <w:jc w:val="both"/>
      </w:pPr>
      <w:r>
        <w:rPr>
          <w:rFonts w:ascii="Calibri" w:hAnsi="Calibri"/>
          <w:sz w:val="22"/>
        </w:rPr>
        <w:t>Production slots, production quantity, dispatch rights, vehicle-hours, demand, and review rights are ledgered. Online inference and optimization time are measured separately from offline training and simulator-data generation.</w:t>
      </w:r>
    </w:p>
    <w:p>
      <w:pPr>
        <w:pStyle w:val="Heading1"/>
      </w:pPr>
      <w:r>
        <w:t>4. Learning-augmented event-triggered MPC</w:t>
      </w:r>
    </w:p>
    <w:p>
      <w:pPr>
        <w:jc w:val="both"/>
      </w:pPr>
      <w:r>
        <w:rPr>
          <w:rFonts w:ascii="Calibri" w:hAnsi="Calibri"/>
          <w:sz w:val="22"/>
        </w:rPr>
        <w:t>The proposed controller has four components.</w:t>
      </w:r>
    </w:p>
    <w:p>
      <w:pPr>
        <w:pStyle w:val="ListNumber"/>
        <w:spacing w:after="80"/>
        <w:ind w:left="540" w:hanging="279"/>
      </w:pPr>
      <w:r>
        <w:rPr>
          <w:rFonts w:ascii="Calibri" w:hAnsi="Calibri"/>
          <w:sz w:val="22"/>
        </w:rPr>
        <w:t>A causal recurrent encoder maps observable history to a deployable belief</w:t>
      </w:r>
    </w:p>
    <w:p>
      <w:pPr>
        <w:jc w:val="both"/>
      </w:pPr>
      <w:r>
        <w:rPr>
          <w:rFonts w:ascii="Calibri" w:hAnsi="Calibri"/>
          <w:sz w:val="22"/>
        </w:rPr>
        <w:t>representation. It is trained primarily for downstream planning regret, with belief likelihood as an auxiliary objective.</w:t>
      </w:r>
    </w:p>
    <w:p>
      <w:pPr>
        <w:pStyle w:val="ListNumber"/>
        <w:spacing w:after="80"/>
        <w:ind w:left="540" w:hanging="279"/>
      </w:pPr>
      <w:r>
        <w:rPr>
          <w:rFonts w:ascii="Calibri" w:hAnsi="Calibri"/>
          <w:sz w:val="22"/>
        </w:rPr>
        <w:t>A distributional terminal model predicts continuation ReT quantiles beyond</w:t>
      </w:r>
    </w:p>
    <w:p>
      <w:pPr>
        <w:jc w:val="both"/>
      </w:pPr>
      <w:r>
        <w:rPr>
          <w:rFonts w:ascii="Calibri" w:hAnsi="Calibri"/>
          <w:sz w:val="22"/>
        </w:rPr>
        <w:t>the finite MPC horizon and is trained with a proper quantile loss.</w:t>
      </w:r>
    </w:p>
    <w:p>
      <w:pPr>
        <w:pStyle w:val="ListNumber"/>
        <w:spacing w:after="80"/>
        <w:ind w:left="540" w:hanging="279"/>
      </w:pPr>
      <w:r>
        <w:rPr>
          <w:rFonts w:ascii="Calibri" w:hAnsi="Calibri"/>
          <w:sz w:val="22"/>
        </w:rPr>
        <w:t>Constrained scenario MPC enumerates or optimizes feasible product-mix and</w:t>
      </w:r>
    </w:p>
    <w:p>
      <w:pPr>
        <w:jc w:val="both"/>
      </w:pPr>
      <w:r>
        <w:rPr>
          <w:rFonts w:ascii="Calibri" w:hAnsi="Calibri"/>
          <w:sz w:val="22"/>
        </w:rPr>
        <w:t>review-time commitments under production, transport, lost-demand, and worst-product constraints.</w:t>
      </w:r>
    </w:p>
    <w:p>
      <w:pPr>
        <w:pStyle w:val="ListNumber"/>
        <w:spacing w:after="80"/>
        <w:ind w:left="540" w:hanging="279"/>
      </w:pPr>
      <w:r>
        <w:rPr>
          <w:rFonts w:ascii="Calibri" w:hAnsi="Calibri"/>
          <w:sz w:val="22"/>
        </w:rPr>
        <w:t>A calibrated confidence gate accepts learned corrections only within</w:t>
      </w:r>
    </w:p>
    <w:p>
      <w:pPr>
        <w:jc w:val="both"/>
      </w:pPr>
      <w:r>
        <w:rPr>
          <w:rFonts w:ascii="Calibri" w:hAnsi="Calibri"/>
          <w:sz w:val="22"/>
        </w:rPr>
        <w:t>calibration support and when predicted improvement and service-risk bounds pass. Otherwise it falls back to feasible robust MPC.</w:t>
      </w:r>
    </w:p>
    <w:p>
      <w:pPr>
        <w:jc w:val="both"/>
      </w:pPr>
      <w:r>
        <w:rPr>
          <w:rFonts w:ascii="Calibri" w:hAnsi="Calibri"/>
          <w:sz w:val="22"/>
        </w:rPr>
        <w:t>The gate is an abstention mechanism, not a deployment-safety certificate. Episode-level service and tail behavior remain confirmatory outcomes.</w:t>
      </w:r>
    </w:p>
    <w:p>
      <w:pPr>
        <w:pStyle w:val="Heading1"/>
      </w:pPr>
      <w:r>
        <w:t>5. Experimental design</w:t>
      </w:r>
    </w:p>
    <w:p>
      <w:pPr>
        <w:pStyle w:val="Heading2"/>
      </w:pPr>
      <w:r>
        <w:t>5.1 U0: simulator-budgeted static search</w:t>
      </w:r>
    </w:p>
    <w:p>
      <w:pPr>
        <w:jc w:val="both"/>
      </w:pPr>
      <w:r>
        <w:rPr>
          <w:rFonts w:ascii="Calibri" w:hAnsi="Calibri"/>
          <w:sz w:val="22"/>
        </w:rPr>
        <w:t>Random search, cross-entropy search, Gaussian-process Bayesian optimization, discrete-embedding CMA-ES, autoregressive policy gradient, and PPO receive the same physical calendar-by-tape call budget. They query the simulator directly. The 65,536-score matrix is inaccessible until every candidate and trace is frozen, after which it supplies exact rank, regret, best-so-far area, and calls to 5%, 1%, and 0.5% gaps. U0 is non-blocking and belongs in a compact main-text result or supplement.</w:t>
      </w:r>
    </w:p>
    <w:p>
      <w:pPr>
        <w:pStyle w:val="Heading2"/>
      </w:pPr>
      <w:r>
        <w:t>5.2 T0: strengthened comparator gate</w:t>
      </w:r>
    </w:p>
    <w:p>
      <w:pPr>
        <w:jc w:val="both"/>
      </w:pPr>
      <w:r>
        <w:rPr>
          <w:rFonts w:ascii="Calibri" w:hAnsi="Calibri"/>
          <w:sz w:val="22"/>
        </w:rPr>
        <w:t>Before fitting learned components, ReT-aligned MPC is evaluated at horizons 1, 3, 4, 6, and 8 with nominal, scenario, robust, and constraint-aware objectives, and analytic or particle beliefs. A quality–p95-online-time frontier is frozen, followed by one primary online budget. The reduced exact POMDP is used to expose truncation effects: in the current benchmark, horizon-3 MPC already reaches the exact belief-DP optimum. Therefore no neural premium can be claimed there.</w:t>
      </w:r>
    </w:p>
    <w:p>
      <w:pPr>
        <w:jc w:val="both"/>
      </w:pPr>
      <w:r>
        <w:rPr>
          <w:rFonts w:ascii="Calibri" w:hAnsi="Calibri"/>
          <w:sz w:val="22"/>
        </w:rPr>
        <w:t>Hybrid fitting requires a paired 95% lower confidence bound of at least 0.015 for the best observable policy over strengthened MPC, together with resource, lost-order, and worst-product guardrails. Failure routes directly to the Program-Q fallback manuscript.</w:t>
      </w:r>
    </w:p>
    <w:p>
      <w:pPr>
        <w:pStyle w:val="Heading2"/>
      </w:pPr>
      <w:r>
        <w:t>5.3 U1/S1b: nonstationary envelope</w:t>
      </w:r>
    </w:p>
    <w:p>
      <w:pPr>
        <w:jc w:val="both"/>
      </w:pPr>
      <w:r>
        <w:rPr>
          <w:rFonts w:ascii="Calibri" w:hAnsi="Calibri"/>
          <w:sz w:val="22"/>
        </w:rPr>
        <w:t>The risk cascade is used only if strengthened MPC absorbs the current opportunity. Garrido-native risks are screened first. A disclosed researcher-defined envelope may add latent normal/surge/recovery regimes, product–demand–risk interaction, and mean-preserving processing-time stochasticity. Selection uses safe perfect-information headroom, classical observable conversion, action-ranking reversals, and guardrail feasibility; learner return is forbidden.</w:t>
      </w:r>
    </w:p>
    <w:p>
      <w:pPr>
        <w:jc w:val="both"/>
      </w:pPr>
      <w:r>
        <w:rPr>
          <w:rFonts w:ascii="Calibri" w:hAnsi="Calibri"/>
          <w:sz w:val="22"/>
        </w:rPr>
        <w:t>Action-dependent R14 production/quality physics runs in direct SimPy until its exact multiplier and extreme-calendar family receive an independent transducer certificate. Every candidate region has a stationary control with the same total risk mass.</w:t>
      </w:r>
    </w:p>
    <w:p>
      <w:pPr>
        <w:pStyle w:val="Heading2"/>
      </w:pPr>
      <w:r>
        <w:t>5.4 U2: timing oracle</w:t>
      </w:r>
    </w:p>
    <w:p>
      <w:pPr>
        <w:jc w:val="both"/>
      </w:pPr>
      <w:r>
        <w:rPr>
          <w:rFonts w:ascii="Calibri" w:hAnsi="Calibri"/>
          <w:sz w:val="22"/>
        </w:rPr>
        <w:t xml:space="preserve">The primary timing estimand compares variable and fixed review schedules under the same four-review budget. The complete weekly calendar class is reported as an upper bound. Promotion requires a paired lower confidence bound of 0.015. Failure produces </w:t>
      </w:r>
      <w:r>
        <w:rPr>
          <w:rFonts w:ascii="Courier New" w:hAnsi="Courier New"/>
          <w:sz w:val="19"/>
        </w:rPr>
        <w:t>STOP_NO_ENDOGENOUS_REVIEW_VALUE</w:t>
      </w:r>
      <w:r>
        <w:rPr>
          <w:rFonts w:ascii="Calibri" w:hAnsi="Calibri"/>
          <w:sz w:val="22"/>
        </w:rPr>
        <w:t xml:space="preserve"> and prohibits training an event-triggered learner.</w:t>
      </w:r>
    </w:p>
    <w:p>
      <w:pPr>
        <w:pStyle w:val="Heading2"/>
      </w:pPr>
      <w:r>
        <w:t>5.5 U3/U4: component attribution</w:t>
      </w:r>
    </w:p>
    <w:p>
      <w:pPr>
        <w:jc w:val="both"/>
      </w:pPr>
      <w:r>
        <w:rPr>
          <w:rFonts w:ascii="Calibri" w:hAnsi="Calibri"/>
          <w:sz w:val="22"/>
        </w:rPr>
        <w:t>Nested arms are strengthened MPC; learned belief plus MPC; learned terminal value plus MPC; learned timing plus MPC; belief plus value; the complete hybrid; and pure recurrent RL. Real history must beat shuffled, delayed, wrong-channel, phase-only, modal, and frequency-matched replacements.</w:t>
      </w:r>
    </w:p>
    <w:p>
      <w:pPr>
        <w:pStyle w:val="Heading2"/>
      </w:pPr>
      <w:r>
        <w:t>5.6 U5: virgin confirmation</w:t>
      </w:r>
    </w:p>
    <w:p>
      <w:pPr>
        <w:jc w:val="both"/>
      </w:pPr>
      <w:r>
        <w:rPr>
          <w:rFonts w:ascii="Calibri" w:hAnsi="Calibri"/>
          <w:sz w:val="22"/>
        </w:rPr>
        <w:t>Architecture, loss weights, online budget, margins, comparator set, simulator tapes, and optimizer seeds are frozen before confirmation. The hierarchical primary tests are hybrid minus best static (LCB at least 0.01), hybrid minus best classical (LCB at least 0.01), and hybrid minus pure RL (LCB at least zero). Additional requirements are at least 70% favorable tapes, at least 8 of 10 positive optimizer seeds, worst-product-fill LCB no lower than -0.02, no increase in lost demand, exact resource and review equality, noncontradictory CVaR10 direction, and successful trajectory and direct-DES audits.</w:t>
      </w:r>
    </w:p>
    <w:p>
      <w:pPr>
        <w:pStyle w:val="Heading1"/>
      </w:pPr>
      <w:r>
        <w:t>6. Current evidence and prospective boundary</w:t>
      </w:r>
    </w:p>
    <w:p>
      <w:pPr>
        <w:jc w:val="both"/>
      </w:pPr>
      <w:r>
        <w:rPr>
          <w:rFonts w:ascii="Calibri" w:hAnsi="Calibri"/>
          <w:sz w:val="22"/>
        </w:rPr>
        <w:t>Completed evidence establishes the physical and methodological foundation, not the hybrid claim. Program O found material perfect-information headroom. Program Q confirmed that recurrent feedback exceeded every open-loop calendar and was equivalent in ReT to the strongest frozen belief-state controller, but failed its worst-product compound gate and showed no neural premium. U0, T0, S1b, and U2 now have executable, fail-closed surfaces; no new scientific seeds and no hybrid confirmation are authorized by those implementation artifacts.</w:t>
      </w:r>
    </w:p>
    <w:p>
      <w:pPr>
        <w:jc w:val="both"/>
      </w:pPr>
      <w:r>
        <w:rPr>
          <w:rFonts w:ascii="Calibri" w:hAnsi="Calibri"/>
          <w:sz w:val="22"/>
        </w:rPr>
        <w:t>The integrated hybrid results will be reported only if every preceding gate passes. Otherwise the paper routes to the already replicated boundary result: learned feedback can outperform exhaustive open-loop scheduling while matching, but not improving upon, structured belief-MPC; worst-product safety remains uncertified.</w:t>
      </w:r>
    </w:p>
    <w:p>
      <w:pPr>
        <w:pStyle w:val="Heading1"/>
      </w:pPr>
      <w:r>
        <w:t>7. Managerial implications to be tested</w:t>
      </w:r>
    </w:p>
    <w:p>
      <w:pPr>
        <w:jc w:val="both"/>
      </w:pPr>
      <w:r>
        <w:rPr>
          <w:rFonts w:ascii="Calibri" w:hAnsi="Calibri"/>
          <w:sz w:val="22"/>
        </w:rPr>
        <w:t>The final decision aid will report: which product mix to commit under observable inventory and backlog imbalance; when replanning is worth scarce managerial attention; when a robust MPC is sufficient; when learned corrections are accepted or rejected; and the amortization point at which offline learning is repaid by lower online planning cost. A null hybrid premium is managerially meaningful if structured control captures all deployable value.</w:t>
      </w:r>
    </w:p>
    <w:p>
      <w:pPr>
        <w:pStyle w:val="Heading1"/>
      </w:pPr>
      <w:r>
        <w:t>8. Limitations</w:t>
      </w:r>
    </w:p>
    <w:p>
      <w:pPr>
        <w:jc w:val="both"/>
      </w:pPr>
      <w:r>
        <w:rPr>
          <w:rFonts w:ascii="Calibri" w:hAnsi="Calibri"/>
          <w:sz w:val="22"/>
        </w:rPr>
        <w:t>The study uses one thesis-grounded system plus controlled benchmark families; the product extension is not an estimated description of every ration class. ReT timestamp semantics retain a frozen robustness ambiguity. Scenario models cannot certify all possible nonstationarity. The controller is centralized, and “best” means best among preregistered tested methods—not globally optimal in the full DES POMDP. Organizational learning and cross-campaign retention are outside this paper.</w:t>
      </w:r>
    </w:p>
    <w:p>
      <w:pPr>
        <w:pStyle w:val="Heading1"/>
      </w:pPr>
      <w:r>
        <w:t>9. Conclusion</w:t>
      </w:r>
    </w:p>
    <w:p>
      <w:pPr>
        <w:jc w:val="both"/>
      </w:pPr>
      <w:r>
        <w:rPr>
          <w:rFonts w:ascii="Calibri" w:hAnsi="Calibri"/>
          <w:sz w:val="22"/>
        </w:rPr>
        <w:t>This study treats learning as an incremental decision mechanism, not a label attached to a DES. Exact static benchmarks, strengthened structured control, matched review rights, and fail-closed pre-learner gates determine whether a hybrid is warranted. The design can therefore produce either a positive hybrid result or a scientifically useful boundary showing that model-based feedback is already sufficient.</w:t>
      </w:r>
    </w:p>
    <w:p>
      <w:pPr>
        <w:pStyle w:val="Heading1"/>
      </w:pPr>
      <w:r>
        <w:t>References (working)</w:t>
      </w:r>
    </w:p>
    <w:p>
      <w:pPr>
        <w:pStyle w:val="ListBullet"/>
        <w:spacing w:after="80"/>
        <w:ind w:left="540" w:hanging="279"/>
      </w:pPr>
      <w:r>
        <w:rPr>
          <w:rFonts w:ascii="Calibri" w:hAnsi="Calibri"/>
          <w:sz w:val="22"/>
        </w:rPr>
        <w:t>Garrido-Ríos, J. G. (2017). A Mixed-Method Study on the Effectiveness of a Buffering Strategy in the Relationship between Risks and Resilience. Doctoral thesis.</w:t>
      </w:r>
    </w:p>
    <w:p>
      <w:pPr>
        <w:pStyle w:val="ListBullet"/>
        <w:spacing w:after="80"/>
        <w:ind w:left="540" w:hanging="279"/>
      </w:pPr>
      <w:r>
        <w:rPr>
          <w:rFonts w:ascii="Calibri" w:hAnsi="Calibri"/>
          <w:sz w:val="22"/>
        </w:rPr>
        <w:t>Garrido, J. G., Pongutá, W., and Adarme, W. (2024). Enhancing the Operationalization of SCRES-Based Simulation Models with AI Algorithms.</w:t>
      </w:r>
    </w:p>
    <w:p>
      <w:pPr>
        <w:pStyle w:val="ListBullet"/>
        <w:spacing w:after="80"/>
        <w:ind w:left="540" w:hanging="279"/>
      </w:pPr>
      <w:r>
        <w:rPr>
          <w:rFonts w:ascii="Calibri" w:hAnsi="Calibri"/>
          <w:sz w:val="22"/>
        </w:rPr>
        <w:t>The final submission bibliography will include primary sources for belief-state control, scenario MPC, distributional RL, event-triggered control, simulation optimization, and DES–ML integration. References will be frozen before journal submission rather than inferred from repository notes.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5A5A"/>
        <w:sz w:val="17"/>
      </w:rPr>
      <w:t>PAPER 2 | PRE-RESULTS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Learning-Augmented Event-Triggered MPC for Supply-Chain Resilience</dc:title>
  <dc:subject>Pre-results manuscript for Computers &amp; Industrial Engineering</dc:subject>
  <dc:creator>python-docx</dc:creator>
  <cp:keywords>SCRES, DES, MPC, reinforcement learning, event-triggered control</cp:keywords>
  <dc:description>generated by python-docx</dc:description>
  <cp:lastModifiedBy/>
  <cp:revision>1</cp:revision>
  <dcterms:created xsi:type="dcterms:W3CDTF">2013-12-23T23:15:00Z</dcterms:created>
  <dcterms:modified xsi:type="dcterms:W3CDTF">2013-12-23T23:15:00Z</dcterms:modified>
  <cp:category/>
</cp:coreProperties>
</file>