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Operations Summary</w:t>
      </w:r>
    </w:p>
    <w:p>
      <w:r>
        <w:t>This fixture is used to demo DOCX extraction to IR and markdown.</w:t>
      </w:r>
    </w:p>
    <w:p>
      <w:commentRangeStart w:id="0"/>
      <w:r>
        <w:t>Please validate this sentence before publishing the report.</w:t>
      </w:r>
      <w:commentRangeEnd w:id="0"/>
      <w:r>
        <w:rPr>
          <w:rStyle w:val="CommentReference"/>
        </w:rPr>
        <w:commentReference w:id="0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$1200000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$980000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</w:tbl>
    <w:p>
      <w:r>
        <w:t>End of document. The parser should emit a body section and a header section.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03-03T12:41:03Z">
    <w:p>
      <w:pPr>
        <w:pStyle w:val="CommentText"/>
      </w:pPr>
      <w:r>
        <w:rPr>
          <w:rStyle w:val="CommentReference"/>
        </w:rPr>
        <w:annotationRef/>
      </w:r>
      <w:r>
        <w:t>Example DOCX comment captured as markdown footnote.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OOXML Showcase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