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84D" w:rsidRDefault="00290275" w:rsidP="00A3484D">
      <w:pPr>
        <w:pStyle w:val="Title"/>
      </w:pPr>
      <w:proofErr w:type="spellStart"/>
      <w:r>
        <w:t>PathSimR</w:t>
      </w:r>
      <w:proofErr w:type="spellEnd"/>
      <w:r>
        <w:t xml:space="preserve"> – </w:t>
      </w:r>
      <w:r w:rsidR="00842A8C">
        <w:t>A&amp;E Example</w:t>
      </w:r>
    </w:p>
    <w:p w:rsidR="00A3484D" w:rsidRDefault="00A3484D" w:rsidP="00A3484D">
      <w:pPr>
        <w:pStyle w:val="Title"/>
      </w:pPr>
    </w:p>
    <w:p w:rsidR="00A3484D" w:rsidRPr="00A3484D" w:rsidRDefault="00A3484D" w:rsidP="00A3484D">
      <w:pPr>
        <w:pStyle w:val="Heading1"/>
        <w:numPr>
          <w:ilvl w:val="0"/>
          <w:numId w:val="13"/>
        </w:numPr>
      </w:pPr>
      <w:r w:rsidRPr="00A3484D">
        <w:t>Problem</w:t>
      </w:r>
    </w:p>
    <w:p w:rsidR="00B10C5F" w:rsidRPr="00A3484D" w:rsidRDefault="0024218E" w:rsidP="00A3484D">
      <w:pPr>
        <w:pStyle w:val="Heading2"/>
        <w:rPr>
          <w:u w:val="single"/>
        </w:rPr>
      </w:pPr>
      <w:r w:rsidRPr="00A3484D">
        <w:rPr>
          <w:u w:val="single"/>
        </w:rPr>
        <w:t>Project t</w:t>
      </w:r>
      <w:r w:rsidR="00290275" w:rsidRPr="00A3484D">
        <w:rPr>
          <w:u w:val="single"/>
        </w:rPr>
        <w:t xml:space="preserve">itle &amp; </w:t>
      </w:r>
      <w:r w:rsidRPr="00A3484D">
        <w:rPr>
          <w:u w:val="single"/>
        </w:rPr>
        <w:t>s</w:t>
      </w:r>
      <w:r w:rsidR="00290275" w:rsidRPr="00A3484D">
        <w:rPr>
          <w:u w:val="single"/>
        </w:rPr>
        <w:t>ummary</w:t>
      </w:r>
    </w:p>
    <w:p w:rsidR="0009769E" w:rsidRPr="00895559" w:rsidRDefault="0009769E" w:rsidP="00B10C5F">
      <w:pPr>
        <w:rPr>
          <w:vertAlign w:val="superscript"/>
        </w:rPr>
      </w:pPr>
      <w:r>
        <w:t>Proportion of patient time spent waiting in an emergency department under crisis conditions.</w:t>
      </w:r>
      <w:r w:rsidR="00BA4939">
        <w:t xml:space="preserve"> </w:t>
      </w:r>
      <w:r w:rsidR="00B82EA5">
        <w:t>T</w:t>
      </w:r>
      <w:r w:rsidR="00BA4939" w:rsidRPr="00BA4939">
        <w:t>his is an example use case, adapted and si</w:t>
      </w:r>
      <w:r w:rsidR="00895559">
        <w:t>mplified from a published model.</w:t>
      </w:r>
      <w:r w:rsidR="00895559" w:rsidRPr="00895559">
        <w:rPr>
          <w:rStyle w:val="FootnoteReference"/>
        </w:rPr>
        <w:footnoteReference w:id="1"/>
      </w:r>
    </w:p>
    <w:p w:rsidR="0024218E" w:rsidRPr="0024218E" w:rsidRDefault="0024218E" w:rsidP="0024218E">
      <w:pPr>
        <w:pStyle w:val="Heading2"/>
        <w:rPr>
          <w:u w:val="single"/>
        </w:rPr>
      </w:pPr>
      <w:r>
        <w:rPr>
          <w:u w:val="single"/>
        </w:rPr>
        <w:t xml:space="preserve">Key </w:t>
      </w:r>
      <w:r w:rsidR="006547EA">
        <w:rPr>
          <w:u w:val="single"/>
        </w:rPr>
        <w:t>questions &amp; insights</w:t>
      </w:r>
    </w:p>
    <w:p w:rsidR="0009769E" w:rsidRDefault="0009769E" w:rsidP="0024218E">
      <w:pPr>
        <w:rPr>
          <w:b/>
          <w:i/>
          <w:sz w:val="20"/>
        </w:rPr>
      </w:pPr>
    </w:p>
    <w:p w:rsidR="0009769E" w:rsidRDefault="0009769E" w:rsidP="0024218E">
      <w:pPr>
        <w:rPr>
          <w:sz w:val="20"/>
        </w:rPr>
      </w:pPr>
      <w:r>
        <w:rPr>
          <w:sz w:val="20"/>
        </w:rPr>
        <w:t xml:space="preserve">The main question </w:t>
      </w:r>
      <w:r w:rsidR="00AA45CC">
        <w:rPr>
          <w:sz w:val="20"/>
        </w:rPr>
        <w:t>is how well does a</w:t>
      </w:r>
      <w:r>
        <w:rPr>
          <w:sz w:val="20"/>
        </w:rPr>
        <w:t xml:space="preserve"> disaster contingency plan – in terms of resource re-allocation between parts of an emergency department – provide resilience to a major event in terms of </w:t>
      </w:r>
      <w:r w:rsidR="00AA45CC">
        <w:rPr>
          <w:sz w:val="20"/>
        </w:rPr>
        <w:t xml:space="preserve">proportional waiting times for </w:t>
      </w:r>
      <w:r>
        <w:rPr>
          <w:sz w:val="20"/>
        </w:rPr>
        <w:t xml:space="preserve">the most seriously ill/injured patients. The major event is modelled in terms of a steep </w:t>
      </w:r>
      <w:r w:rsidR="00AA45CC">
        <w:rPr>
          <w:sz w:val="20"/>
        </w:rPr>
        <w:t xml:space="preserve">but time-limited </w:t>
      </w:r>
      <w:r>
        <w:rPr>
          <w:sz w:val="20"/>
        </w:rPr>
        <w:t>increase in arrival rates</w:t>
      </w:r>
      <w:r w:rsidR="00AA45CC">
        <w:rPr>
          <w:sz w:val="20"/>
        </w:rPr>
        <w:t xml:space="preserve"> and the emergency resilience plan is modelled in terms of changes to service rates and capacities at given service points, to reflect the reassignment of doctors and nurses between service points (and potentially the opening of extra treatment rooms and the spreading of doctor/nurse resource between them).</w:t>
      </w:r>
    </w:p>
    <w:p w:rsidR="00035339" w:rsidRDefault="00035339" w:rsidP="0024218E">
      <w:pPr>
        <w:rPr>
          <w:sz w:val="20"/>
        </w:rPr>
      </w:pPr>
    </w:p>
    <w:p w:rsidR="008645D9" w:rsidRDefault="00035339" w:rsidP="0024218E">
      <w:pPr>
        <w:rPr>
          <w:sz w:val="20"/>
        </w:rPr>
      </w:pPr>
      <w:r>
        <w:rPr>
          <w:sz w:val="20"/>
        </w:rPr>
        <w:t>A reference case pathway is specified and what-if analysis then is performed by adding/removing service points of a given type and/or changing capacity and service time parameters within service points, and comparing the resulting differences in mean patient waiting time to total time in system ratios. The comparative effect of the changes on more severe patients is examined by looking at these measures for given service points, as well as for the whole pathway.</w:t>
      </w:r>
    </w:p>
    <w:p w:rsidR="00B82EA5" w:rsidRDefault="00B82EA5" w:rsidP="0024218E">
      <w:pPr>
        <w:rPr>
          <w:sz w:val="20"/>
        </w:rPr>
      </w:pPr>
    </w:p>
    <w:p w:rsidR="00B82EA5" w:rsidRDefault="00B82EA5" w:rsidP="00B82EA5">
      <w:pPr>
        <w:pStyle w:val="Heading2"/>
        <w:rPr>
          <w:u w:val="single"/>
        </w:rPr>
      </w:pPr>
      <w:r>
        <w:rPr>
          <w:u w:val="single"/>
        </w:rPr>
        <w:t>Key PathSimR Features</w:t>
      </w:r>
    </w:p>
    <w:p w:rsidR="00B82EA5" w:rsidRPr="00B82EA5" w:rsidRDefault="00B82EA5" w:rsidP="00B82EA5">
      <w:pPr>
        <w:pStyle w:val="ListParagraph"/>
        <w:numPr>
          <w:ilvl w:val="0"/>
          <w:numId w:val="9"/>
        </w:numPr>
        <w:rPr>
          <w:sz w:val="20"/>
        </w:rPr>
      </w:pPr>
      <w:r>
        <w:rPr>
          <w:sz w:val="20"/>
        </w:rPr>
        <w:t>High capacity</w:t>
      </w:r>
      <w:r w:rsidR="00DE3771">
        <w:rPr>
          <w:sz w:val="20"/>
        </w:rPr>
        <w:t xml:space="preserve"> internal queue system </w:t>
      </w:r>
    </w:p>
    <w:p w:rsidR="00B82EA5" w:rsidRPr="00B82EA5" w:rsidRDefault="00B82EA5" w:rsidP="00B82EA5">
      <w:pPr>
        <w:pStyle w:val="ListParagraph"/>
        <w:numPr>
          <w:ilvl w:val="0"/>
          <w:numId w:val="9"/>
        </w:numPr>
        <w:rPr>
          <w:sz w:val="20"/>
        </w:rPr>
      </w:pPr>
      <w:r w:rsidRPr="00B82EA5">
        <w:rPr>
          <w:sz w:val="20"/>
        </w:rPr>
        <w:t>Rejection at full external queues (patients will be lost if there is no space upon arrival from outside the system)</w:t>
      </w:r>
    </w:p>
    <w:p w:rsidR="008645D9" w:rsidRDefault="00DE3771" w:rsidP="0024218E">
      <w:pPr>
        <w:pStyle w:val="ListParagraph"/>
        <w:numPr>
          <w:ilvl w:val="0"/>
          <w:numId w:val="9"/>
        </w:numPr>
        <w:rPr>
          <w:sz w:val="20"/>
        </w:rPr>
      </w:pPr>
      <w:r>
        <w:rPr>
          <w:sz w:val="20"/>
        </w:rPr>
        <w:t>Small cycle</w:t>
      </w:r>
      <w:r w:rsidR="00B82EA5" w:rsidRPr="00B82EA5">
        <w:rPr>
          <w:sz w:val="20"/>
        </w:rPr>
        <w:t xml:space="preserve"> within the network</w:t>
      </w:r>
    </w:p>
    <w:p w:rsidR="00DE3771" w:rsidRDefault="00DE3771" w:rsidP="0024218E">
      <w:pPr>
        <w:pStyle w:val="ListParagraph"/>
        <w:numPr>
          <w:ilvl w:val="0"/>
          <w:numId w:val="9"/>
        </w:numPr>
        <w:rPr>
          <w:sz w:val="20"/>
        </w:rPr>
      </w:pPr>
      <w:r>
        <w:rPr>
          <w:sz w:val="20"/>
        </w:rPr>
        <w:t>Calendar driven capacity changes (See ‘Shock Room’)</w:t>
      </w:r>
    </w:p>
    <w:p w:rsidR="00DE3771" w:rsidRDefault="00DE3771" w:rsidP="00791210">
      <w:pPr>
        <w:pStyle w:val="ListParagraph"/>
        <w:numPr>
          <w:ilvl w:val="0"/>
          <w:numId w:val="9"/>
        </w:numPr>
        <w:rPr>
          <w:sz w:val="20"/>
        </w:rPr>
      </w:pPr>
      <w:r w:rsidRPr="00DE3771">
        <w:rPr>
          <w:sz w:val="20"/>
        </w:rPr>
        <w:t xml:space="preserve">Multiple external arrival points, each with a unique arrival </w:t>
      </w:r>
      <w:r>
        <w:rPr>
          <w:sz w:val="20"/>
        </w:rPr>
        <w:t>calendar with a mix of rates</w:t>
      </w:r>
    </w:p>
    <w:p w:rsidR="00B73EB7" w:rsidRPr="00791210" w:rsidRDefault="00B73EB7" w:rsidP="001D4F51">
      <w:pPr>
        <w:pStyle w:val="ListParagraph"/>
        <w:rPr>
          <w:sz w:val="20"/>
        </w:rPr>
      </w:pPr>
    </w:p>
    <w:p w:rsidR="00290275" w:rsidRPr="0024218E" w:rsidRDefault="00B10C5F" w:rsidP="00290275">
      <w:pPr>
        <w:pStyle w:val="Heading2"/>
        <w:rPr>
          <w:u w:val="single"/>
        </w:rPr>
      </w:pPr>
      <w:r w:rsidRPr="0024218E">
        <w:rPr>
          <w:u w:val="single"/>
        </w:rPr>
        <w:t>Summary of services along patient pathway</w:t>
      </w:r>
    </w:p>
    <w:p w:rsidR="004D36DF" w:rsidRDefault="008645D9" w:rsidP="008645D9">
      <w:pPr>
        <w:rPr>
          <w:sz w:val="20"/>
        </w:rPr>
      </w:pPr>
      <w:r>
        <w:rPr>
          <w:sz w:val="20"/>
        </w:rPr>
        <w:t xml:space="preserve">Patients arrive at the emergency department by different routes and with different severities of illness/injury, and </w:t>
      </w:r>
      <w:r w:rsidR="004D36DF">
        <w:rPr>
          <w:sz w:val="20"/>
        </w:rPr>
        <w:t>are categori</w:t>
      </w:r>
      <w:r>
        <w:rPr>
          <w:sz w:val="20"/>
        </w:rPr>
        <w:t>s</w:t>
      </w:r>
      <w:r w:rsidR="004D36DF">
        <w:rPr>
          <w:sz w:val="20"/>
        </w:rPr>
        <w:t>ed</w:t>
      </w:r>
      <w:r>
        <w:rPr>
          <w:sz w:val="20"/>
        </w:rPr>
        <w:t xml:space="preserve"> as “red”, “yellow”, “green”, or “white”. These follow largely discrete pathways through the department and are modelled as having separate arrival rates</w:t>
      </w:r>
      <w:r w:rsidR="004D36DF">
        <w:rPr>
          <w:sz w:val="20"/>
        </w:rPr>
        <w:t xml:space="preserve"> (in the case of “yellow”, two separate arrival rates depending on the initial service point they are triaged to).</w:t>
      </w:r>
    </w:p>
    <w:p w:rsidR="004D36DF" w:rsidRDefault="004D36DF" w:rsidP="008645D9">
      <w:pPr>
        <w:rPr>
          <w:sz w:val="20"/>
        </w:rPr>
      </w:pPr>
    </w:p>
    <w:p w:rsidR="004D36DF" w:rsidRPr="008645D9" w:rsidRDefault="004D36DF" w:rsidP="008645D9">
      <w:pPr>
        <w:rPr>
          <w:sz w:val="20"/>
        </w:rPr>
      </w:pPr>
      <w:r>
        <w:rPr>
          <w:sz w:val="20"/>
        </w:rPr>
        <w:lastRenderedPageBreak/>
        <w:t>Service points specific to particular arrival rates are named accordingly below. Note also that one of the elements to be modified in the “what-if” analysis could be to vary the number of service points associate with a particular class of arrivals (e.g. adding a second “yellow” emergency room, and splitting the associated “yellow” arrival</w:t>
      </w:r>
      <w:r w:rsidR="00835C37">
        <w:rPr>
          <w:sz w:val="20"/>
        </w:rPr>
        <w:t xml:space="preserve"> rates between them), and/or to modify the service rates associated with those units (to represent the effect of sharing fixed human resources between them).</w:t>
      </w:r>
    </w:p>
    <w:p w:rsidR="007F2ABB" w:rsidRDefault="007F2ABB" w:rsidP="00B10C5F">
      <w:pPr>
        <w:rPr>
          <w:i/>
          <w:sz w:val="20"/>
          <w:u w:val="single"/>
        </w:rPr>
      </w:pPr>
    </w:p>
    <w:tbl>
      <w:tblPr>
        <w:tblStyle w:val="GridTable4-Accent1"/>
        <w:tblW w:w="0" w:type="auto"/>
        <w:tblLook w:val="04A0" w:firstRow="1" w:lastRow="0" w:firstColumn="1" w:lastColumn="0" w:noHBand="0" w:noVBand="1"/>
      </w:tblPr>
      <w:tblGrid>
        <w:gridCol w:w="2405"/>
        <w:gridCol w:w="3260"/>
        <w:gridCol w:w="4791"/>
      </w:tblGrid>
      <w:tr w:rsidR="007F2ABB" w:rsidTr="00E33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2ABB" w:rsidRPr="00E33900" w:rsidRDefault="007F2ABB" w:rsidP="007F2ABB">
            <w:r w:rsidRPr="00E33900">
              <w:t>Service Point</w:t>
            </w:r>
          </w:p>
        </w:tc>
        <w:tc>
          <w:tcPr>
            <w:tcW w:w="3260" w:type="dxa"/>
          </w:tcPr>
          <w:p w:rsidR="007F2ABB" w:rsidRPr="00E33900" w:rsidRDefault="00082F7C" w:rsidP="00B10C5F">
            <w:pPr>
              <w:cnfStyle w:val="100000000000" w:firstRow="1" w:lastRow="0" w:firstColumn="0" w:lastColumn="0" w:oddVBand="0" w:evenVBand="0" w:oddHBand="0" w:evenHBand="0" w:firstRowFirstColumn="0" w:firstRowLastColumn="0" w:lastRowFirstColumn="0" w:lastRowLastColumn="0"/>
            </w:pPr>
            <w:r w:rsidRPr="00E33900">
              <w:t>Service Point Type</w:t>
            </w:r>
          </w:p>
        </w:tc>
        <w:tc>
          <w:tcPr>
            <w:tcW w:w="4791" w:type="dxa"/>
          </w:tcPr>
          <w:p w:rsidR="007F2ABB" w:rsidRPr="00E33900" w:rsidRDefault="007F2ABB" w:rsidP="00B10C5F">
            <w:pPr>
              <w:cnfStyle w:val="100000000000" w:firstRow="1" w:lastRow="0" w:firstColumn="0" w:lastColumn="0" w:oddVBand="0" w:evenVBand="0" w:oddHBand="0" w:evenHBand="0" w:firstRowFirstColumn="0" w:firstRowLastColumn="0" w:lastRowFirstColumn="0" w:lastRowLastColumn="0"/>
            </w:pPr>
            <w:r w:rsidRPr="00E33900">
              <w:t>Description</w:t>
            </w:r>
          </w:p>
        </w:tc>
      </w:tr>
      <w:tr w:rsidR="007F2ABB" w:rsidTr="00E3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F2ABB" w:rsidRPr="00C541C8" w:rsidRDefault="001B55D0" w:rsidP="00B10C5F">
            <w:pPr>
              <w:rPr>
                <w:sz w:val="22"/>
              </w:rPr>
            </w:pPr>
            <w:r>
              <w:rPr>
                <w:sz w:val="22"/>
              </w:rPr>
              <w:t>Shock room (“red”)</w:t>
            </w:r>
          </w:p>
        </w:tc>
        <w:tc>
          <w:tcPr>
            <w:tcW w:w="3260" w:type="dxa"/>
          </w:tcPr>
          <w:p w:rsidR="007F2ABB" w:rsidRPr="00C541C8" w:rsidRDefault="00103858" w:rsidP="00B10C5F">
            <w:pPr>
              <w:cnfStyle w:val="000000100000" w:firstRow="0" w:lastRow="0" w:firstColumn="0" w:lastColumn="0" w:oddVBand="0" w:evenVBand="0" w:oddHBand="1" w:evenHBand="0" w:firstRowFirstColumn="0" w:firstRowLastColumn="0" w:lastRowFirstColumn="0" w:lastRowLastColumn="0"/>
              <w:rPr>
                <w:sz w:val="22"/>
              </w:rPr>
            </w:pPr>
            <w:r>
              <w:rPr>
                <w:sz w:val="22"/>
              </w:rPr>
              <w:t>A&amp;E Unit</w:t>
            </w:r>
          </w:p>
        </w:tc>
        <w:tc>
          <w:tcPr>
            <w:tcW w:w="4791" w:type="dxa"/>
          </w:tcPr>
          <w:p w:rsidR="00522B39" w:rsidRDefault="007C205A" w:rsidP="00522B3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Capacity changes on a </w:t>
            </w:r>
            <w:proofErr w:type="gramStart"/>
            <w:r>
              <w:rPr>
                <w:sz w:val="22"/>
              </w:rPr>
              <w:t>24 hour</w:t>
            </w:r>
            <w:proofErr w:type="gramEnd"/>
            <w:r>
              <w:rPr>
                <w:sz w:val="22"/>
              </w:rPr>
              <w:t xml:space="preserve"> cycle </w:t>
            </w:r>
          </w:p>
          <w:p w:rsidR="00522B39" w:rsidRDefault="00522B39" w:rsidP="00522B39">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sz w:val="22"/>
              </w:rPr>
            </w:pPr>
            <w:r>
              <w:rPr>
                <w:sz w:val="22"/>
              </w:rPr>
              <w:t>8am to 8pm – 6</w:t>
            </w:r>
          </w:p>
          <w:p w:rsidR="00522B39" w:rsidRDefault="00522B39" w:rsidP="00522B39">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8pm to 8am </w:t>
            </w:r>
            <w:r w:rsidR="00F12426">
              <w:rPr>
                <w:sz w:val="22"/>
              </w:rPr>
              <w:t>–</w:t>
            </w:r>
            <w:r>
              <w:rPr>
                <w:sz w:val="22"/>
              </w:rPr>
              <w:t xml:space="preserve"> 3</w:t>
            </w:r>
          </w:p>
          <w:p w:rsidR="00F12426" w:rsidRPr="00522B39" w:rsidRDefault="001D4F51" w:rsidP="00F1242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time is m</w:t>
            </w:r>
            <w:r w:rsidR="00F12426">
              <w:rPr>
                <w:sz w:val="22"/>
              </w:rPr>
              <w:t>odelled as a A&amp;E with mean 0.8</w:t>
            </w:r>
          </w:p>
        </w:tc>
      </w:tr>
      <w:tr w:rsidR="007F2ABB" w:rsidTr="00E33900">
        <w:tc>
          <w:tcPr>
            <w:cnfStyle w:val="001000000000" w:firstRow="0" w:lastRow="0" w:firstColumn="1" w:lastColumn="0" w:oddVBand="0" w:evenVBand="0" w:oddHBand="0" w:evenHBand="0" w:firstRowFirstColumn="0" w:firstRowLastColumn="0" w:lastRowFirstColumn="0" w:lastRowLastColumn="0"/>
            <w:tcW w:w="2405" w:type="dxa"/>
          </w:tcPr>
          <w:p w:rsidR="007F2ABB" w:rsidRPr="00C541C8" w:rsidRDefault="001B55D0" w:rsidP="007F2ABB">
            <w:pPr>
              <w:rPr>
                <w:sz w:val="22"/>
              </w:rPr>
            </w:pPr>
            <w:r>
              <w:rPr>
                <w:sz w:val="22"/>
              </w:rPr>
              <w:t>Intensive treatment (“red”)</w:t>
            </w:r>
          </w:p>
        </w:tc>
        <w:tc>
          <w:tcPr>
            <w:tcW w:w="3260" w:type="dxa"/>
          </w:tcPr>
          <w:p w:rsidR="007F2ABB" w:rsidRPr="00C541C8" w:rsidRDefault="00103858" w:rsidP="007F2ABB">
            <w:pPr>
              <w:cnfStyle w:val="000000000000" w:firstRow="0" w:lastRow="0" w:firstColumn="0" w:lastColumn="0" w:oddVBand="0" w:evenVBand="0" w:oddHBand="0" w:evenHBand="0" w:firstRowFirstColumn="0" w:firstRowLastColumn="0" w:lastRowFirstColumn="0" w:lastRowLastColumn="0"/>
              <w:rPr>
                <w:sz w:val="22"/>
              </w:rPr>
            </w:pPr>
            <w:r>
              <w:rPr>
                <w:sz w:val="22"/>
              </w:rPr>
              <w:t>A&amp;E Unit</w:t>
            </w:r>
          </w:p>
        </w:tc>
        <w:tc>
          <w:tcPr>
            <w:tcW w:w="4791" w:type="dxa"/>
          </w:tcPr>
          <w:p w:rsidR="00082F7C" w:rsidRDefault="00403191" w:rsidP="00082F7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Capacity – </w:t>
            </w:r>
            <w:r w:rsidR="00F12426">
              <w:rPr>
                <w:sz w:val="22"/>
              </w:rPr>
              <w:t>4</w:t>
            </w:r>
          </w:p>
          <w:p w:rsidR="00403191" w:rsidRPr="00C541C8" w:rsidRDefault="001D4F51" w:rsidP="00082F7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time is m</w:t>
            </w:r>
            <w:r w:rsidR="00403191">
              <w:rPr>
                <w:sz w:val="22"/>
              </w:rPr>
              <w:t>odelled as a</w:t>
            </w:r>
            <w:r w:rsidR="00F12426">
              <w:rPr>
                <w:sz w:val="22"/>
              </w:rPr>
              <w:t>n A&amp;E</w:t>
            </w:r>
            <w:r w:rsidR="00403191">
              <w:rPr>
                <w:sz w:val="22"/>
              </w:rPr>
              <w:t xml:space="preserve"> with mean = </w:t>
            </w:r>
            <w:r w:rsidR="00F12426">
              <w:rPr>
                <w:sz w:val="22"/>
              </w:rPr>
              <w:t>0.8</w:t>
            </w:r>
            <w:r w:rsidR="00403191">
              <w:rPr>
                <w:sz w:val="22"/>
              </w:rPr>
              <w:t xml:space="preserve"> </w:t>
            </w:r>
          </w:p>
        </w:tc>
      </w:tr>
      <w:tr w:rsidR="001B55D0" w:rsidTr="00E3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B55D0" w:rsidRDefault="001B55D0" w:rsidP="007F2ABB">
            <w:pPr>
              <w:rPr>
                <w:sz w:val="22"/>
              </w:rPr>
            </w:pPr>
            <w:r>
              <w:rPr>
                <w:sz w:val="22"/>
              </w:rPr>
              <w:t>Observation room (“yellow”)</w:t>
            </w:r>
          </w:p>
        </w:tc>
        <w:tc>
          <w:tcPr>
            <w:tcW w:w="3260" w:type="dxa"/>
          </w:tcPr>
          <w:p w:rsidR="001B55D0" w:rsidRPr="00C541C8" w:rsidRDefault="00103858" w:rsidP="007F2ABB">
            <w:pPr>
              <w:cnfStyle w:val="000000100000" w:firstRow="0" w:lastRow="0" w:firstColumn="0" w:lastColumn="0" w:oddVBand="0" w:evenVBand="0" w:oddHBand="1" w:evenHBand="0" w:firstRowFirstColumn="0" w:firstRowLastColumn="0" w:lastRowFirstColumn="0" w:lastRowLastColumn="0"/>
              <w:rPr>
                <w:sz w:val="22"/>
              </w:rPr>
            </w:pPr>
            <w:r>
              <w:rPr>
                <w:sz w:val="22"/>
              </w:rPr>
              <w:t>A&amp;E Unit</w:t>
            </w:r>
          </w:p>
        </w:tc>
        <w:tc>
          <w:tcPr>
            <w:tcW w:w="4791" w:type="dxa"/>
          </w:tcPr>
          <w:p w:rsidR="00F12426" w:rsidRDefault="00F12426" w:rsidP="00F1242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Capacity – 8</w:t>
            </w:r>
          </w:p>
          <w:p w:rsidR="001B55D0" w:rsidRPr="00C541C8" w:rsidRDefault="001D4F51" w:rsidP="00F1242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time is m</w:t>
            </w:r>
            <w:r w:rsidR="00F12426">
              <w:rPr>
                <w:sz w:val="22"/>
              </w:rPr>
              <w:t>odelled as an General Medicine – All with mean = 1</w:t>
            </w:r>
          </w:p>
        </w:tc>
      </w:tr>
      <w:tr w:rsidR="001B55D0" w:rsidTr="00E33900">
        <w:tc>
          <w:tcPr>
            <w:cnfStyle w:val="001000000000" w:firstRow="0" w:lastRow="0" w:firstColumn="1" w:lastColumn="0" w:oddVBand="0" w:evenVBand="0" w:oddHBand="0" w:evenHBand="0" w:firstRowFirstColumn="0" w:firstRowLastColumn="0" w:lastRowFirstColumn="0" w:lastRowLastColumn="0"/>
            <w:tcW w:w="2405" w:type="dxa"/>
          </w:tcPr>
          <w:p w:rsidR="001B55D0" w:rsidRDefault="001B55D0" w:rsidP="007F2ABB">
            <w:pPr>
              <w:rPr>
                <w:sz w:val="22"/>
              </w:rPr>
            </w:pPr>
            <w:r>
              <w:rPr>
                <w:sz w:val="22"/>
              </w:rPr>
              <w:t>Emergency treatment (“yellow”)</w:t>
            </w:r>
          </w:p>
        </w:tc>
        <w:tc>
          <w:tcPr>
            <w:tcW w:w="3260" w:type="dxa"/>
          </w:tcPr>
          <w:p w:rsidR="001B55D0" w:rsidRPr="00C541C8" w:rsidRDefault="00103858" w:rsidP="007F2ABB">
            <w:pPr>
              <w:cnfStyle w:val="000000000000" w:firstRow="0" w:lastRow="0" w:firstColumn="0" w:lastColumn="0" w:oddVBand="0" w:evenVBand="0" w:oddHBand="0" w:evenHBand="0" w:firstRowFirstColumn="0" w:firstRowLastColumn="0" w:lastRowFirstColumn="0" w:lastRowLastColumn="0"/>
              <w:rPr>
                <w:sz w:val="22"/>
              </w:rPr>
            </w:pPr>
            <w:r>
              <w:rPr>
                <w:sz w:val="22"/>
              </w:rPr>
              <w:t>A&amp;E Unit</w:t>
            </w:r>
          </w:p>
        </w:tc>
        <w:tc>
          <w:tcPr>
            <w:tcW w:w="4791" w:type="dxa"/>
          </w:tcPr>
          <w:p w:rsidR="00F12426" w:rsidRDefault="00F12426" w:rsidP="00F1242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Capacity – 5</w:t>
            </w:r>
          </w:p>
          <w:p w:rsidR="001B55D0" w:rsidRPr="00C541C8" w:rsidRDefault="001D4F51" w:rsidP="00F1242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time is m</w:t>
            </w:r>
            <w:r w:rsidR="00F12426">
              <w:rPr>
                <w:sz w:val="22"/>
              </w:rPr>
              <w:t>odelled as an A&amp;E with mean = 1</w:t>
            </w:r>
          </w:p>
        </w:tc>
      </w:tr>
      <w:tr w:rsidR="001B55D0" w:rsidTr="00E3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B55D0" w:rsidRDefault="001B55D0" w:rsidP="007F2ABB">
            <w:pPr>
              <w:rPr>
                <w:sz w:val="22"/>
              </w:rPr>
            </w:pPr>
            <w:r>
              <w:rPr>
                <w:sz w:val="22"/>
              </w:rPr>
              <w:t>Emergency treatment (“green”)</w:t>
            </w:r>
          </w:p>
        </w:tc>
        <w:tc>
          <w:tcPr>
            <w:tcW w:w="3260" w:type="dxa"/>
          </w:tcPr>
          <w:p w:rsidR="001B55D0" w:rsidRPr="00C541C8" w:rsidRDefault="00103858" w:rsidP="007F2ABB">
            <w:pPr>
              <w:cnfStyle w:val="000000100000" w:firstRow="0" w:lastRow="0" w:firstColumn="0" w:lastColumn="0" w:oddVBand="0" w:evenVBand="0" w:oddHBand="1" w:evenHBand="0" w:firstRowFirstColumn="0" w:firstRowLastColumn="0" w:lastRowFirstColumn="0" w:lastRowLastColumn="0"/>
              <w:rPr>
                <w:sz w:val="22"/>
              </w:rPr>
            </w:pPr>
            <w:r>
              <w:rPr>
                <w:sz w:val="22"/>
              </w:rPr>
              <w:t>A&amp;E Unit</w:t>
            </w:r>
          </w:p>
        </w:tc>
        <w:tc>
          <w:tcPr>
            <w:tcW w:w="4791" w:type="dxa"/>
          </w:tcPr>
          <w:p w:rsidR="00F12426" w:rsidRDefault="00F12426" w:rsidP="00F1242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Capacity – 10</w:t>
            </w:r>
          </w:p>
          <w:p w:rsidR="001B55D0" w:rsidRPr="00C541C8" w:rsidRDefault="001D4F51" w:rsidP="00F1242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Service  time is m</w:t>
            </w:r>
            <w:r w:rsidR="00F12426">
              <w:rPr>
                <w:sz w:val="22"/>
              </w:rPr>
              <w:t>odelled as an A&amp;E with mean = 1</w:t>
            </w:r>
          </w:p>
        </w:tc>
      </w:tr>
      <w:tr w:rsidR="001B55D0" w:rsidTr="00E33900">
        <w:tc>
          <w:tcPr>
            <w:cnfStyle w:val="001000000000" w:firstRow="0" w:lastRow="0" w:firstColumn="1" w:lastColumn="0" w:oddVBand="0" w:evenVBand="0" w:oddHBand="0" w:evenHBand="0" w:firstRowFirstColumn="0" w:firstRowLastColumn="0" w:lastRowFirstColumn="0" w:lastRowLastColumn="0"/>
            <w:tcW w:w="2405" w:type="dxa"/>
          </w:tcPr>
          <w:p w:rsidR="001B55D0" w:rsidRDefault="001B55D0" w:rsidP="007F2ABB">
            <w:pPr>
              <w:rPr>
                <w:sz w:val="22"/>
              </w:rPr>
            </w:pPr>
            <w:r>
              <w:rPr>
                <w:sz w:val="22"/>
              </w:rPr>
              <w:t>Examination room</w:t>
            </w:r>
          </w:p>
        </w:tc>
        <w:tc>
          <w:tcPr>
            <w:tcW w:w="3260" w:type="dxa"/>
          </w:tcPr>
          <w:p w:rsidR="001B55D0" w:rsidRPr="00C541C8" w:rsidRDefault="00103858" w:rsidP="007F2ABB">
            <w:pPr>
              <w:cnfStyle w:val="000000000000" w:firstRow="0" w:lastRow="0" w:firstColumn="0" w:lastColumn="0" w:oddVBand="0" w:evenVBand="0" w:oddHBand="0" w:evenHBand="0" w:firstRowFirstColumn="0" w:firstRowLastColumn="0" w:lastRowFirstColumn="0" w:lastRowLastColumn="0"/>
              <w:rPr>
                <w:sz w:val="22"/>
              </w:rPr>
            </w:pPr>
            <w:r>
              <w:rPr>
                <w:sz w:val="22"/>
              </w:rPr>
              <w:t>A&amp;E Unit</w:t>
            </w:r>
          </w:p>
        </w:tc>
        <w:tc>
          <w:tcPr>
            <w:tcW w:w="4791" w:type="dxa"/>
          </w:tcPr>
          <w:p w:rsidR="001B55D0" w:rsidRDefault="00F12426" w:rsidP="00082F7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Capacity – 5 </w:t>
            </w:r>
          </w:p>
          <w:p w:rsidR="00F12426" w:rsidRPr="00C541C8" w:rsidRDefault="001D4F51" w:rsidP="00082F7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2"/>
              </w:rPr>
            </w:pPr>
            <w:r>
              <w:rPr>
                <w:sz w:val="22"/>
              </w:rPr>
              <w:t>Service time is m</w:t>
            </w:r>
            <w:r w:rsidR="00F12426">
              <w:rPr>
                <w:sz w:val="22"/>
              </w:rPr>
              <w:t>odelled as General Medicine with mean = 0.2</w:t>
            </w:r>
          </w:p>
        </w:tc>
      </w:tr>
    </w:tbl>
    <w:p w:rsidR="00E33900" w:rsidRPr="0024218E" w:rsidRDefault="00E33900" w:rsidP="00E33900">
      <w:pPr>
        <w:pStyle w:val="Heading2"/>
        <w:rPr>
          <w:u w:val="single"/>
        </w:rPr>
      </w:pPr>
      <w:r w:rsidRPr="0024218E">
        <w:rPr>
          <w:u w:val="single"/>
        </w:rPr>
        <w:t>Summary of exits from patient pathway</w:t>
      </w:r>
    </w:p>
    <w:p w:rsidR="00E33900" w:rsidRDefault="00E33900" w:rsidP="00E33900">
      <w:pPr>
        <w:rPr>
          <w:i/>
          <w:sz w:val="20"/>
          <w:u w:val="single"/>
        </w:rPr>
      </w:pPr>
    </w:p>
    <w:tbl>
      <w:tblPr>
        <w:tblStyle w:val="GridTable4-Accent1"/>
        <w:tblW w:w="0" w:type="auto"/>
        <w:tblLook w:val="04A0" w:firstRow="1" w:lastRow="0" w:firstColumn="1" w:lastColumn="0" w:noHBand="0" w:noVBand="1"/>
      </w:tblPr>
      <w:tblGrid>
        <w:gridCol w:w="2122"/>
        <w:gridCol w:w="3543"/>
        <w:gridCol w:w="4791"/>
      </w:tblGrid>
      <w:tr w:rsidR="00E33900"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33900" w:rsidRPr="00E33900" w:rsidRDefault="00E33900" w:rsidP="00611802">
            <w:r w:rsidRPr="00E33900">
              <w:t>Exit</w:t>
            </w:r>
          </w:p>
        </w:tc>
        <w:tc>
          <w:tcPr>
            <w:tcW w:w="3543" w:type="dxa"/>
          </w:tcPr>
          <w:p w:rsidR="00E33900" w:rsidRPr="00E33900" w:rsidRDefault="00E33900" w:rsidP="00611802">
            <w:pPr>
              <w:cnfStyle w:val="100000000000" w:firstRow="1" w:lastRow="0" w:firstColumn="0" w:lastColumn="0" w:oddVBand="0" w:evenVBand="0" w:oddHBand="0" w:evenHBand="0" w:firstRowFirstColumn="0" w:firstRowLastColumn="0" w:lastRowFirstColumn="0" w:lastRowLastColumn="0"/>
            </w:pPr>
            <w:r w:rsidRPr="00E33900">
              <w:t>Possible Discharge Delay</w:t>
            </w:r>
          </w:p>
        </w:tc>
        <w:tc>
          <w:tcPr>
            <w:tcW w:w="4791" w:type="dxa"/>
          </w:tcPr>
          <w:p w:rsidR="00E33900" w:rsidRPr="00E33900" w:rsidRDefault="00E33900" w:rsidP="00611802">
            <w:pPr>
              <w:cnfStyle w:val="100000000000" w:firstRow="1" w:lastRow="0" w:firstColumn="0" w:lastColumn="0" w:oddVBand="0" w:evenVBand="0" w:oddHBand="0" w:evenHBand="0" w:firstRowFirstColumn="0" w:firstRowLastColumn="0" w:lastRowFirstColumn="0" w:lastRowLastColumn="0"/>
            </w:pPr>
            <w:r w:rsidRPr="00E33900">
              <w:t>Description</w:t>
            </w:r>
          </w:p>
        </w:tc>
      </w:tr>
      <w:tr w:rsidR="00E33900"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33900" w:rsidRPr="00C541C8" w:rsidRDefault="007C205A" w:rsidP="00611802">
            <w:pPr>
              <w:rPr>
                <w:sz w:val="22"/>
              </w:rPr>
            </w:pPr>
            <w:r>
              <w:rPr>
                <w:sz w:val="22"/>
              </w:rPr>
              <w:t>Ward admission</w:t>
            </w:r>
          </w:p>
        </w:tc>
        <w:tc>
          <w:tcPr>
            <w:tcW w:w="3543" w:type="dxa"/>
          </w:tcPr>
          <w:p w:rsidR="00E33900" w:rsidRPr="00C541C8" w:rsidRDefault="00263ACB" w:rsidP="00611802">
            <w:pPr>
              <w:cnfStyle w:val="000000100000" w:firstRow="0" w:lastRow="0" w:firstColumn="0" w:lastColumn="0" w:oddVBand="0" w:evenVBand="0" w:oddHBand="1" w:evenHBand="0" w:firstRowFirstColumn="0" w:firstRowLastColumn="0" w:lastRowFirstColumn="0" w:lastRowLastColumn="0"/>
              <w:rPr>
                <w:sz w:val="22"/>
              </w:rPr>
            </w:pPr>
            <w:r>
              <w:rPr>
                <w:sz w:val="22"/>
              </w:rPr>
              <w:t>Delay</w:t>
            </w:r>
            <w:r w:rsidR="00E92E6E">
              <w:rPr>
                <w:sz w:val="22"/>
              </w:rPr>
              <w:t xml:space="preserve"> – uniform(0.5,0.5)</w:t>
            </w:r>
          </w:p>
        </w:tc>
        <w:tc>
          <w:tcPr>
            <w:tcW w:w="4791" w:type="dxa"/>
          </w:tcPr>
          <w:p w:rsidR="00E33900" w:rsidRPr="00C541C8" w:rsidRDefault="00263ACB" w:rsidP="00E33900">
            <w:pPr>
              <w:cnfStyle w:val="000000100000" w:firstRow="0" w:lastRow="0" w:firstColumn="0" w:lastColumn="0" w:oddVBand="0" w:evenVBand="0" w:oddHBand="1" w:evenHBand="0" w:firstRowFirstColumn="0" w:firstRowLastColumn="0" w:lastRowFirstColumn="0" w:lastRowLastColumn="0"/>
              <w:rPr>
                <w:sz w:val="22"/>
              </w:rPr>
            </w:pPr>
            <w:r>
              <w:rPr>
                <w:sz w:val="22"/>
              </w:rPr>
              <w:t>Admission to a hospital ward, subject to delays due to downstream capacity (not directly measured – to be modelled by a prescribed delay distribution).</w:t>
            </w:r>
          </w:p>
        </w:tc>
      </w:tr>
      <w:tr w:rsidR="00E33900" w:rsidTr="00332C16">
        <w:trPr>
          <w:trHeight w:val="1095"/>
        </w:trPr>
        <w:tc>
          <w:tcPr>
            <w:cnfStyle w:val="001000000000" w:firstRow="0" w:lastRow="0" w:firstColumn="1" w:lastColumn="0" w:oddVBand="0" w:evenVBand="0" w:oddHBand="0" w:evenHBand="0" w:firstRowFirstColumn="0" w:firstRowLastColumn="0" w:lastRowFirstColumn="0" w:lastRowLastColumn="0"/>
            <w:tcW w:w="2122" w:type="dxa"/>
          </w:tcPr>
          <w:p w:rsidR="00E33900" w:rsidRPr="00C541C8" w:rsidRDefault="007C205A" w:rsidP="00611802">
            <w:pPr>
              <w:rPr>
                <w:sz w:val="22"/>
              </w:rPr>
            </w:pPr>
            <w:r>
              <w:rPr>
                <w:sz w:val="22"/>
              </w:rPr>
              <w:t>Discharge</w:t>
            </w:r>
          </w:p>
        </w:tc>
        <w:tc>
          <w:tcPr>
            <w:tcW w:w="3543" w:type="dxa"/>
          </w:tcPr>
          <w:p w:rsidR="00E33900" w:rsidRPr="00C541C8" w:rsidRDefault="00263ACB" w:rsidP="00611802">
            <w:pPr>
              <w:cnfStyle w:val="000000000000" w:firstRow="0" w:lastRow="0" w:firstColumn="0" w:lastColumn="0" w:oddVBand="0" w:evenVBand="0" w:oddHBand="0" w:evenHBand="0" w:firstRowFirstColumn="0" w:firstRowLastColumn="0" w:lastRowFirstColumn="0" w:lastRowLastColumn="0"/>
              <w:rPr>
                <w:sz w:val="22"/>
              </w:rPr>
            </w:pPr>
            <w:r>
              <w:rPr>
                <w:sz w:val="22"/>
              </w:rPr>
              <w:t>N/A</w:t>
            </w:r>
          </w:p>
        </w:tc>
        <w:tc>
          <w:tcPr>
            <w:tcW w:w="4791" w:type="dxa"/>
          </w:tcPr>
          <w:p w:rsidR="00E33900" w:rsidRPr="00C541C8" w:rsidRDefault="00263ACB" w:rsidP="00E33900">
            <w:pPr>
              <w:cnfStyle w:val="000000000000" w:firstRow="0" w:lastRow="0" w:firstColumn="0" w:lastColumn="0" w:oddVBand="0" w:evenVBand="0" w:oddHBand="0" w:evenHBand="0" w:firstRowFirstColumn="0" w:firstRowLastColumn="0" w:lastRowFirstColumn="0" w:lastRowLastColumn="0"/>
              <w:rPr>
                <w:sz w:val="22"/>
              </w:rPr>
            </w:pPr>
            <w:r>
              <w:rPr>
                <w:sz w:val="22"/>
              </w:rPr>
              <w:t>Exit from the emergency department by discharge, death or other means.</w:t>
            </w:r>
          </w:p>
        </w:tc>
      </w:tr>
    </w:tbl>
    <w:p w:rsidR="00B10C5F" w:rsidRPr="0024218E" w:rsidRDefault="00082F7C" w:rsidP="00082F7C">
      <w:pPr>
        <w:pStyle w:val="Heading2"/>
        <w:rPr>
          <w:u w:val="single"/>
        </w:rPr>
      </w:pPr>
      <w:r w:rsidRPr="0024218E">
        <w:rPr>
          <w:u w:val="single"/>
        </w:rPr>
        <w:t>External arrival rate</w:t>
      </w:r>
      <w:r w:rsidR="006547EA">
        <w:rPr>
          <w:u w:val="single"/>
        </w:rPr>
        <w:t>s</w:t>
      </w:r>
      <w:r w:rsidRPr="0024218E">
        <w:rPr>
          <w:u w:val="single"/>
        </w:rPr>
        <w:t xml:space="preserve"> to the patient pathway</w:t>
      </w:r>
      <w:r w:rsidR="003F13CB" w:rsidRPr="0024218E">
        <w:rPr>
          <w:u w:val="single"/>
        </w:rPr>
        <w:t xml:space="preserve"> and queue capacity</w:t>
      </w:r>
    </w:p>
    <w:p w:rsidR="00082F7C" w:rsidRPr="00082F7C" w:rsidRDefault="00082F7C" w:rsidP="00082F7C">
      <w:pPr>
        <w:rPr>
          <w:b/>
          <w:i/>
          <w:sz w:val="20"/>
        </w:rPr>
      </w:pPr>
    </w:p>
    <w:tbl>
      <w:tblPr>
        <w:tblStyle w:val="GridTable4-Accent1"/>
        <w:tblW w:w="0" w:type="auto"/>
        <w:tblLook w:val="04A0" w:firstRow="1" w:lastRow="0" w:firstColumn="1" w:lastColumn="0" w:noHBand="0" w:noVBand="1"/>
      </w:tblPr>
      <w:tblGrid>
        <w:gridCol w:w="2263"/>
        <w:gridCol w:w="3119"/>
        <w:gridCol w:w="5074"/>
      </w:tblGrid>
      <w:tr w:rsidR="00082F7C" w:rsidTr="0021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82F7C" w:rsidRPr="00E33900" w:rsidRDefault="00082F7C" w:rsidP="00082F7C">
            <w:r w:rsidRPr="00E33900">
              <w:t>Service Point</w:t>
            </w:r>
          </w:p>
        </w:tc>
        <w:tc>
          <w:tcPr>
            <w:tcW w:w="3119" w:type="dxa"/>
          </w:tcPr>
          <w:p w:rsidR="00082F7C" w:rsidRPr="00E33900" w:rsidRDefault="006547EA" w:rsidP="006547EA">
            <w:pPr>
              <w:cnfStyle w:val="100000000000" w:firstRow="1" w:lastRow="0" w:firstColumn="0" w:lastColumn="0" w:oddVBand="0" w:evenVBand="0" w:oddHBand="0" w:evenHBand="0" w:firstRowFirstColumn="0" w:firstRowLastColumn="0" w:lastRowFirstColumn="0" w:lastRowLastColumn="0"/>
            </w:pPr>
            <w:r>
              <w:t>Arrival R</w:t>
            </w:r>
            <w:r w:rsidR="00082F7C" w:rsidRPr="00E33900">
              <w:t>ate</w:t>
            </w:r>
            <w:r>
              <w:t xml:space="preserve"> E</w:t>
            </w:r>
            <w:r w:rsidR="003F13CB" w:rsidRPr="00E33900">
              <w:t>stimation</w:t>
            </w:r>
          </w:p>
        </w:tc>
        <w:tc>
          <w:tcPr>
            <w:tcW w:w="5074" w:type="dxa"/>
          </w:tcPr>
          <w:p w:rsidR="00082F7C" w:rsidRPr="00E33900" w:rsidRDefault="006547EA" w:rsidP="00082F7C">
            <w:pPr>
              <w:cnfStyle w:val="100000000000" w:firstRow="1" w:lastRow="0" w:firstColumn="0" w:lastColumn="0" w:oddVBand="0" w:evenVBand="0" w:oddHBand="0" w:evenHBand="0" w:firstRowFirstColumn="0" w:firstRowLastColumn="0" w:lastRowFirstColumn="0" w:lastRowLastColumn="0"/>
            </w:pPr>
            <w:r>
              <w:t>Queue C</w:t>
            </w:r>
            <w:r w:rsidR="00082F7C" w:rsidRPr="00E33900">
              <w:t>apacity</w:t>
            </w:r>
          </w:p>
        </w:tc>
      </w:tr>
      <w:tr w:rsidR="007C205A"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C205A" w:rsidRPr="00C541C8" w:rsidRDefault="007C205A" w:rsidP="007C205A">
            <w:pPr>
              <w:rPr>
                <w:sz w:val="22"/>
              </w:rPr>
            </w:pPr>
            <w:r>
              <w:rPr>
                <w:sz w:val="22"/>
              </w:rPr>
              <w:t>Shock room (“red”)</w:t>
            </w:r>
          </w:p>
        </w:tc>
        <w:tc>
          <w:tcPr>
            <w:tcW w:w="3119" w:type="dxa"/>
          </w:tcPr>
          <w:p w:rsidR="007C205A" w:rsidRDefault="00FC617F" w:rsidP="007C205A">
            <w:pPr>
              <w:cnfStyle w:val="000000100000" w:firstRow="0" w:lastRow="0" w:firstColumn="0" w:lastColumn="0" w:oddVBand="0" w:evenVBand="0" w:oddHBand="1" w:evenHBand="0" w:firstRowFirstColumn="0" w:firstRowLastColumn="0" w:lastRowFirstColumn="0" w:lastRowLastColumn="0"/>
              <w:rPr>
                <w:i/>
                <w:sz w:val="22"/>
              </w:rPr>
            </w:pPr>
            <w:r>
              <w:rPr>
                <w:i/>
                <w:sz w:val="22"/>
              </w:rPr>
              <w:t xml:space="preserve">Arrival rate changes by </w:t>
            </w:r>
            <w:r w:rsidR="003845F9">
              <w:rPr>
                <w:i/>
                <w:sz w:val="22"/>
              </w:rPr>
              <w:t>hour/</w:t>
            </w:r>
            <w:proofErr w:type="gramStart"/>
            <w:r w:rsidR="003845F9">
              <w:rPr>
                <w:i/>
                <w:sz w:val="22"/>
              </w:rPr>
              <w:t>6</w:t>
            </w:r>
            <w:r>
              <w:rPr>
                <w:i/>
                <w:sz w:val="22"/>
              </w:rPr>
              <w:t xml:space="preserve"> hour</w:t>
            </w:r>
            <w:proofErr w:type="gramEnd"/>
            <w:r>
              <w:rPr>
                <w:i/>
                <w:sz w:val="22"/>
              </w:rPr>
              <w:t xml:space="preserve"> slot</w:t>
            </w:r>
          </w:p>
          <w:p w:rsidR="00FC617F" w:rsidRDefault="003845F9" w:rsidP="007C205A">
            <w:pPr>
              <w:cnfStyle w:val="000000100000" w:firstRow="0" w:lastRow="0" w:firstColumn="0" w:lastColumn="0" w:oddVBand="0" w:evenVBand="0" w:oddHBand="1" w:evenHBand="0" w:firstRowFirstColumn="0" w:firstRowLastColumn="0" w:lastRowFirstColumn="0" w:lastRowLastColumn="0"/>
              <w:rPr>
                <w:sz w:val="22"/>
              </w:rPr>
            </w:pPr>
            <w:r>
              <w:rPr>
                <w:sz w:val="22"/>
              </w:rPr>
              <w:t>12am-6am – 0.1725</w:t>
            </w:r>
            <w:r w:rsidR="00197AAA">
              <w:rPr>
                <w:sz w:val="22"/>
              </w:rPr>
              <w:t>/</w:t>
            </w:r>
            <w:r>
              <w:rPr>
                <w:sz w:val="22"/>
              </w:rPr>
              <w:t>hour</w:t>
            </w:r>
            <w:r w:rsidR="00197AAA">
              <w:rPr>
                <w:sz w:val="22"/>
              </w:rPr>
              <w:t xml:space="preserve"> </w:t>
            </w:r>
          </w:p>
          <w:p w:rsidR="00197AAA" w:rsidRDefault="003845F9" w:rsidP="007C205A">
            <w:pPr>
              <w:cnfStyle w:val="000000100000" w:firstRow="0" w:lastRow="0" w:firstColumn="0" w:lastColumn="0" w:oddVBand="0" w:evenVBand="0" w:oddHBand="1" w:evenHBand="0" w:firstRowFirstColumn="0" w:firstRowLastColumn="0" w:lastRowFirstColumn="0" w:lastRowLastColumn="0"/>
              <w:rPr>
                <w:sz w:val="22"/>
              </w:rPr>
            </w:pPr>
            <w:r>
              <w:rPr>
                <w:sz w:val="22"/>
              </w:rPr>
              <w:t>6am-12pm – 0.345/hour</w:t>
            </w:r>
            <w:r w:rsidR="00197AAA">
              <w:rPr>
                <w:sz w:val="22"/>
              </w:rPr>
              <w:t xml:space="preserve"> </w:t>
            </w:r>
          </w:p>
          <w:p w:rsidR="00197AAA" w:rsidRDefault="003845F9" w:rsidP="007C205A">
            <w:pPr>
              <w:cnfStyle w:val="000000100000" w:firstRow="0" w:lastRow="0" w:firstColumn="0" w:lastColumn="0" w:oddVBand="0" w:evenVBand="0" w:oddHBand="1" w:evenHBand="0" w:firstRowFirstColumn="0" w:firstRowLastColumn="0" w:lastRowFirstColumn="0" w:lastRowLastColumn="0"/>
              <w:rPr>
                <w:sz w:val="22"/>
              </w:rPr>
            </w:pPr>
            <w:r>
              <w:rPr>
                <w:sz w:val="22"/>
              </w:rPr>
              <w:t>12pm-6</w:t>
            </w:r>
            <w:proofErr w:type="gramStart"/>
            <w:r>
              <w:rPr>
                <w:sz w:val="22"/>
              </w:rPr>
              <w:t>pm  –</w:t>
            </w:r>
            <w:proofErr w:type="gramEnd"/>
            <w:r>
              <w:rPr>
                <w:sz w:val="22"/>
              </w:rPr>
              <w:t xml:space="preserve"> 0.3335/hour</w:t>
            </w:r>
            <w:r w:rsidR="00197AAA">
              <w:rPr>
                <w:sz w:val="22"/>
              </w:rPr>
              <w:t xml:space="preserve"> </w:t>
            </w:r>
          </w:p>
          <w:p w:rsidR="003845F9" w:rsidRPr="00FC617F" w:rsidRDefault="003845F9" w:rsidP="007C205A">
            <w:pPr>
              <w:cnfStyle w:val="000000100000" w:firstRow="0" w:lastRow="0" w:firstColumn="0" w:lastColumn="0" w:oddVBand="0" w:evenVBand="0" w:oddHBand="1" w:evenHBand="0" w:firstRowFirstColumn="0" w:firstRowLastColumn="0" w:lastRowFirstColumn="0" w:lastRowLastColumn="0"/>
              <w:rPr>
                <w:sz w:val="22"/>
              </w:rPr>
            </w:pPr>
            <w:r>
              <w:rPr>
                <w:sz w:val="22"/>
              </w:rPr>
              <w:t>6pm-12am – 0.299/hour</w:t>
            </w:r>
          </w:p>
        </w:tc>
        <w:tc>
          <w:tcPr>
            <w:tcW w:w="5074" w:type="dxa"/>
          </w:tcPr>
          <w:p w:rsidR="007C205A" w:rsidRDefault="007C205A" w:rsidP="007C205A">
            <w:pPr>
              <w:cnfStyle w:val="000000100000" w:firstRow="0" w:lastRow="0" w:firstColumn="0" w:lastColumn="0" w:oddVBand="0" w:evenVBand="0" w:oddHBand="1" w:evenHBand="0" w:firstRowFirstColumn="0" w:firstRowLastColumn="0" w:lastRowFirstColumn="0" w:lastRowLastColumn="0"/>
              <w:rPr>
                <w:sz w:val="22"/>
              </w:rPr>
            </w:pPr>
            <w:r>
              <w:rPr>
                <w:sz w:val="22"/>
              </w:rPr>
              <w:t>External:0</w:t>
            </w:r>
          </w:p>
          <w:p w:rsidR="007C205A" w:rsidRPr="00C541C8" w:rsidRDefault="007C205A" w:rsidP="007C205A">
            <w:pPr>
              <w:cnfStyle w:val="000000100000" w:firstRow="0" w:lastRow="0" w:firstColumn="0" w:lastColumn="0" w:oddVBand="0" w:evenVBand="0" w:oddHBand="1" w:evenHBand="0" w:firstRowFirstColumn="0" w:firstRowLastColumn="0" w:lastRowFirstColumn="0" w:lastRowLastColumn="0"/>
              <w:rPr>
                <w:sz w:val="22"/>
              </w:rPr>
            </w:pPr>
            <w:r>
              <w:rPr>
                <w:sz w:val="22"/>
              </w:rPr>
              <w:t>Internal:0</w:t>
            </w:r>
          </w:p>
        </w:tc>
      </w:tr>
      <w:tr w:rsidR="007C205A" w:rsidTr="00210A6D">
        <w:tc>
          <w:tcPr>
            <w:cnfStyle w:val="001000000000" w:firstRow="0" w:lastRow="0" w:firstColumn="1" w:lastColumn="0" w:oddVBand="0" w:evenVBand="0" w:oddHBand="0" w:evenHBand="0" w:firstRowFirstColumn="0" w:firstRowLastColumn="0" w:lastRowFirstColumn="0" w:lastRowLastColumn="0"/>
            <w:tcW w:w="2263" w:type="dxa"/>
          </w:tcPr>
          <w:p w:rsidR="007C205A" w:rsidRPr="00C541C8" w:rsidRDefault="007C205A" w:rsidP="007C205A">
            <w:pPr>
              <w:rPr>
                <w:sz w:val="22"/>
              </w:rPr>
            </w:pPr>
            <w:r>
              <w:rPr>
                <w:sz w:val="22"/>
              </w:rPr>
              <w:lastRenderedPageBreak/>
              <w:t>Intensive treatment (“red”)</w:t>
            </w:r>
          </w:p>
        </w:tc>
        <w:tc>
          <w:tcPr>
            <w:tcW w:w="3119" w:type="dxa"/>
          </w:tcPr>
          <w:p w:rsidR="007C205A" w:rsidRPr="00C541C8" w:rsidRDefault="007C205A" w:rsidP="007C205A">
            <w:pPr>
              <w:cnfStyle w:val="000000000000" w:firstRow="0" w:lastRow="0" w:firstColumn="0" w:lastColumn="0" w:oddVBand="0" w:evenVBand="0" w:oddHBand="0" w:evenHBand="0" w:firstRowFirstColumn="0" w:firstRowLastColumn="0" w:lastRowFirstColumn="0" w:lastRowLastColumn="0"/>
              <w:rPr>
                <w:sz w:val="22"/>
              </w:rPr>
            </w:pPr>
            <w:r>
              <w:rPr>
                <w:sz w:val="22"/>
              </w:rPr>
              <w:t>N/A</w:t>
            </w:r>
          </w:p>
        </w:tc>
        <w:tc>
          <w:tcPr>
            <w:tcW w:w="5074" w:type="dxa"/>
          </w:tcPr>
          <w:p w:rsidR="007C205A" w:rsidRDefault="007C205A" w:rsidP="007C205A">
            <w:pPr>
              <w:cnfStyle w:val="000000000000" w:firstRow="0" w:lastRow="0" w:firstColumn="0" w:lastColumn="0" w:oddVBand="0" w:evenVBand="0" w:oddHBand="0" w:evenHBand="0" w:firstRowFirstColumn="0" w:firstRowLastColumn="0" w:lastRowFirstColumn="0" w:lastRowLastColumn="0"/>
              <w:rPr>
                <w:sz w:val="22"/>
              </w:rPr>
            </w:pPr>
            <w:r>
              <w:rPr>
                <w:sz w:val="22"/>
              </w:rPr>
              <w:t>External:0</w:t>
            </w:r>
          </w:p>
          <w:p w:rsidR="007C205A" w:rsidRPr="00C541C8" w:rsidRDefault="007C205A" w:rsidP="007C205A">
            <w:pPr>
              <w:cnfStyle w:val="000000000000" w:firstRow="0" w:lastRow="0" w:firstColumn="0" w:lastColumn="0" w:oddVBand="0" w:evenVBand="0" w:oddHBand="0" w:evenHBand="0" w:firstRowFirstColumn="0" w:firstRowLastColumn="0" w:lastRowFirstColumn="0" w:lastRowLastColumn="0"/>
              <w:rPr>
                <w:sz w:val="22"/>
              </w:rPr>
            </w:pPr>
            <w:r>
              <w:rPr>
                <w:sz w:val="22"/>
              </w:rPr>
              <w:t>Internal:0</w:t>
            </w:r>
          </w:p>
        </w:tc>
      </w:tr>
      <w:tr w:rsidR="007C205A"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C205A" w:rsidRDefault="007C205A" w:rsidP="007C205A">
            <w:pPr>
              <w:rPr>
                <w:sz w:val="22"/>
              </w:rPr>
            </w:pPr>
            <w:r>
              <w:rPr>
                <w:sz w:val="22"/>
              </w:rPr>
              <w:t>Observation room (“yellow”)</w:t>
            </w:r>
          </w:p>
        </w:tc>
        <w:tc>
          <w:tcPr>
            <w:tcW w:w="3119" w:type="dxa"/>
          </w:tcPr>
          <w:p w:rsidR="00FA638D" w:rsidRDefault="00FA638D" w:rsidP="00FA638D">
            <w:pPr>
              <w:cnfStyle w:val="000000100000" w:firstRow="0" w:lastRow="0" w:firstColumn="0" w:lastColumn="0" w:oddVBand="0" w:evenVBand="0" w:oddHBand="1" w:evenHBand="0" w:firstRowFirstColumn="0" w:firstRowLastColumn="0" w:lastRowFirstColumn="0" w:lastRowLastColumn="0"/>
              <w:rPr>
                <w:i/>
                <w:sz w:val="22"/>
              </w:rPr>
            </w:pPr>
            <w:r>
              <w:rPr>
                <w:i/>
                <w:sz w:val="22"/>
              </w:rPr>
              <w:t>Arrival rate changes by hour/</w:t>
            </w:r>
            <w:proofErr w:type="gramStart"/>
            <w:r>
              <w:rPr>
                <w:i/>
                <w:sz w:val="22"/>
              </w:rPr>
              <w:t>6 hour</w:t>
            </w:r>
            <w:proofErr w:type="gramEnd"/>
            <w:r>
              <w:rPr>
                <w:i/>
                <w:sz w:val="22"/>
              </w:rPr>
              <w:t xml:space="preserve"> slot</w:t>
            </w:r>
          </w:p>
          <w:p w:rsidR="00FA638D" w:rsidRDefault="00FA638D" w:rsidP="00FA638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12am-6am – 0.33/hour </w:t>
            </w:r>
          </w:p>
          <w:p w:rsidR="00FA638D" w:rsidRDefault="00FA638D" w:rsidP="00FA638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6am-12pm – 0.66/hour </w:t>
            </w:r>
          </w:p>
          <w:p w:rsidR="00FA638D" w:rsidRDefault="00FA638D" w:rsidP="00FA638D">
            <w:pPr>
              <w:cnfStyle w:val="000000100000" w:firstRow="0" w:lastRow="0" w:firstColumn="0" w:lastColumn="0" w:oddVBand="0" w:evenVBand="0" w:oddHBand="1" w:evenHBand="0" w:firstRowFirstColumn="0" w:firstRowLastColumn="0" w:lastRowFirstColumn="0" w:lastRowLastColumn="0"/>
              <w:rPr>
                <w:sz w:val="22"/>
              </w:rPr>
            </w:pPr>
            <w:r>
              <w:rPr>
                <w:sz w:val="22"/>
              </w:rPr>
              <w:t>12pm-6</w:t>
            </w:r>
            <w:proofErr w:type="gramStart"/>
            <w:r>
              <w:rPr>
                <w:sz w:val="22"/>
              </w:rPr>
              <w:t>pm  –</w:t>
            </w:r>
            <w:proofErr w:type="gramEnd"/>
            <w:r>
              <w:rPr>
                <w:sz w:val="22"/>
              </w:rPr>
              <w:t xml:space="preserve"> 0.638/hour </w:t>
            </w:r>
          </w:p>
          <w:p w:rsidR="007C205A" w:rsidRPr="00C541C8" w:rsidRDefault="00FA638D" w:rsidP="00FA638D">
            <w:pPr>
              <w:cnfStyle w:val="000000100000" w:firstRow="0" w:lastRow="0" w:firstColumn="0" w:lastColumn="0" w:oddVBand="0" w:evenVBand="0" w:oddHBand="1" w:evenHBand="0" w:firstRowFirstColumn="0" w:firstRowLastColumn="0" w:lastRowFirstColumn="0" w:lastRowLastColumn="0"/>
              <w:rPr>
                <w:sz w:val="22"/>
              </w:rPr>
            </w:pPr>
            <w:r>
              <w:rPr>
                <w:sz w:val="22"/>
              </w:rPr>
              <w:t>6pm-12am – 0.572/hour</w:t>
            </w:r>
            <w:r w:rsidRPr="00C541C8">
              <w:rPr>
                <w:sz w:val="22"/>
              </w:rPr>
              <w:t xml:space="preserve"> </w:t>
            </w:r>
          </w:p>
        </w:tc>
        <w:tc>
          <w:tcPr>
            <w:tcW w:w="5074" w:type="dxa"/>
          </w:tcPr>
          <w:p w:rsidR="007C205A" w:rsidRDefault="00496B2F" w:rsidP="007C205A">
            <w:pPr>
              <w:cnfStyle w:val="000000100000" w:firstRow="0" w:lastRow="0" w:firstColumn="0" w:lastColumn="0" w:oddVBand="0" w:evenVBand="0" w:oddHBand="1" w:evenHBand="0" w:firstRowFirstColumn="0" w:firstRowLastColumn="0" w:lastRowFirstColumn="0" w:lastRowLastColumn="0"/>
              <w:rPr>
                <w:sz w:val="22"/>
              </w:rPr>
            </w:pPr>
            <w:r>
              <w:rPr>
                <w:sz w:val="22"/>
              </w:rPr>
              <w:t>External: 999</w:t>
            </w:r>
          </w:p>
          <w:p w:rsidR="007C205A" w:rsidRPr="00C541C8" w:rsidRDefault="007C205A" w:rsidP="007C205A">
            <w:pPr>
              <w:cnfStyle w:val="000000100000" w:firstRow="0" w:lastRow="0" w:firstColumn="0" w:lastColumn="0" w:oddVBand="0" w:evenVBand="0" w:oddHBand="1" w:evenHBand="0" w:firstRowFirstColumn="0" w:firstRowLastColumn="0" w:lastRowFirstColumn="0" w:lastRowLastColumn="0"/>
              <w:rPr>
                <w:sz w:val="22"/>
              </w:rPr>
            </w:pPr>
            <w:r>
              <w:rPr>
                <w:sz w:val="22"/>
              </w:rPr>
              <w:t>Internal: 0</w:t>
            </w:r>
          </w:p>
        </w:tc>
      </w:tr>
      <w:tr w:rsidR="007C205A" w:rsidTr="00210A6D">
        <w:tc>
          <w:tcPr>
            <w:cnfStyle w:val="001000000000" w:firstRow="0" w:lastRow="0" w:firstColumn="1" w:lastColumn="0" w:oddVBand="0" w:evenVBand="0" w:oddHBand="0" w:evenHBand="0" w:firstRowFirstColumn="0" w:firstRowLastColumn="0" w:lastRowFirstColumn="0" w:lastRowLastColumn="0"/>
            <w:tcW w:w="2263" w:type="dxa"/>
          </w:tcPr>
          <w:p w:rsidR="007C205A" w:rsidRDefault="007C205A" w:rsidP="007C205A">
            <w:pPr>
              <w:rPr>
                <w:sz w:val="22"/>
              </w:rPr>
            </w:pPr>
            <w:r>
              <w:rPr>
                <w:sz w:val="22"/>
              </w:rPr>
              <w:t>Emergency treatment (“yellow”)</w:t>
            </w:r>
          </w:p>
        </w:tc>
        <w:tc>
          <w:tcPr>
            <w:tcW w:w="3119" w:type="dxa"/>
          </w:tcPr>
          <w:p w:rsidR="00FA638D" w:rsidRDefault="00FA638D" w:rsidP="00FA638D">
            <w:pPr>
              <w:cnfStyle w:val="000000000000" w:firstRow="0" w:lastRow="0" w:firstColumn="0" w:lastColumn="0" w:oddVBand="0" w:evenVBand="0" w:oddHBand="0" w:evenHBand="0" w:firstRowFirstColumn="0" w:firstRowLastColumn="0" w:lastRowFirstColumn="0" w:lastRowLastColumn="0"/>
              <w:rPr>
                <w:i/>
                <w:sz w:val="22"/>
              </w:rPr>
            </w:pPr>
            <w:r>
              <w:rPr>
                <w:i/>
                <w:sz w:val="22"/>
              </w:rPr>
              <w:t>Arrival rate changes by hour/</w:t>
            </w:r>
            <w:proofErr w:type="gramStart"/>
            <w:r>
              <w:rPr>
                <w:i/>
                <w:sz w:val="22"/>
              </w:rPr>
              <w:t>6 hour</w:t>
            </w:r>
            <w:proofErr w:type="gramEnd"/>
            <w:r>
              <w:rPr>
                <w:i/>
                <w:sz w:val="22"/>
              </w:rPr>
              <w:t xml:space="preserve"> slot</w:t>
            </w:r>
          </w:p>
          <w:p w:rsidR="00FA638D" w:rsidRDefault="00FA638D" w:rsidP="00FA638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12am-6am – 0.33/hour </w:t>
            </w:r>
          </w:p>
          <w:p w:rsidR="00FA638D" w:rsidRDefault="00FA638D" w:rsidP="00FA638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6am-12pm – 0.66/hour </w:t>
            </w:r>
          </w:p>
          <w:p w:rsidR="00FA638D" w:rsidRDefault="00FA638D" w:rsidP="00FA638D">
            <w:pPr>
              <w:cnfStyle w:val="000000000000" w:firstRow="0" w:lastRow="0" w:firstColumn="0" w:lastColumn="0" w:oddVBand="0" w:evenVBand="0" w:oddHBand="0" w:evenHBand="0" w:firstRowFirstColumn="0" w:firstRowLastColumn="0" w:lastRowFirstColumn="0" w:lastRowLastColumn="0"/>
              <w:rPr>
                <w:sz w:val="22"/>
              </w:rPr>
            </w:pPr>
            <w:r>
              <w:rPr>
                <w:sz w:val="22"/>
              </w:rPr>
              <w:t>12pm-6</w:t>
            </w:r>
            <w:proofErr w:type="gramStart"/>
            <w:r>
              <w:rPr>
                <w:sz w:val="22"/>
              </w:rPr>
              <w:t>pm  –</w:t>
            </w:r>
            <w:proofErr w:type="gramEnd"/>
            <w:r>
              <w:rPr>
                <w:sz w:val="22"/>
              </w:rPr>
              <w:t xml:space="preserve"> 0.638/hour </w:t>
            </w:r>
          </w:p>
          <w:p w:rsidR="007C205A" w:rsidRPr="00C541C8" w:rsidRDefault="00FA638D" w:rsidP="00FA638D">
            <w:pPr>
              <w:cnfStyle w:val="000000000000" w:firstRow="0" w:lastRow="0" w:firstColumn="0" w:lastColumn="0" w:oddVBand="0" w:evenVBand="0" w:oddHBand="0" w:evenHBand="0" w:firstRowFirstColumn="0" w:firstRowLastColumn="0" w:lastRowFirstColumn="0" w:lastRowLastColumn="0"/>
              <w:rPr>
                <w:sz w:val="22"/>
              </w:rPr>
            </w:pPr>
            <w:r>
              <w:rPr>
                <w:sz w:val="22"/>
              </w:rPr>
              <w:t>6pm-12am – 0.572/hour</w:t>
            </w:r>
            <w:r w:rsidRPr="00C541C8">
              <w:rPr>
                <w:sz w:val="22"/>
              </w:rPr>
              <w:t xml:space="preserve"> </w:t>
            </w:r>
          </w:p>
        </w:tc>
        <w:tc>
          <w:tcPr>
            <w:tcW w:w="5074" w:type="dxa"/>
          </w:tcPr>
          <w:p w:rsidR="007C205A" w:rsidRDefault="00496B2F" w:rsidP="007C205A">
            <w:pPr>
              <w:cnfStyle w:val="000000000000" w:firstRow="0" w:lastRow="0" w:firstColumn="0" w:lastColumn="0" w:oddVBand="0" w:evenVBand="0" w:oddHBand="0" w:evenHBand="0" w:firstRowFirstColumn="0" w:firstRowLastColumn="0" w:lastRowFirstColumn="0" w:lastRowLastColumn="0"/>
              <w:rPr>
                <w:sz w:val="22"/>
              </w:rPr>
            </w:pPr>
            <w:r>
              <w:rPr>
                <w:sz w:val="22"/>
              </w:rPr>
              <w:t>External: 999</w:t>
            </w:r>
          </w:p>
          <w:p w:rsidR="00263ACB" w:rsidRPr="00C541C8" w:rsidRDefault="00263ACB" w:rsidP="00DE3771">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Internal: </w:t>
            </w:r>
            <w:r w:rsidR="00DE3771">
              <w:rPr>
                <w:sz w:val="22"/>
              </w:rPr>
              <w:t>999</w:t>
            </w:r>
          </w:p>
        </w:tc>
      </w:tr>
      <w:tr w:rsidR="007C205A" w:rsidTr="0021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C205A" w:rsidRDefault="007C205A" w:rsidP="007C205A">
            <w:pPr>
              <w:rPr>
                <w:sz w:val="22"/>
              </w:rPr>
            </w:pPr>
            <w:r>
              <w:rPr>
                <w:sz w:val="22"/>
              </w:rPr>
              <w:t>Emergency treatment (“green”)</w:t>
            </w:r>
          </w:p>
        </w:tc>
        <w:tc>
          <w:tcPr>
            <w:tcW w:w="3119" w:type="dxa"/>
          </w:tcPr>
          <w:p w:rsidR="003841B1" w:rsidRDefault="00FA638D" w:rsidP="003841B1">
            <w:pPr>
              <w:cnfStyle w:val="000000100000" w:firstRow="0" w:lastRow="0" w:firstColumn="0" w:lastColumn="0" w:oddVBand="0" w:evenVBand="0" w:oddHBand="1" w:evenHBand="0" w:firstRowFirstColumn="0" w:firstRowLastColumn="0" w:lastRowFirstColumn="0" w:lastRowLastColumn="0"/>
              <w:rPr>
                <w:i/>
                <w:sz w:val="22"/>
              </w:rPr>
            </w:pPr>
            <w:r>
              <w:rPr>
                <w:i/>
                <w:sz w:val="22"/>
              </w:rPr>
              <w:t>Arrival rate changes by hour/</w:t>
            </w:r>
            <w:proofErr w:type="gramStart"/>
            <w:r>
              <w:rPr>
                <w:i/>
                <w:sz w:val="22"/>
              </w:rPr>
              <w:t>12</w:t>
            </w:r>
            <w:r w:rsidR="003841B1">
              <w:rPr>
                <w:i/>
                <w:sz w:val="22"/>
              </w:rPr>
              <w:t xml:space="preserve"> hour</w:t>
            </w:r>
            <w:proofErr w:type="gramEnd"/>
            <w:r w:rsidR="003841B1">
              <w:rPr>
                <w:i/>
                <w:sz w:val="22"/>
              </w:rPr>
              <w:t xml:space="preserve"> slot</w:t>
            </w:r>
          </w:p>
          <w:p w:rsidR="00FA638D" w:rsidRPr="00FA638D" w:rsidRDefault="00FA638D" w:rsidP="003841B1">
            <w:pPr>
              <w:cnfStyle w:val="000000100000" w:firstRow="0" w:lastRow="0" w:firstColumn="0" w:lastColumn="0" w:oddVBand="0" w:evenVBand="0" w:oddHBand="1" w:evenHBand="0" w:firstRowFirstColumn="0" w:firstRowLastColumn="0" w:lastRowFirstColumn="0" w:lastRowLastColumn="0"/>
              <w:rPr>
                <w:sz w:val="22"/>
              </w:rPr>
            </w:pPr>
            <w:r>
              <w:rPr>
                <w:sz w:val="22"/>
              </w:rPr>
              <w:t>8am-8pm – 3.8/hour</w:t>
            </w:r>
          </w:p>
          <w:p w:rsidR="007C205A" w:rsidRPr="00C541C8" w:rsidRDefault="00FA638D" w:rsidP="007C205A">
            <w:pPr>
              <w:cnfStyle w:val="000000100000" w:firstRow="0" w:lastRow="0" w:firstColumn="0" w:lastColumn="0" w:oddVBand="0" w:evenVBand="0" w:oddHBand="1" w:evenHBand="0" w:firstRowFirstColumn="0" w:firstRowLastColumn="0" w:lastRowFirstColumn="0" w:lastRowLastColumn="0"/>
              <w:rPr>
                <w:sz w:val="22"/>
              </w:rPr>
            </w:pPr>
            <w:r>
              <w:rPr>
                <w:sz w:val="22"/>
              </w:rPr>
              <w:t>8pm-8am – 2.8/ho</w:t>
            </w:r>
            <w:r w:rsidR="00CA6264">
              <w:rPr>
                <w:sz w:val="22"/>
              </w:rPr>
              <w:t>u</w:t>
            </w:r>
            <w:r>
              <w:rPr>
                <w:sz w:val="22"/>
              </w:rPr>
              <w:t>r</w:t>
            </w:r>
          </w:p>
        </w:tc>
        <w:tc>
          <w:tcPr>
            <w:tcW w:w="5074" w:type="dxa"/>
          </w:tcPr>
          <w:p w:rsidR="007C205A" w:rsidRDefault="00496B2F" w:rsidP="007C205A">
            <w:pPr>
              <w:cnfStyle w:val="000000100000" w:firstRow="0" w:lastRow="0" w:firstColumn="0" w:lastColumn="0" w:oddVBand="0" w:evenVBand="0" w:oddHBand="1" w:evenHBand="0" w:firstRowFirstColumn="0" w:firstRowLastColumn="0" w:lastRowFirstColumn="0" w:lastRowLastColumn="0"/>
              <w:rPr>
                <w:sz w:val="22"/>
              </w:rPr>
            </w:pPr>
            <w:r>
              <w:rPr>
                <w:sz w:val="22"/>
              </w:rPr>
              <w:t>External: 999</w:t>
            </w:r>
          </w:p>
          <w:p w:rsidR="00263ACB" w:rsidRPr="00C541C8" w:rsidRDefault="00263ACB" w:rsidP="00DE377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Internal: </w:t>
            </w:r>
            <w:r w:rsidR="00DE3771">
              <w:rPr>
                <w:sz w:val="22"/>
              </w:rPr>
              <w:t>999</w:t>
            </w:r>
          </w:p>
        </w:tc>
      </w:tr>
      <w:tr w:rsidR="007C205A" w:rsidTr="00210A6D">
        <w:tc>
          <w:tcPr>
            <w:cnfStyle w:val="001000000000" w:firstRow="0" w:lastRow="0" w:firstColumn="1" w:lastColumn="0" w:oddVBand="0" w:evenVBand="0" w:oddHBand="0" w:evenHBand="0" w:firstRowFirstColumn="0" w:firstRowLastColumn="0" w:lastRowFirstColumn="0" w:lastRowLastColumn="0"/>
            <w:tcW w:w="2263" w:type="dxa"/>
          </w:tcPr>
          <w:p w:rsidR="007C205A" w:rsidRDefault="007C205A" w:rsidP="007C205A">
            <w:pPr>
              <w:rPr>
                <w:sz w:val="22"/>
              </w:rPr>
            </w:pPr>
            <w:r>
              <w:rPr>
                <w:sz w:val="22"/>
              </w:rPr>
              <w:t>Examination room</w:t>
            </w:r>
          </w:p>
        </w:tc>
        <w:tc>
          <w:tcPr>
            <w:tcW w:w="3119" w:type="dxa"/>
          </w:tcPr>
          <w:p w:rsidR="007C205A" w:rsidRPr="00C541C8" w:rsidRDefault="007C205A" w:rsidP="007C205A">
            <w:pPr>
              <w:cnfStyle w:val="000000000000" w:firstRow="0" w:lastRow="0" w:firstColumn="0" w:lastColumn="0" w:oddVBand="0" w:evenVBand="0" w:oddHBand="0" w:evenHBand="0" w:firstRowFirstColumn="0" w:firstRowLastColumn="0" w:lastRowFirstColumn="0" w:lastRowLastColumn="0"/>
              <w:rPr>
                <w:sz w:val="22"/>
              </w:rPr>
            </w:pPr>
            <w:r>
              <w:rPr>
                <w:sz w:val="22"/>
              </w:rPr>
              <w:t>N/A</w:t>
            </w:r>
          </w:p>
        </w:tc>
        <w:tc>
          <w:tcPr>
            <w:tcW w:w="5074" w:type="dxa"/>
          </w:tcPr>
          <w:p w:rsidR="00263ACB" w:rsidRDefault="00263ACB" w:rsidP="007C205A">
            <w:pPr>
              <w:cnfStyle w:val="000000000000" w:firstRow="0" w:lastRow="0" w:firstColumn="0" w:lastColumn="0" w:oddVBand="0" w:evenVBand="0" w:oddHBand="0" w:evenHBand="0" w:firstRowFirstColumn="0" w:firstRowLastColumn="0" w:lastRowFirstColumn="0" w:lastRowLastColumn="0"/>
              <w:rPr>
                <w:sz w:val="22"/>
              </w:rPr>
            </w:pPr>
            <w:r>
              <w:rPr>
                <w:sz w:val="22"/>
              </w:rPr>
              <w:t>External:0</w:t>
            </w:r>
          </w:p>
          <w:p w:rsidR="00263ACB" w:rsidRPr="00C541C8" w:rsidRDefault="00263ACB" w:rsidP="00DE3771">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Internal: </w:t>
            </w:r>
            <w:r w:rsidR="00DE3771">
              <w:rPr>
                <w:sz w:val="22"/>
              </w:rPr>
              <w:t>9999</w:t>
            </w:r>
          </w:p>
        </w:tc>
      </w:tr>
    </w:tbl>
    <w:p w:rsidR="00290275" w:rsidRDefault="0024218E" w:rsidP="000F095C">
      <w:pPr>
        <w:pStyle w:val="Heading2"/>
        <w:rPr>
          <w:u w:val="single"/>
        </w:rPr>
      </w:pPr>
      <w:r>
        <w:rPr>
          <w:u w:val="single"/>
        </w:rPr>
        <w:t>F</w:t>
      </w:r>
      <w:r w:rsidR="000F095C" w:rsidRPr="0024218E">
        <w:rPr>
          <w:u w:val="single"/>
        </w:rPr>
        <w:t>eatures of the patient pathway</w:t>
      </w:r>
    </w:p>
    <w:p w:rsidR="006547EA" w:rsidRPr="00082F7C" w:rsidRDefault="006547EA" w:rsidP="0024218E">
      <w:pPr>
        <w:rPr>
          <w:b/>
          <w:i/>
          <w:sz w:val="20"/>
        </w:rPr>
      </w:pPr>
    </w:p>
    <w:tbl>
      <w:tblPr>
        <w:tblStyle w:val="GridTable4-Accent1"/>
        <w:tblW w:w="0" w:type="auto"/>
        <w:tblLook w:val="04A0" w:firstRow="1" w:lastRow="0" w:firstColumn="1" w:lastColumn="0" w:noHBand="0" w:noVBand="1"/>
      </w:tblPr>
      <w:tblGrid>
        <w:gridCol w:w="2263"/>
        <w:gridCol w:w="4253"/>
        <w:gridCol w:w="3940"/>
      </w:tblGrid>
      <w:tr w:rsidR="006547EA"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47EA" w:rsidRPr="00E33900" w:rsidRDefault="006547EA" w:rsidP="00611802">
            <w:r w:rsidRPr="00E33900">
              <w:t>Service Point</w:t>
            </w:r>
          </w:p>
        </w:tc>
        <w:tc>
          <w:tcPr>
            <w:tcW w:w="4253" w:type="dxa"/>
          </w:tcPr>
          <w:p w:rsidR="006547EA" w:rsidRPr="00E33900" w:rsidRDefault="006547EA" w:rsidP="00611802">
            <w:pPr>
              <w:cnfStyle w:val="100000000000" w:firstRow="1" w:lastRow="0" w:firstColumn="0" w:lastColumn="0" w:oddVBand="0" w:evenVBand="0" w:oddHBand="0" w:evenHBand="0" w:firstRowFirstColumn="0" w:firstRowLastColumn="0" w:lastRowFirstColumn="0" w:lastRowLastColumn="0"/>
            </w:pPr>
            <w:r>
              <w:t>Onward Service Points or Exits</w:t>
            </w:r>
          </w:p>
        </w:tc>
        <w:tc>
          <w:tcPr>
            <w:tcW w:w="3940" w:type="dxa"/>
          </w:tcPr>
          <w:p w:rsidR="006547EA" w:rsidRPr="00E33900" w:rsidRDefault="006547EA" w:rsidP="00611802">
            <w:pPr>
              <w:cnfStyle w:val="100000000000" w:firstRow="1" w:lastRow="0" w:firstColumn="0" w:lastColumn="0" w:oddVBand="0" w:evenVBand="0" w:oddHBand="0" w:evenHBand="0" w:firstRowFirstColumn="0" w:firstRowLastColumn="0" w:lastRowFirstColumn="0" w:lastRowLastColumn="0"/>
            </w:pPr>
            <w:r>
              <w:t>Additional Information</w:t>
            </w:r>
          </w:p>
        </w:tc>
      </w:tr>
      <w:tr w:rsidR="003F5564"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F5564" w:rsidRPr="00C541C8" w:rsidRDefault="003F5564" w:rsidP="003F5564">
            <w:pPr>
              <w:rPr>
                <w:sz w:val="22"/>
              </w:rPr>
            </w:pPr>
            <w:r>
              <w:rPr>
                <w:sz w:val="22"/>
              </w:rPr>
              <w:t>Shock room (“red”)</w:t>
            </w:r>
          </w:p>
        </w:tc>
        <w:tc>
          <w:tcPr>
            <w:tcW w:w="4253" w:type="dxa"/>
          </w:tcPr>
          <w:p w:rsidR="003F5564" w:rsidRDefault="006670BF" w:rsidP="003F5564">
            <w:pPr>
              <w:cnfStyle w:val="000000100000" w:firstRow="0" w:lastRow="0" w:firstColumn="0" w:lastColumn="0" w:oddVBand="0" w:evenVBand="0" w:oddHBand="1" w:evenHBand="0" w:firstRowFirstColumn="0" w:firstRowLastColumn="0" w:lastRowFirstColumn="0" w:lastRowLastColumn="0"/>
              <w:rPr>
                <w:sz w:val="22"/>
              </w:rPr>
            </w:pPr>
            <w:r>
              <w:rPr>
                <w:sz w:val="22"/>
              </w:rPr>
              <w:t>Intensive treatment – 97.5</w:t>
            </w:r>
            <w:r w:rsidR="003F5564">
              <w:rPr>
                <w:sz w:val="22"/>
              </w:rPr>
              <w:t>%</w:t>
            </w:r>
          </w:p>
          <w:p w:rsidR="003F5564" w:rsidRPr="00C541C8" w:rsidRDefault="006670BF" w:rsidP="003F5564">
            <w:pPr>
              <w:cnfStyle w:val="000000100000" w:firstRow="0" w:lastRow="0" w:firstColumn="0" w:lastColumn="0" w:oddVBand="0" w:evenVBand="0" w:oddHBand="1" w:evenHBand="0" w:firstRowFirstColumn="0" w:firstRowLastColumn="0" w:lastRowFirstColumn="0" w:lastRowLastColumn="0"/>
              <w:rPr>
                <w:sz w:val="22"/>
              </w:rPr>
            </w:pPr>
            <w:r>
              <w:rPr>
                <w:sz w:val="22"/>
              </w:rPr>
              <w:t>Exit – 2.5</w:t>
            </w:r>
            <w:r w:rsidR="003F5564">
              <w:rPr>
                <w:sz w:val="22"/>
              </w:rPr>
              <w:t xml:space="preserve">% </w:t>
            </w:r>
          </w:p>
        </w:tc>
        <w:tc>
          <w:tcPr>
            <w:tcW w:w="3940" w:type="dxa"/>
          </w:tcPr>
          <w:p w:rsidR="003F5564" w:rsidRPr="00C541C8" w:rsidRDefault="003F5564" w:rsidP="003F5564">
            <w:pPr>
              <w:cnfStyle w:val="000000100000" w:firstRow="0" w:lastRow="0" w:firstColumn="0" w:lastColumn="0" w:oddVBand="0" w:evenVBand="0" w:oddHBand="1" w:evenHBand="0" w:firstRowFirstColumn="0" w:firstRowLastColumn="0" w:lastRowFirstColumn="0" w:lastRowLastColumn="0"/>
              <w:rPr>
                <w:sz w:val="22"/>
              </w:rPr>
            </w:pPr>
          </w:p>
        </w:tc>
      </w:tr>
      <w:tr w:rsidR="003F5564" w:rsidTr="006547EA">
        <w:tc>
          <w:tcPr>
            <w:cnfStyle w:val="001000000000" w:firstRow="0" w:lastRow="0" w:firstColumn="1" w:lastColumn="0" w:oddVBand="0" w:evenVBand="0" w:oddHBand="0" w:evenHBand="0" w:firstRowFirstColumn="0" w:firstRowLastColumn="0" w:lastRowFirstColumn="0" w:lastRowLastColumn="0"/>
            <w:tcW w:w="2263" w:type="dxa"/>
          </w:tcPr>
          <w:p w:rsidR="003F5564" w:rsidRPr="00C541C8" w:rsidRDefault="003F5564" w:rsidP="003F5564">
            <w:pPr>
              <w:rPr>
                <w:sz w:val="22"/>
              </w:rPr>
            </w:pPr>
            <w:r>
              <w:rPr>
                <w:sz w:val="22"/>
              </w:rPr>
              <w:t>Intensive treatment (“red”)</w:t>
            </w:r>
          </w:p>
        </w:tc>
        <w:tc>
          <w:tcPr>
            <w:tcW w:w="4253" w:type="dxa"/>
          </w:tcPr>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Ward admission</w:t>
            </w:r>
            <w:r w:rsidR="006670BF">
              <w:rPr>
                <w:sz w:val="22"/>
              </w:rPr>
              <w:t>: 80%</w:t>
            </w:r>
          </w:p>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Examination room</w:t>
            </w:r>
            <w:r w:rsidR="006670BF">
              <w:rPr>
                <w:sz w:val="22"/>
              </w:rPr>
              <w:t>: 10%</w:t>
            </w:r>
          </w:p>
          <w:p w:rsidR="003F5564" w:rsidRPr="00C541C8"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Exit</w:t>
            </w:r>
            <w:r w:rsidR="006670BF">
              <w:rPr>
                <w:sz w:val="22"/>
              </w:rPr>
              <w:t>:  10%</w:t>
            </w:r>
          </w:p>
        </w:tc>
        <w:tc>
          <w:tcPr>
            <w:tcW w:w="3940" w:type="dxa"/>
          </w:tcPr>
          <w:p w:rsidR="003F5564" w:rsidRPr="00C541C8" w:rsidRDefault="003F5564" w:rsidP="003F5564">
            <w:pPr>
              <w:cnfStyle w:val="000000000000" w:firstRow="0" w:lastRow="0" w:firstColumn="0" w:lastColumn="0" w:oddVBand="0" w:evenVBand="0" w:oddHBand="0" w:evenHBand="0" w:firstRowFirstColumn="0" w:firstRowLastColumn="0" w:lastRowFirstColumn="0" w:lastRowLastColumn="0"/>
              <w:rPr>
                <w:sz w:val="22"/>
              </w:rPr>
            </w:pPr>
          </w:p>
        </w:tc>
      </w:tr>
      <w:tr w:rsidR="003F5564"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F5564" w:rsidRDefault="003F5564" w:rsidP="003F5564">
            <w:pPr>
              <w:rPr>
                <w:sz w:val="22"/>
              </w:rPr>
            </w:pPr>
            <w:r>
              <w:rPr>
                <w:sz w:val="22"/>
              </w:rPr>
              <w:t>Observation room (“yellow”)</w:t>
            </w:r>
          </w:p>
        </w:tc>
        <w:tc>
          <w:tcPr>
            <w:tcW w:w="4253" w:type="dxa"/>
          </w:tcPr>
          <w:p w:rsidR="003F5564" w:rsidRDefault="003F5564" w:rsidP="003F5564">
            <w:pPr>
              <w:cnfStyle w:val="000000100000" w:firstRow="0" w:lastRow="0" w:firstColumn="0" w:lastColumn="0" w:oddVBand="0" w:evenVBand="0" w:oddHBand="1" w:evenHBand="0" w:firstRowFirstColumn="0" w:firstRowLastColumn="0" w:lastRowFirstColumn="0" w:lastRowLastColumn="0"/>
              <w:rPr>
                <w:sz w:val="22"/>
              </w:rPr>
            </w:pPr>
            <w:r>
              <w:rPr>
                <w:sz w:val="22"/>
              </w:rPr>
              <w:t>Emergency treatment (“yellow”)</w:t>
            </w:r>
            <w:r w:rsidR="006670BF">
              <w:rPr>
                <w:sz w:val="22"/>
              </w:rPr>
              <w:t>: 50%</w:t>
            </w:r>
          </w:p>
          <w:p w:rsidR="006670BF" w:rsidRDefault="006670BF" w:rsidP="003F5564">
            <w:pPr>
              <w:cnfStyle w:val="000000100000" w:firstRow="0" w:lastRow="0" w:firstColumn="0" w:lastColumn="0" w:oddVBand="0" w:evenVBand="0" w:oddHBand="1" w:evenHBand="0" w:firstRowFirstColumn="0" w:firstRowLastColumn="0" w:lastRowFirstColumn="0" w:lastRowLastColumn="0"/>
              <w:rPr>
                <w:sz w:val="22"/>
              </w:rPr>
            </w:pPr>
            <w:r>
              <w:rPr>
                <w:sz w:val="22"/>
              </w:rPr>
              <w:t>Ward admission: 25%</w:t>
            </w:r>
          </w:p>
          <w:p w:rsidR="003F5564" w:rsidRPr="00C541C8" w:rsidRDefault="003F5564" w:rsidP="003F5564">
            <w:pPr>
              <w:cnfStyle w:val="000000100000" w:firstRow="0" w:lastRow="0" w:firstColumn="0" w:lastColumn="0" w:oddVBand="0" w:evenVBand="0" w:oddHBand="1" w:evenHBand="0" w:firstRowFirstColumn="0" w:firstRowLastColumn="0" w:lastRowFirstColumn="0" w:lastRowLastColumn="0"/>
              <w:rPr>
                <w:sz w:val="22"/>
              </w:rPr>
            </w:pPr>
            <w:r>
              <w:rPr>
                <w:sz w:val="22"/>
              </w:rPr>
              <w:t>Exit</w:t>
            </w:r>
            <w:r w:rsidR="006670BF">
              <w:rPr>
                <w:sz w:val="22"/>
              </w:rPr>
              <w:t>: 25%</w:t>
            </w:r>
          </w:p>
        </w:tc>
        <w:tc>
          <w:tcPr>
            <w:tcW w:w="3940" w:type="dxa"/>
          </w:tcPr>
          <w:p w:rsidR="003F5564" w:rsidRPr="00C541C8" w:rsidRDefault="003F5564" w:rsidP="003F5564">
            <w:pPr>
              <w:cnfStyle w:val="000000100000" w:firstRow="0" w:lastRow="0" w:firstColumn="0" w:lastColumn="0" w:oddVBand="0" w:evenVBand="0" w:oddHBand="1" w:evenHBand="0" w:firstRowFirstColumn="0" w:firstRowLastColumn="0" w:lastRowFirstColumn="0" w:lastRowLastColumn="0"/>
              <w:rPr>
                <w:sz w:val="22"/>
              </w:rPr>
            </w:pPr>
          </w:p>
        </w:tc>
      </w:tr>
      <w:tr w:rsidR="003F5564" w:rsidTr="006547EA">
        <w:tc>
          <w:tcPr>
            <w:cnfStyle w:val="001000000000" w:firstRow="0" w:lastRow="0" w:firstColumn="1" w:lastColumn="0" w:oddVBand="0" w:evenVBand="0" w:oddHBand="0" w:evenHBand="0" w:firstRowFirstColumn="0" w:firstRowLastColumn="0" w:lastRowFirstColumn="0" w:lastRowLastColumn="0"/>
            <w:tcW w:w="2263" w:type="dxa"/>
          </w:tcPr>
          <w:p w:rsidR="003F5564" w:rsidRDefault="003F5564" w:rsidP="003F5564">
            <w:pPr>
              <w:rPr>
                <w:sz w:val="22"/>
              </w:rPr>
            </w:pPr>
            <w:r>
              <w:rPr>
                <w:sz w:val="22"/>
              </w:rPr>
              <w:t>Emergency treatment (“yellow”)</w:t>
            </w:r>
          </w:p>
        </w:tc>
        <w:tc>
          <w:tcPr>
            <w:tcW w:w="4253" w:type="dxa"/>
          </w:tcPr>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w:t>
            </w:r>
            <w:r w:rsidR="006670BF">
              <w:rPr>
                <w:sz w:val="22"/>
              </w:rPr>
              <w:t>mergency green: 30%</w:t>
            </w:r>
          </w:p>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Ward admission</w:t>
            </w:r>
            <w:r w:rsidR="006670BF">
              <w:rPr>
                <w:sz w:val="22"/>
              </w:rPr>
              <w:t>: 60%</w:t>
            </w:r>
          </w:p>
          <w:p w:rsidR="003F5564" w:rsidRPr="00C541C8"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Exit</w:t>
            </w:r>
            <w:r w:rsidR="006670BF">
              <w:rPr>
                <w:sz w:val="22"/>
              </w:rPr>
              <w:t>: 10%</w:t>
            </w:r>
          </w:p>
        </w:tc>
        <w:tc>
          <w:tcPr>
            <w:tcW w:w="3940" w:type="dxa"/>
          </w:tcPr>
          <w:p w:rsidR="003F5564" w:rsidRPr="00C541C8" w:rsidRDefault="003F5564" w:rsidP="003F5564">
            <w:pPr>
              <w:cnfStyle w:val="000000000000" w:firstRow="0" w:lastRow="0" w:firstColumn="0" w:lastColumn="0" w:oddVBand="0" w:evenVBand="0" w:oddHBand="0" w:evenHBand="0" w:firstRowFirstColumn="0" w:firstRowLastColumn="0" w:lastRowFirstColumn="0" w:lastRowLastColumn="0"/>
              <w:rPr>
                <w:sz w:val="22"/>
              </w:rPr>
            </w:pPr>
          </w:p>
        </w:tc>
      </w:tr>
      <w:tr w:rsidR="003F5564"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F5564" w:rsidRDefault="003F5564" w:rsidP="003F5564">
            <w:pPr>
              <w:rPr>
                <w:sz w:val="22"/>
              </w:rPr>
            </w:pPr>
            <w:r>
              <w:rPr>
                <w:sz w:val="22"/>
              </w:rPr>
              <w:t>Emergency treatment (“green”)</w:t>
            </w:r>
          </w:p>
        </w:tc>
        <w:tc>
          <w:tcPr>
            <w:tcW w:w="4253" w:type="dxa"/>
          </w:tcPr>
          <w:p w:rsidR="003F5564" w:rsidRDefault="003F5564" w:rsidP="003F5564">
            <w:pPr>
              <w:cnfStyle w:val="000000100000" w:firstRow="0" w:lastRow="0" w:firstColumn="0" w:lastColumn="0" w:oddVBand="0" w:evenVBand="0" w:oddHBand="1" w:evenHBand="0" w:firstRowFirstColumn="0" w:firstRowLastColumn="0" w:lastRowFirstColumn="0" w:lastRowLastColumn="0"/>
              <w:rPr>
                <w:sz w:val="22"/>
              </w:rPr>
            </w:pPr>
            <w:r>
              <w:rPr>
                <w:sz w:val="22"/>
              </w:rPr>
              <w:t>Ward admission</w:t>
            </w:r>
            <w:r w:rsidR="006670BF">
              <w:rPr>
                <w:sz w:val="22"/>
              </w:rPr>
              <w:t>: 30%</w:t>
            </w:r>
          </w:p>
          <w:p w:rsidR="003F5564" w:rsidRPr="00C541C8" w:rsidRDefault="003F5564" w:rsidP="003F5564">
            <w:pPr>
              <w:cnfStyle w:val="000000100000" w:firstRow="0" w:lastRow="0" w:firstColumn="0" w:lastColumn="0" w:oddVBand="0" w:evenVBand="0" w:oddHBand="1" w:evenHBand="0" w:firstRowFirstColumn="0" w:firstRowLastColumn="0" w:lastRowFirstColumn="0" w:lastRowLastColumn="0"/>
              <w:rPr>
                <w:sz w:val="22"/>
              </w:rPr>
            </w:pPr>
            <w:r>
              <w:rPr>
                <w:sz w:val="22"/>
              </w:rPr>
              <w:t>Exit</w:t>
            </w:r>
            <w:r w:rsidR="006670BF">
              <w:rPr>
                <w:sz w:val="22"/>
              </w:rPr>
              <w:t>: 70%</w:t>
            </w:r>
          </w:p>
        </w:tc>
        <w:tc>
          <w:tcPr>
            <w:tcW w:w="3940" w:type="dxa"/>
          </w:tcPr>
          <w:p w:rsidR="003F5564" w:rsidRPr="00C541C8" w:rsidRDefault="003F5564" w:rsidP="003F5564">
            <w:pPr>
              <w:cnfStyle w:val="000000100000" w:firstRow="0" w:lastRow="0" w:firstColumn="0" w:lastColumn="0" w:oddVBand="0" w:evenVBand="0" w:oddHBand="1" w:evenHBand="0" w:firstRowFirstColumn="0" w:firstRowLastColumn="0" w:lastRowFirstColumn="0" w:lastRowLastColumn="0"/>
              <w:rPr>
                <w:sz w:val="22"/>
              </w:rPr>
            </w:pPr>
          </w:p>
        </w:tc>
      </w:tr>
      <w:tr w:rsidR="003F5564" w:rsidTr="006547EA">
        <w:tc>
          <w:tcPr>
            <w:cnfStyle w:val="001000000000" w:firstRow="0" w:lastRow="0" w:firstColumn="1" w:lastColumn="0" w:oddVBand="0" w:evenVBand="0" w:oddHBand="0" w:evenHBand="0" w:firstRowFirstColumn="0" w:firstRowLastColumn="0" w:lastRowFirstColumn="0" w:lastRowLastColumn="0"/>
            <w:tcW w:w="2263" w:type="dxa"/>
          </w:tcPr>
          <w:p w:rsidR="003F5564" w:rsidRDefault="003F5564" w:rsidP="003F5564">
            <w:pPr>
              <w:rPr>
                <w:sz w:val="22"/>
              </w:rPr>
            </w:pPr>
            <w:r>
              <w:rPr>
                <w:sz w:val="22"/>
              </w:rPr>
              <w:t>Examination room</w:t>
            </w:r>
          </w:p>
        </w:tc>
        <w:tc>
          <w:tcPr>
            <w:tcW w:w="4253" w:type="dxa"/>
          </w:tcPr>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Emergency treatment (“yellow”)</w:t>
            </w:r>
            <w:r w:rsidR="006670BF">
              <w:rPr>
                <w:sz w:val="22"/>
              </w:rPr>
              <w:t>:50%</w:t>
            </w:r>
          </w:p>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Emergency treatment (“green”)</w:t>
            </w:r>
            <w:r w:rsidR="006670BF">
              <w:rPr>
                <w:sz w:val="22"/>
              </w:rPr>
              <w:t>: 10%</w:t>
            </w:r>
          </w:p>
          <w:p w:rsidR="003F5564"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Ward admission</w:t>
            </w:r>
            <w:r w:rsidR="006670BF">
              <w:rPr>
                <w:sz w:val="22"/>
              </w:rPr>
              <w:t>: 20%</w:t>
            </w:r>
          </w:p>
          <w:p w:rsidR="003F5564" w:rsidRPr="00C541C8" w:rsidRDefault="003F5564" w:rsidP="003F5564">
            <w:pPr>
              <w:cnfStyle w:val="000000000000" w:firstRow="0" w:lastRow="0" w:firstColumn="0" w:lastColumn="0" w:oddVBand="0" w:evenVBand="0" w:oddHBand="0" w:evenHBand="0" w:firstRowFirstColumn="0" w:firstRowLastColumn="0" w:lastRowFirstColumn="0" w:lastRowLastColumn="0"/>
              <w:rPr>
                <w:sz w:val="22"/>
              </w:rPr>
            </w:pPr>
            <w:r>
              <w:rPr>
                <w:sz w:val="22"/>
              </w:rPr>
              <w:t>Exit</w:t>
            </w:r>
            <w:r w:rsidR="006670BF">
              <w:rPr>
                <w:sz w:val="22"/>
              </w:rPr>
              <w:t>: 20%</w:t>
            </w:r>
          </w:p>
        </w:tc>
        <w:tc>
          <w:tcPr>
            <w:tcW w:w="3940" w:type="dxa"/>
          </w:tcPr>
          <w:p w:rsidR="003F5564" w:rsidRPr="00C541C8" w:rsidRDefault="003F5564" w:rsidP="003F5564">
            <w:pPr>
              <w:cnfStyle w:val="000000000000" w:firstRow="0" w:lastRow="0" w:firstColumn="0" w:lastColumn="0" w:oddVBand="0" w:evenVBand="0" w:oddHBand="0" w:evenHBand="0" w:firstRowFirstColumn="0" w:firstRowLastColumn="0" w:lastRowFirstColumn="0" w:lastRowLastColumn="0"/>
              <w:rPr>
                <w:sz w:val="22"/>
              </w:rPr>
            </w:pPr>
          </w:p>
        </w:tc>
      </w:tr>
    </w:tbl>
    <w:p w:rsidR="0024218E" w:rsidRPr="00082F7C" w:rsidRDefault="0024218E" w:rsidP="0024218E">
      <w:pPr>
        <w:rPr>
          <w:b/>
          <w:i/>
          <w:sz w:val="20"/>
        </w:rPr>
      </w:pPr>
    </w:p>
    <w:p w:rsidR="006547EA" w:rsidRDefault="00FF22CE" w:rsidP="006547EA">
      <w:pPr>
        <w:pStyle w:val="Heading2"/>
        <w:rPr>
          <w:u w:val="single"/>
        </w:rPr>
      </w:pPr>
      <w:r>
        <w:rPr>
          <w:u w:val="single"/>
        </w:rPr>
        <w:t xml:space="preserve">Assumptions and limitations </w:t>
      </w:r>
    </w:p>
    <w:p w:rsidR="00F12426" w:rsidRPr="00D62F0F" w:rsidRDefault="00F12426" w:rsidP="00F12426">
      <w:pPr>
        <w:rPr>
          <w:sz w:val="20"/>
        </w:rPr>
      </w:pPr>
      <w:r w:rsidRPr="00D62F0F">
        <w:rPr>
          <w:sz w:val="20"/>
        </w:rPr>
        <w:t xml:space="preserve">The published study did not include the service distributions used in their model, only the mean values. </w:t>
      </w:r>
      <w:r w:rsidR="001D4F51">
        <w:rPr>
          <w:sz w:val="20"/>
        </w:rPr>
        <w:t xml:space="preserve">For the purposes of this example, the </w:t>
      </w:r>
      <w:proofErr w:type="spellStart"/>
      <w:r w:rsidR="001D4F51">
        <w:rPr>
          <w:sz w:val="20"/>
        </w:rPr>
        <w:t>PathSimR</w:t>
      </w:r>
      <w:proofErr w:type="spellEnd"/>
      <w:r w:rsidR="001D4F51">
        <w:rPr>
          <w:sz w:val="20"/>
        </w:rPr>
        <w:t xml:space="preserve"> Service Distributio</w:t>
      </w:r>
      <w:r w:rsidR="005B6174">
        <w:rPr>
          <w:sz w:val="20"/>
        </w:rPr>
        <w:t>n Scaling tool has been used to infer possible distributions for each service point by using distributions which fit to available regional data, and then re-scaling to match the given mean service times from the published study. For this example, that has led to the choice of a log-normal distribution for each service point.</w:t>
      </w:r>
    </w:p>
    <w:p w:rsidR="00F12426" w:rsidRPr="00D62F0F" w:rsidRDefault="00F12426" w:rsidP="00F12426">
      <w:pPr>
        <w:rPr>
          <w:sz w:val="20"/>
        </w:rPr>
      </w:pPr>
    </w:p>
    <w:p w:rsidR="00F12426" w:rsidRDefault="00F12426" w:rsidP="00F12426">
      <w:pPr>
        <w:rPr>
          <w:sz w:val="20"/>
        </w:rPr>
      </w:pPr>
      <w:r w:rsidRPr="00D62F0F">
        <w:rPr>
          <w:sz w:val="20"/>
        </w:rPr>
        <w:t xml:space="preserve">This pathway includes a loop between the </w:t>
      </w:r>
      <w:r w:rsidR="00A74DD1" w:rsidRPr="00D62F0F">
        <w:rPr>
          <w:sz w:val="20"/>
        </w:rPr>
        <w:t>Emergency Y</w:t>
      </w:r>
      <w:r w:rsidRPr="00D62F0F">
        <w:rPr>
          <w:sz w:val="20"/>
        </w:rPr>
        <w:t xml:space="preserve">ellow unit and the Examination room. These loops are modelled in the simulation but have an impact on the reliability of the Patient based metrics in the outputs. It is therefore advised that the user only investigate the service point based metrics (Occupancy, Queue Length, # Experiencing Capacity Driven Delays </w:t>
      </w:r>
      <w:proofErr w:type="spellStart"/>
      <w:r w:rsidRPr="00D62F0F">
        <w:rPr>
          <w:sz w:val="20"/>
        </w:rPr>
        <w:t>etc</w:t>
      </w:r>
      <w:proofErr w:type="spellEnd"/>
      <w:r w:rsidRPr="00D62F0F">
        <w:rPr>
          <w:sz w:val="20"/>
        </w:rPr>
        <w:t xml:space="preserve">) when there is a loop in the system. </w:t>
      </w:r>
    </w:p>
    <w:p w:rsidR="00A3484D" w:rsidRDefault="00A3484D" w:rsidP="00F12426">
      <w:pPr>
        <w:rPr>
          <w:sz w:val="20"/>
        </w:rPr>
      </w:pPr>
    </w:p>
    <w:p w:rsidR="00B829F3" w:rsidRDefault="00B829F3" w:rsidP="00F12426">
      <w:pPr>
        <w:rPr>
          <w:sz w:val="20"/>
        </w:rPr>
      </w:pPr>
    </w:p>
    <w:p w:rsidR="00A3484D" w:rsidRPr="00A3484D" w:rsidRDefault="00A3484D" w:rsidP="00A3484D">
      <w:pPr>
        <w:pStyle w:val="Heading1"/>
        <w:numPr>
          <w:ilvl w:val="0"/>
          <w:numId w:val="13"/>
        </w:numPr>
      </w:pPr>
      <w:r>
        <w:t>Inputs</w:t>
      </w:r>
    </w:p>
    <w:p w:rsidR="00B829F3" w:rsidRDefault="00B829F3" w:rsidP="00B829F3">
      <w:pPr>
        <w:pStyle w:val="Heading2"/>
        <w:rPr>
          <w:u w:val="single"/>
        </w:rPr>
      </w:pPr>
      <w:r>
        <w:rPr>
          <w:u w:val="single"/>
        </w:rPr>
        <w:t>Pathway Figure</w:t>
      </w:r>
    </w:p>
    <w:p w:rsidR="007934EB" w:rsidRDefault="007934EB" w:rsidP="007934EB"/>
    <w:p w:rsidR="007934EB" w:rsidRDefault="007934EB" w:rsidP="007934EB">
      <w:pPr>
        <w:rPr>
          <w:sz w:val="20"/>
          <w:szCs w:val="20"/>
        </w:rPr>
      </w:pPr>
      <w:r>
        <w:rPr>
          <w:sz w:val="20"/>
          <w:szCs w:val="20"/>
        </w:rPr>
        <w:t xml:space="preserve">Entering the pathway information above into the </w:t>
      </w:r>
      <w:proofErr w:type="spellStart"/>
      <w:r>
        <w:rPr>
          <w:sz w:val="20"/>
          <w:szCs w:val="20"/>
        </w:rPr>
        <w:t>PathSimR</w:t>
      </w:r>
      <w:proofErr w:type="spellEnd"/>
      <w:r>
        <w:rPr>
          <w:sz w:val="20"/>
          <w:szCs w:val="20"/>
        </w:rPr>
        <w:t xml:space="preserve"> Pathway Wizard, a set of model inputs and a pathway visualisation were automatically created. The pathway diagram (a static version of th</w:t>
      </w:r>
      <w:r w:rsidR="00105DAD">
        <w:rPr>
          <w:sz w:val="20"/>
          <w:szCs w:val="20"/>
        </w:rPr>
        <w:t>e tool output is presented in figure 1</w:t>
      </w:r>
      <w:r>
        <w:rPr>
          <w:sz w:val="20"/>
          <w:szCs w:val="20"/>
        </w:rPr>
        <w:t>) serves as a sense check on whether the inputs have been entered correctly, and can inform discussion about what parameters or service point configurations might be varied in what-if analysis.</w:t>
      </w:r>
    </w:p>
    <w:p w:rsidR="007934EB" w:rsidRPr="007934EB" w:rsidRDefault="007934EB" w:rsidP="007934EB">
      <w:pPr>
        <w:rPr>
          <w:sz w:val="20"/>
          <w:szCs w:val="20"/>
        </w:rPr>
      </w:pPr>
    </w:p>
    <w:p w:rsidR="00105DAD" w:rsidRDefault="00B829F3" w:rsidP="00105DAD">
      <w:pPr>
        <w:keepNext/>
      </w:pPr>
      <w:r>
        <w:rPr>
          <w:noProof/>
          <w:lang w:eastAsia="en-GB"/>
        </w:rPr>
        <w:drawing>
          <wp:inline distT="0" distB="0" distL="0" distR="0" wp14:anchorId="5C3729FE" wp14:editId="4B52E896">
            <wp:extent cx="6645910" cy="3331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mp;E Pathway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31210"/>
                    </a:xfrm>
                    <a:prstGeom prst="rect">
                      <a:avLst/>
                    </a:prstGeom>
                  </pic:spPr>
                </pic:pic>
              </a:graphicData>
            </a:graphic>
          </wp:inline>
        </w:drawing>
      </w:r>
    </w:p>
    <w:p w:rsidR="00B829F3" w:rsidRPr="00B829F3" w:rsidRDefault="00105DAD" w:rsidP="00105DAD">
      <w:pPr>
        <w:pStyle w:val="Caption"/>
      </w:pPr>
      <w:r>
        <w:t xml:space="preserve">Figure </w:t>
      </w:r>
      <w:r w:rsidR="007A51E8">
        <w:fldChar w:fldCharType="begin"/>
      </w:r>
      <w:r w:rsidR="007A51E8">
        <w:instrText xml:space="preserve"> SEQ Figure \* ARABIC </w:instrText>
      </w:r>
      <w:r w:rsidR="007A51E8">
        <w:fldChar w:fldCharType="separate"/>
      </w:r>
      <w:r w:rsidR="00FE657A">
        <w:rPr>
          <w:noProof/>
        </w:rPr>
        <w:t>1</w:t>
      </w:r>
      <w:r w:rsidR="007A51E8">
        <w:rPr>
          <w:noProof/>
        </w:rPr>
        <w:fldChar w:fldCharType="end"/>
      </w:r>
    </w:p>
    <w:p w:rsidR="00B829F3" w:rsidRDefault="00B829F3" w:rsidP="00F12426">
      <w:pPr>
        <w:rPr>
          <w:sz w:val="20"/>
        </w:rPr>
      </w:pPr>
    </w:p>
    <w:p w:rsidR="00B829F3" w:rsidRDefault="00B829F3" w:rsidP="00F12426">
      <w:pPr>
        <w:rPr>
          <w:sz w:val="20"/>
        </w:rPr>
      </w:pPr>
    </w:p>
    <w:p w:rsidR="00B829F3" w:rsidRDefault="00D01F72" w:rsidP="00101F56">
      <w:pPr>
        <w:pStyle w:val="Heading2"/>
        <w:rPr>
          <w:u w:val="single"/>
        </w:rPr>
      </w:pPr>
      <w:r w:rsidRPr="00D01F72">
        <w:rPr>
          <w:u w:val="single"/>
        </w:rPr>
        <w:t>Input templates</w:t>
      </w:r>
    </w:p>
    <w:p w:rsidR="00D01F72" w:rsidRPr="00D01F72" w:rsidRDefault="00D01F72" w:rsidP="00D01F72"/>
    <w:p w:rsidR="0024218E" w:rsidRDefault="007934EB" w:rsidP="0024218E">
      <w:pPr>
        <w:rPr>
          <w:sz w:val="20"/>
          <w:szCs w:val="20"/>
        </w:rPr>
      </w:pPr>
      <w:r>
        <w:rPr>
          <w:sz w:val="20"/>
          <w:szCs w:val="20"/>
        </w:rPr>
        <w:t xml:space="preserve">The Pathway Wizard also creates the following two parameter </w:t>
      </w:r>
      <w:proofErr w:type="spellStart"/>
      <w:r>
        <w:rPr>
          <w:sz w:val="20"/>
          <w:szCs w:val="20"/>
        </w:rPr>
        <w:t>dataframes</w:t>
      </w:r>
      <w:proofErr w:type="spellEnd"/>
      <w:r>
        <w:rPr>
          <w:sz w:val="20"/>
          <w:szCs w:val="20"/>
        </w:rPr>
        <w:t xml:space="preserve">, which are used to generate the simulation. If the user has entered the data directly into the Pathway Wizard, it can be passed straight to the simulation model without the need for the user to interact directly with these files – but they can be downloaded and saved, then subsequently re-uploaded to </w:t>
      </w:r>
      <w:proofErr w:type="spellStart"/>
      <w:r>
        <w:rPr>
          <w:sz w:val="20"/>
          <w:szCs w:val="20"/>
        </w:rPr>
        <w:t>PathSimR</w:t>
      </w:r>
      <w:proofErr w:type="spellEnd"/>
      <w:r>
        <w:rPr>
          <w:sz w:val="20"/>
          <w:szCs w:val="20"/>
        </w:rPr>
        <w:t xml:space="preserve"> if the user wishes to run the simulation again without having to re-enter data into the wizard, or if they wish to make changes to specific parameters (e.g. for sensitivity analysis, or “what-if” comparison on the effect of different capacities in given service points).</w:t>
      </w:r>
    </w:p>
    <w:p w:rsidR="007934EB" w:rsidRDefault="007934EB" w:rsidP="0024218E">
      <w:pPr>
        <w:rPr>
          <w:sz w:val="20"/>
          <w:szCs w:val="20"/>
        </w:rPr>
      </w:pPr>
    </w:p>
    <w:p w:rsidR="007934EB" w:rsidRDefault="00101F56" w:rsidP="00101F56">
      <w:pPr>
        <w:pStyle w:val="BodyText1"/>
        <w:rPr>
          <w:b/>
          <w:sz w:val="20"/>
          <w:szCs w:val="20"/>
        </w:rPr>
      </w:pPr>
      <w:r>
        <w:rPr>
          <w:b/>
          <w:i/>
          <w:sz w:val="20"/>
          <w:szCs w:val="20"/>
        </w:rPr>
        <w:t>Network template</w:t>
      </w:r>
    </w:p>
    <w:p w:rsidR="00101F56" w:rsidRDefault="00105DAD" w:rsidP="00101F56">
      <w:pPr>
        <w:pStyle w:val="BodyText1"/>
        <w:rPr>
          <w:sz w:val="20"/>
          <w:szCs w:val="20"/>
        </w:rPr>
      </w:pPr>
      <w:r>
        <w:rPr>
          <w:sz w:val="20"/>
          <w:szCs w:val="20"/>
        </w:rPr>
        <w:t>This</w:t>
      </w:r>
      <w:r w:rsidR="00101F56">
        <w:rPr>
          <w:sz w:val="20"/>
          <w:szCs w:val="20"/>
        </w:rPr>
        <w:t xml:space="preserve"> </w:t>
      </w:r>
      <w:r w:rsidR="00DA6801">
        <w:rPr>
          <w:sz w:val="20"/>
          <w:szCs w:val="20"/>
        </w:rPr>
        <w:t xml:space="preserve">template, and extract of which is shown in figure 2, </w:t>
      </w:r>
      <w:r w:rsidR="00101F56">
        <w:rPr>
          <w:sz w:val="20"/>
          <w:szCs w:val="20"/>
        </w:rPr>
        <w:t>includes transition rates between individual service points and exits, as well as service time parameters and permitted queue lengths for each service point. Note the service points each appear multiple times in the column headers, and the table is truncated at the right.</w:t>
      </w:r>
    </w:p>
    <w:p w:rsidR="00101F56" w:rsidRDefault="00101F56" w:rsidP="00101F56">
      <w:pPr>
        <w:pStyle w:val="BodyText1"/>
        <w:rPr>
          <w:sz w:val="20"/>
          <w:szCs w:val="20"/>
        </w:rPr>
      </w:pPr>
    </w:p>
    <w:p w:rsidR="00DA6801" w:rsidRDefault="00101F56" w:rsidP="00DA6801">
      <w:pPr>
        <w:pStyle w:val="BodyText1"/>
        <w:keepNext/>
      </w:pPr>
      <w:r w:rsidRPr="00101F56">
        <w:rPr>
          <w:noProof/>
        </w:rPr>
        <w:drawing>
          <wp:inline distT="0" distB="0" distL="0" distR="0" wp14:anchorId="3B25A42C" wp14:editId="2E17FDF5">
            <wp:extent cx="6619875" cy="10401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7" t="2674" r="39555"/>
                    <a:stretch/>
                  </pic:blipFill>
                  <pic:spPr bwMode="auto">
                    <a:xfrm>
                      <a:off x="0" y="0"/>
                      <a:ext cx="6619875" cy="1040130"/>
                    </a:xfrm>
                    <a:prstGeom prst="rect">
                      <a:avLst/>
                    </a:prstGeom>
                    <a:noFill/>
                    <a:ln>
                      <a:noFill/>
                    </a:ln>
                    <a:extLst>
                      <a:ext uri="{53640926-AAD7-44D8-BBD7-CCE9431645EC}">
                        <a14:shadowObscured xmlns:a14="http://schemas.microsoft.com/office/drawing/2010/main"/>
                      </a:ext>
                    </a:extLst>
                  </pic:spPr>
                </pic:pic>
              </a:graphicData>
            </a:graphic>
          </wp:inline>
        </w:drawing>
      </w:r>
    </w:p>
    <w:p w:rsidR="00101F56" w:rsidRDefault="00DA6801" w:rsidP="00DA6801">
      <w:pPr>
        <w:pStyle w:val="Caption"/>
        <w:rPr>
          <w:sz w:val="20"/>
          <w:szCs w:val="20"/>
        </w:rPr>
      </w:pPr>
      <w:r>
        <w:t xml:space="preserve">Figure </w:t>
      </w:r>
      <w:r w:rsidR="007A51E8">
        <w:fldChar w:fldCharType="begin"/>
      </w:r>
      <w:r w:rsidR="007A51E8">
        <w:instrText xml:space="preserve"> SEQ Figure \* ARABIC </w:instrText>
      </w:r>
      <w:r w:rsidR="007A51E8">
        <w:fldChar w:fldCharType="separate"/>
      </w:r>
      <w:r w:rsidR="00FE657A">
        <w:rPr>
          <w:noProof/>
        </w:rPr>
        <w:t>2</w:t>
      </w:r>
      <w:r w:rsidR="007A51E8">
        <w:rPr>
          <w:noProof/>
        </w:rPr>
        <w:fldChar w:fldCharType="end"/>
      </w:r>
    </w:p>
    <w:p w:rsidR="00101F56" w:rsidRDefault="00101F56" w:rsidP="00101F56">
      <w:pPr>
        <w:pStyle w:val="BodyText1"/>
        <w:rPr>
          <w:sz w:val="20"/>
          <w:szCs w:val="20"/>
        </w:rPr>
      </w:pPr>
    </w:p>
    <w:p w:rsidR="00101F56" w:rsidRDefault="00101F56" w:rsidP="00101F56">
      <w:pPr>
        <w:pStyle w:val="BodyText1"/>
        <w:rPr>
          <w:b/>
          <w:i/>
          <w:sz w:val="20"/>
          <w:szCs w:val="20"/>
        </w:rPr>
      </w:pPr>
    </w:p>
    <w:p w:rsidR="00101F56" w:rsidRDefault="00101F56" w:rsidP="00101F56">
      <w:pPr>
        <w:pStyle w:val="BodyText1"/>
        <w:rPr>
          <w:sz w:val="20"/>
          <w:szCs w:val="20"/>
        </w:rPr>
      </w:pPr>
      <w:r>
        <w:rPr>
          <w:b/>
          <w:i/>
          <w:sz w:val="20"/>
          <w:szCs w:val="20"/>
        </w:rPr>
        <w:t>Calendar template</w:t>
      </w:r>
    </w:p>
    <w:p w:rsidR="00101F56" w:rsidRDefault="00101F56" w:rsidP="00101F56">
      <w:pPr>
        <w:pStyle w:val="BodyText1"/>
        <w:rPr>
          <w:sz w:val="20"/>
          <w:szCs w:val="20"/>
        </w:rPr>
      </w:pPr>
      <w:r>
        <w:rPr>
          <w:sz w:val="20"/>
          <w:szCs w:val="20"/>
        </w:rPr>
        <w:t>This t</w:t>
      </w:r>
      <w:r w:rsidR="00DA6801">
        <w:rPr>
          <w:sz w:val="20"/>
          <w:szCs w:val="20"/>
        </w:rPr>
        <w:t xml:space="preserve">emplate, shown in figure 3, </w:t>
      </w:r>
      <w:r>
        <w:rPr>
          <w:sz w:val="20"/>
          <w:szCs w:val="20"/>
        </w:rPr>
        <w:t>includes the arrival schedule (times and associated arrival rates – possibly zero) and the capacity for each service point with a defined capacity and service time.</w:t>
      </w:r>
    </w:p>
    <w:p w:rsidR="00101F56" w:rsidRDefault="00101F56" w:rsidP="00101F56">
      <w:pPr>
        <w:pStyle w:val="BodyText1"/>
        <w:rPr>
          <w:sz w:val="20"/>
          <w:szCs w:val="20"/>
        </w:rPr>
      </w:pPr>
    </w:p>
    <w:p w:rsidR="00DA6801" w:rsidRDefault="00101F56" w:rsidP="00DA6801">
      <w:pPr>
        <w:pStyle w:val="BodyText1"/>
        <w:keepNext/>
      </w:pPr>
      <w:r w:rsidRPr="00101F56">
        <w:rPr>
          <w:noProof/>
        </w:rPr>
        <w:drawing>
          <wp:inline distT="0" distB="0" distL="0" distR="0" wp14:anchorId="3230A059" wp14:editId="0E844D41">
            <wp:extent cx="3057525" cy="496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4962525"/>
                    </a:xfrm>
                    <a:prstGeom prst="rect">
                      <a:avLst/>
                    </a:prstGeom>
                    <a:noFill/>
                    <a:ln>
                      <a:noFill/>
                    </a:ln>
                  </pic:spPr>
                </pic:pic>
              </a:graphicData>
            </a:graphic>
          </wp:inline>
        </w:drawing>
      </w:r>
    </w:p>
    <w:p w:rsidR="00101F56" w:rsidRDefault="00DA6801" w:rsidP="00DA6801">
      <w:pPr>
        <w:pStyle w:val="Caption"/>
        <w:rPr>
          <w:sz w:val="20"/>
          <w:szCs w:val="20"/>
        </w:rPr>
      </w:pPr>
      <w:r>
        <w:t xml:space="preserve">Figure </w:t>
      </w:r>
      <w:r w:rsidR="007A51E8">
        <w:fldChar w:fldCharType="begin"/>
      </w:r>
      <w:r w:rsidR="007A51E8">
        <w:instrText xml:space="preserve"> SEQ Figure \* ARABIC </w:instrText>
      </w:r>
      <w:r w:rsidR="007A51E8">
        <w:fldChar w:fldCharType="separate"/>
      </w:r>
      <w:r w:rsidR="00FE657A">
        <w:rPr>
          <w:noProof/>
        </w:rPr>
        <w:t>3</w:t>
      </w:r>
      <w:r w:rsidR="007A51E8">
        <w:rPr>
          <w:noProof/>
        </w:rPr>
        <w:fldChar w:fldCharType="end"/>
      </w:r>
    </w:p>
    <w:p w:rsidR="00713EBD" w:rsidRDefault="00713EBD" w:rsidP="00101F56">
      <w:pPr>
        <w:pStyle w:val="BodyText1"/>
        <w:rPr>
          <w:sz w:val="20"/>
          <w:szCs w:val="20"/>
        </w:rPr>
      </w:pPr>
    </w:p>
    <w:p w:rsidR="00FE657A" w:rsidRDefault="00FE657A">
      <w:pPr>
        <w:spacing w:after="160" w:line="259" w:lineRule="auto"/>
        <w:rPr>
          <w:rFonts w:asciiTheme="majorHAnsi" w:eastAsiaTheme="majorEastAsia" w:hAnsiTheme="majorHAnsi" w:cstheme="majorBidi"/>
          <w:b/>
          <w:bCs/>
          <w:color w:val="003087" w:themeColor="accent3"/>
          <w:sz w:val="32"/>
          <w:szCs w:val="26"/>
          <w:u w:val="single"/>
        </w:rPr>
      </w:pPr>
      <w:r>
        <w:rPr>
          <w:u w:val="single"/>
        </w:rPr>
        <w:br w:type="page"/>
      </w:r>
    </w:p>
    <w:p w:rsidR="00713EBD" w:rsidRDefault="00713EBD" w:rsidP="00713EBD">
      <w:pPr>
        <w:pStyle w:val="Heading1"/>
        <w:numPr>
          <w:ilvl w:val="0"/>
          <w:numId w:val="13"/>
        </w:numPr>
      </w:pPr>
      <w:r w:rsidRPr="00A3484D">
        <w:lastRenderedPageBreak/>
        <w:t>Outputs</w:t>
      </w:r>
      <w:r w:rsidR="00DD4A2D" w:rsidRPr="00A3484D">
        <w:t xml:space="preserve"> summary</w:t>
      </w:r>
    </w:p>
    <w:p w:rsidR="00105DAD" w:rsidRDefault="00105DAD" w:rsidP="00713EBD">
      <w:pPr>
        <w:rPr>
          <w:sz w:val="20"/>
          <w:szCs w:val="20"/>
        </w:rPr>
      </w:pPr>
      <w:r>
        <w:rPr>
          <w:sz w:val="20"/>
          <w:szCs w:val="20"/>
        </w:rPr>
        <w:t>Simulation results for the system described above show substantial under-utilisation at most service points (with the exception of “emergency green”). For example, the “shock room” has an available capacity which varies between 3 and six concurrent patients depending on time of day, but has an average occupancy of only 0.24 patients, and has an occupancy of 1.66 patients or fewer 99% of the time (99</w:t>
      </w:r>
      <w:r w:rsidRPr="00105DAD">
        <w:rPr>
          <w:sz w:val="20"/>
          <w:szCs w:val="20"/>
          <w:vertAlign w:val="superscript"/>
        </w:rPr>
        <w:t>th</w:t>
      </w:r>
      <w:r>
        <w:rPr>
          <w:sz w:val="20"/>
          <w:szCs w:val="20"/>
        </w:rPr>
        <w:t xml:space="preserve"> occupancy percentile).</w:t>
      </w:r>
    </w:p>
    <w:p w:rsidR="00105DAD" w:rsidRDefault="00105DAD" w:rsidP="00713EBD">
      <w:pPr>
        <w:rPr>
          <w:sz w:val="20"/>
          <w:szCs w:val="20"/>
        </w:rPr>
      </w:pPr>
    </w:p>
    <w:p w:rsidR="00DA6801" w:rsidRDefault="00FE657A" w:rsidP="00713EBD">
      <w:pPr>
        <w:rPr>
          <w:sz w:val="20"/>
          <w:szCs w:val="20"/>
        </w:rPr>
      </w:pPr>
      <w:r>
        <w:rPr>
          <w:sz w:val="20"/>
          <w:szCs w:val="20"/>
        </w:rPr>
        <w:t>The numerical results are summarised in figure 4 below, and a</w:t>
      </w:r>
      <w:r w:rsidR="00DA6801">
        <w:rPr>
          <w:sz w:val="20"/>
          <w:szCs w:val="20"/>
        </w:rPr>
        <w:t xml:space="preserve"> plot of the r</w:t>
      </w:r>
      <w:r w:rsidR="00105DAD">
        <w:rPr>
          <w:sz w:val="20"/>
          <w:szCs w:val="20"/>
        </w:rPr>
        <w:t xml:space="preserve">esults for </w:t>
      </w:r>
      <w:r>
        <w:rPr>
          <w:sz w:val="20"/>
          <w:szCs w:val="20"/>
        </w:rPr>
        <w:t xml:space="preserve">all </w:t>
      </w:r>
      <w:r w:rsidR="00063322">
        <w:rPr>
          <w:sz w:val="20"/>
          <w:szCs w:val="20"/>
        </w:rPr>
        <w:t>service points</w:t>
      </w:r>
      <w:bookmarkStart w:id="0" w:name="_GoBack"/>
      <w:bookmarkEnd w:id="0"/>
      <w:r>
        <w:rPr>
          <w:sz w:val="20"/>
          <w:szCs w:val="20"/>
        </w:rPr>
        <w:t xml:space="preserve"> is</w:t>
      </w:r>
      <w:r w:rsidR="00105DAD">
        <w:rPr>
          <w:sz w:val="20"/>
          <w:szCs w:val="20"/>
        </w:rPr>
        <w:t xml:space="preserve"> shown in figure </w:t>
      </w:r>
      <w:r>
        <w:rPr>
          <w:sz w:val="20"/>
          <w:szCs w:val="20"/>
        </w:rPr>
        <w:t>5 (note that the “shock room” has capacity to treat 6 patients concurrently between 8am and 8pm, and 2 patients concurrently otherwise, while capacities for all other units are constant over time).</w:t>
      </w:r>
    </w:p>
    <w:p w:rsidR="00FE657A" w:rsidRDefault="00FE657A" w:rsidP="00713EBD">
      <w:pPr>
        <w:rPr>
          <w:sz w:val="20"/>
          <w:szCs w:val="20"/>
        </w:rPr>
      </w:pPr>
    </w:p>
    <w:p w:rsidR="00FE657A" w:rsidRDefault="00FE657A" w:rsidP="00713EBD">
      <w:pPr>
        <w:rPr>
          <w:sz w:val="20"/>
          <w:szCs w:val="20"/>
        </w:rPr>
      </w:pPr>
    </w:p>
    <w:p w:rsidR="00FE657A" w:rsidRPr="00FE657A" w:rsidRDefault="00FE657A" w:rsidP="00713EBD">
      <w:pPr>
        <w:rPr>
          <w:b/>
          <w:sz w:val="20"/>
          <w:szCs w:val="20"/>
        </w:rPr>
      </w:pPr>
      <w:r>
        <w:rPr>
          <w:b/>
          <w:sz w:val="20"/>
          <w:szCs w:val="20"/>
        </w:rPr>
        <w:t>Numerical occupancy summary</w:t>
      </w:r>
    </w:p>
    <w:p w:rsidR="00FE657A" w:rsidRDefault="00FE657A" w:rsidP="00713EBD">
      <w:pPr>
        <w:rPr>
          <w:sz w:val="20"/>
          <w:szCs w:val="20"/>
        </w:rPr>
      </w:pPr>
    </w:p>
    <w:tbl>
      <w:tblPr>
        <w:tblStyle w:val="TableGrid"/>
        <w:tblW w:w="0" w:type="auto"/>
        <w:tblLook w:val="04A0" w:firstRow="1" w:lastRow="0" w:firstColumn="1" w:lastColumn="0" w:noHBand="0" w:noVBand="1"/>
      </w:tblPr>
      <w:tblGrid>
        <w:gridCol w:w="2107"/>
        <w:gridCol w:w="944"/>
        <w:gridCol w:w="944"/>
        <w:gridCol w:w="944"/>
        <w:gridCol w:w="944"/>
        <w:gridCol w:w="944"/>
        <w:gridCol w:w="949"/>
        <w:gridCol w:w="1440"/>
        <w:gridCol w:w="1240"/>
      </w:tblGrid>
      <w:tr w:rsidR="00FE657A" w:rsidRPr="00FE657A" w:rsidTr="00FE657A">
        <w:trPr>
          <w:trHeight w:val="600"/>
        </w:trPr>
        <w:tc>
          <w:tcPr>
            <w:tcW w:w="2060" w:type="dxa"/>
            <w:hideMark/>
          </w:tcPr>
          <w:p w:rsidR="00FE657A" w:rsidRPr="00FE657A" w:rsidRDefault="00FE657A" w:rsidP="00FE657A">
            <w:pPr>
              <w:rPr>
                <w:sz w:val="20"/>
                <w:szCs w:val="20"/>
              </w:rPr>
            </w:pPr>
          </w:p>
        </w:tc>
        <w:tc>
          <w:tcPr>
            <w:tcW w:w="5760" w:type="dxa"/>
            <w:gridSpan w:val="6"/>
            <w:hideMark/>
          </w:tcPr>
          <w:p w:rsidR="00FE657A" w:rsidRPr="00FE657A" w:rsidRDefault="00FE657A">
            <w:pPr>
              <w:rPr>
                <w:b/>
                <w:sz w:val="20"/>
                <w:szCs w:val="20"/>
              </w:rPr>
            </w:pPr>
            <w:r w:rsidRPr="00FE657A">
              <w:rPr>
                <w:b/>
                <w:sz w:val="20"/>
                <w:szCs w:val="20"/>
              </w:rPr>
              <w:t>Occupancy percentile</w:t>
            </w:r>
          </w:p>
        </w:tc>
        <w:tc>
          <w:tcPr>
            <w:tcW w:w="1440" w:type="dxa"/>
            <w:hideMark/>
          </w:tcPr>
          <w:p w:rsidR="00FE657A" w:rsidRPr="00FE657A" w:rsidRDefault="00FE657A">
            <w:pPr>
              <w:rPr>
                <w:b/>
                <w:sz w:val="20"/>
                <w:szCs w:val="20"/>
              </w:rPr>
            </w:pPr>
            <w:r w:rsidRPr="00FE657A">
              <w:rPr>
                <w:b/>
                <w:sz w:val="20"/>
                <w:szCs w:val="20"/>
              </w:rPr>
              <w:t>Average Occupancy</w:t>
            </w:r>
          </w:p>
        </w:tc>
        <w:tc>
          <w:tcPr>
            <w:tcW w:w="1240" w:type="dxa"/>
            <w:hideMark/>
          </w:tcPr>
          <w:p w:rsidR="00FE657A" w:rsidRPr="00FE657A" w:rsidRDefault="00FE657A">
            <w:pPr>
              <w:rPr>
                <w:b/>
                <w:sz w:val="20"/>
                <w:szCs w:val="20"/>
              </w:rPr>
            </w:pPr>
            <w:r w:rsidRPr="00FE657A">
              <w:rPr>
                <w:b/>
                <w:sz w:val="20"/>
                <w:szCs w:val="20"/>
              </w:rPr>
              <w:t>Maximum capacity</w:t>
            </w:r>
          </w:p>
        </w:tc>
      </w:tr>
      <w:tr w:rsidR="00FE657A" w:rsidRPr="00FE657A" w:rsidTr="00FE657A">
        <w:trPr>
          <w:trHeight w:val="300"/>
        </w:trPr>
        <w:tc>
          <w:tcPr>
            <w:tcW w:w="2060" w:type="dxa"/>
            <w:hideMark/>
          </w:tcPr>
          <w:p w:rsidR="00FE657A" w:rsidRPr="00FE657A" w:rsidRDefault="00FE657A">
            <w:pPr>
              <w:rPr>
                <w:b/>
                <w:sz w:val="20"/>
                <w:szCs w:val="20"/>
              </w:rPr>
            </w:pPr>
            <w:r w:rsidRPr="00FE657A">
              <w:rPr>
                <w:b/>
                <w:sz w:val="20"/>
                <w:szCs w:val="20"/>
              </w:rPr>
              <w:t>node</w:t>
            </w:r>
          </w:p>
        </w:tc>
        <w:tc>
          <w:tcPr>
            <w:tcW w:w="960" w:type="dxa"/>
            <w:hideMark/>
          </w:tcPr>
          <w:p w:rsidR="00FE657A" w:rsidRPr="00A15A07" w:rsidRDefault="00FE657A">
            <w:pPr>
              <w:rPr>
                <w:b/>
                <w:sz w:val="20"/>
                <w:szCs w:val="20"/>
              </w:rPr>
            </w:pPr>
            <w:r w:rsidRPr="00A15A07">
              <w:rPr>
                <w:b/>
                <w:sz w:val="20"/>
                <w:szCs w:val="20"/>
              </w:rPr>
              <w:t>80th</w:t>
            </w:r>
          </w:p>
        </w:tc>
        <w:tc>
          <w:tcPr>
            <w:tcW w:w="960" w:type="dxa"/>
            <w:hideMark/>
          </w:tcPr>
          <w:p w:rsidR="00FE657A" w:rsidRPr="00A15A07" w:rsidRDefault="00FE657A">
            <w:pPr>
              <w:rPr>
                <w:b/>
                <w:sz w:val="20"/>
                <w:szCs w:val="20"/>
              </w:rPr>
            </w:pPr>
            <w:r w:rsidRPr="00A15A07">
              <w:rPr>
                <w:b/>
                <w:sz w:val="20"/>
                <w:szCs w:val="20"/>
              </w:rPr>
              <w:t>85th</w:t>
            </w:r>
          </w:p>
        </w:tc>
        <w:tc>
          <w:tcPr>
            <w:tcW w:w="960" w:type="dxa"/>
            <w:hideMark/>
          </w:tcPr>
          <w:p w:rsidR="00FE657A" w:rsidRPr="00A15A07" w:rsidRDefault="00FE657A">
            <w:pPr>
              <w:rPr>
                <w:b/>
                <w:sz w:val="20"/>
                <w:szCs w:val="20"/>
              </w:rPr>
            </w:pPr>
            <w:r w:rsidRPr="00A15A07">
              <w:rPr>
                <w:b/>
                <w:sz w:val="20"/>
                <w:szCs w:val="20"/>
              </w:rPr>
              <w:t>90th</w:t>
            </w:r>
          </w:p>
        </w:tc>
        <w:tc>
          <w:tcPr>
            <w:tcW w:w="960" w:type="dxa"/>
            <w:hideMark/>
          </w:tcPr>
          <w:p w:rsidR="00FE657A" w:rsidRPr="00A15A07" w:rsidRDefault="00FE657A">
            <w:pPr>
              <w:rPr>
                <w:b/>
                <w:sz w:val="20"/>
                <w:szCs w:val="20"/>
              </w:rPr>
            </w:pPr>
            <w:r w:rsidRPr="00A15A07">
              <w:rPr>
                <w:b/>
                <w:sz w:val="20"/>
                <w:szCs w:val="20"/>
              </w:rPr>
              <w:t>95th</w:t>
            </w:r>
          </w:p>
        </w:tc>
        <w:tc>
          <w:tcPr>
            <w:tcW w:w="960" w:type="dxa"/>
            <w:hideMark/>
          </w:tcPr>
          <w:p w:rsidR="00FE657A" w:rsidRPr="00A15A07" w:rsidRDefault="00FE657A">
            <w:pPr>
              <w:rPr>
                <w:b/>
                <w:sz w:val="20"/>
                <w:szCs w:val="20"/>
              </w:rPr>
            </w:pPr>
            <w:r w:rsidRPr="00A15A07">
              <w:rPr>
                <w:b/>
                <w:sz w:val="20"/>
                <w:szCs w:val="20"/>
              </w:rPr>
              <w:t>99th</w:t>
            </w:r>
          </w:p>
        </w:tc>
        <w:tc>
          <w:tcPr>
            <w:tcW w:w="960" w:type="dxa"/>
            <w:hideMark/>
          </w:tcPr>
          <w:p w:rsidR="00FE657A" w:rsidRPr="00A15A07" w:rsidRDefault="00FE657A">
            <w:pPr>
              <w:rPr>
                <w:b/>
                <w:sz w:val="20"/>
                <w:szCs w:val="20"/>
              </w:rPr>
            </w:pPr>
            <w:r w:rsidRPr="00A15A07">
              <w:rPr>
                <w:b/>
                <w:sz w:val="20"/>
                <w:szCs w:val="20"/>
              </w:rPr>
              <w:t>100th</w:t>
            </w:r>
          </w:p>
        </w:tc>
        <w:tc>
          <w:tcPr>
            <w:tcW w:w="1440" w:type="dxa"/>
            <w:hideMark/>
          </w:tcPr>
          <w:p w:rsidR="00FE657A" w:rsidRPr="00FE657A" w:rsidRDefault="00FE657A">
            <w:pPr>
              <w:rPr>
                <w:sz w:val="20"/>
                <w:szCs w:val="20"/>
              </w:rPr>
            </w:pPr>
          </w:p>
        </w:tc>
        <w:tc>
          <w:tcPr>
            <w:tcW w:w="1240" w:type="dxa"/>
            <w:noWrap/>
            <w:hideMark/>
          </w:tcPr>
          <w:p w:rsidR="00FE657A" w:rsidRPr="00FE657A" w:rsidRDefault="00FE657A">
            <w:pPr>
              <w:rPr>
                <w:sz w:val="20"/>
                <w:szCs w:val="20"/>
              </w:rPr>
            </w:pPr>
          </w:p>
        </w:tc>
      </w:tr>
      <w:tr w:rsidR="00FE657A" w:rsidRPr="00FE657A" w:rsidTr="00FE657A">
        <w:trPr>
          <w:trHeight w:val="300"/>
        </w:trPr>
        <w:tc>
          <w:tcPr>
            <w:tcW w:w="2060" w:type="dxa"/>
            <w:hideMark/>
          </w:tcPr>
          <w:p w:rsidR="00FE657A" w:rsidRPr="00FE657A" w:rsidRDefault="00FE657A">
            <w:pPr>
              <w:rPr>
                <w:b/>
                <w:sz w:val="20"/>
                <w:szCs w:val="20"/>
              </w:rPr>
            </w:pPr>
            <w:proofErr w:type="spellStart"/>
            <w:r w:rsidRPr="00FE657A">
              <w:rPr>
                <w:b/>
                <w:sz w:val="20"/>
                <w:szCs w:val="20"/>
              </w:rPr>
              <w:t>Shock_room</w:t>
            </w:r>
            <w:proofErr w:type="spellEnd"/>
          </w:p>
        </w:tc>
        <w:tc>
          <w:tcPr>
            <w:tcW w:w="960" w:type="dxa"/>
            <w:hideMark/>
          </w:tcPr>
          <w:p w:rsidR="00FE657A" w:rsidRPr="00FE657A" w:rsidRDefault="00FE657A">
            <w:pPr>
              <w:rPr>
                <w:sz w:val="20"/>
                <w:szCs w:val="20"/>
              </w:rPr>
            </w:pPr>
            <w:r w:rsidRPr="00FE657A">
              <w:rPr>
                <w:sz w:val="20"/>
                <w:szCs w:val="20"/>
              </w:rPr>
              <w:t>0.05</w:t>
            </w:r>
          </w:p>
        </w:tc>
        <w:tc>
          <w:tcPr>
            <w:tcW w:w="960" w:type="dxa"/>
            <w:hideMark/>
          </w:tcPr>
          <w:p w:rsidR="00FE657A" w:rsidRPr="00FE657A" w:rsidRDefault="00FE657A">
            <w:pPr>
              <w:rPr>
                <w:sz w:val="20"/>
                <w:szCs w:val="20"/>
              </w:rPr>
            </w:pPr>
            <w:r w:rsidRPr="00FE657A">
              <w:rPr>
                <w:sz w:val="20"/>
                <w:szCs w:val="20"/>
              </w:rPr>
              <w:t>0.33</w:t>
            </w:r>
          </w:p>
        </w:tc>
        <w:tc>
          <w:tcPr>
            <w:tcW w:w="960" w:type="dxa"/>
            <w:hideMark/>
          </w:tcPr>
          <w:p w:rsidR="00FE657A" w:rsidRPr="00FE657A" w:rsidRDefault="00FE657A">
            <w:pPr>
              <w:rPr>
                <w:sz w:val="20"/>
                <w:szCs w:val="20"/>
              </w:rPr>
            </w:pPr>
            <w:r w:rsidRPr="00FE657A">
              <w:rPr>
                <w:sz w:val="20"/>
                <w:szCs w:val="20"/>
              </w:rPr>
              <w:t>0.6</w:t>
            </w:r>
          </w:p>
        </w:tc>
        <w:tc>
          <w:tcPr>
            <w:tcW w:w="960" w:type="dxa"/>
            <w:hideMark/>
          </w:tcPr>
          <w:p w:rsidR="00FE657A" w:rsidRPr="00FE657A" w:rsidRDefault="00FE657A">
            <w:pPr>
              <w:rPr>
                <w:sz w:val="20"/>
                <w:szCs w:val="20"/>
              </w:rPr>
            </w:pPr>
            <w:r w:rsidRPr="00FE657A">
              <w:rPr>
                <w:sz w:val="20"/>
                <w:szCs w:val="20"/>
              </w:rPr>
              <w:t>0.87</w:t>
            </w:r>
          </w:p>
        </w:tc>
        <w:tc>
          <w:tcPr>
            <w:tcW w:w="960" w:type="dxa"/>
            <w:hideMark/>
          </w:tcPr>
          <w:p w:rsidR="00FE657A" w:rsidRPr="00FE657A" w:rsidRDefault="00FE657A">
            <w:pPr>
              <w:rPr>
                <w:sz w:val="20"/>
                <w:szCs w:val="20"/>
              </w:rPr>
            </w:pPr>
            <w:r w:rsidRPr="00FE657A">
              <w:rPr>
                <w:sz w:val="20"/>
                <w:szCs w:val="20"/>
              </w:rPr>
              <w:t>1.66</w:t>
            </w:r>
          </w:p>
        </w:tc>
        <w:tc>
          <w:tcPr>
            <w:tcW w:w="960" w:type="dxa"/>
            <w:hideMark/>
          </w:tcPr>
          <w:p w:rsidR="00FE657A" w:rsidRPr="00FE657A" w:rsidRDefault="00FE657A">
            <w:pPr>
              <w:rPr>
                <w:sz w:val="20"/>
                <w:szCs w:val="20"/>
              </w:rPr>
            </w:pPr>
            <w:r w:rsidRPr="00FE657A">
              <w:rPr>
                <w:sz w:val="20"/>
                <w:szCs w:val="20"/>
              </w:rPr>
              <w:t>4</w:t>
            </w:r>
          </w:p>
        </w:tc>
        <w:tc>
          <w:tcPr>
            <w:tcW w:w="1440" w:type="dxa"/>
            <w:noWrap/>
            <w:hideMark/>
          </w:tcPr>
          <w:p w:rsidR="00FE657A" w:rsidRPr="00FE657A" w:rsidRDefault="00FE657A" w:rsidP="00FE657A">
            <w:pPr>
              <w:rPr>
                <w:sz w:val="20"/>
                <w:szCs w:val="20"/>
              </w:rPr>
            </w:pPr>
            <w:r w:rsidRPr="00FE657A">
              <w:rPr>
                <w:sz w:val="20"/>
                <w:szCs w:val="20"/>
              </w:rPr>
              <w:t>0.24</w:t>
            </w:r>
          </w:p>
        </w:tc>
        <w:tc>
          <w:tcPr>
            <w:tcW w:w="1240" w:type="dxa"/>
            <w:noWrap/>
            <w:hideMark/>
          </w:tcPr>
          <w:p w:rsidR="00FE657A" w:rsidRPr="00FE657A" w:rsidRDefault="00FE657A" w:rsidP="00FE657A">
            <w:pPr>
              <w:rPr>
                <w:sz w:val="20"/>
                <w:szCs w:val="20"/>
              </w:rPr>
            </w:pPr>
            <w:r w:rsidRPr="00FE657A">
              <w:rPr>
                <w:sz w:val="20"/>
                <w:szCs w:val="20"/>
              </w:rPr>
              <w:t>6</w:t>
            </w:r>
          </w:p>
        </w:tc>
      </w:tr>
      <w:tr w:rsidR="00FE657A" w:rsidRPr="00FE657A" w:rsidTr="00FE657A">
        <w:trPr>
          <w:trHeight w:val="300"/>
        </w:trPr>
        <w:tc>
          <w:tcPr>
            <w:tcW w:w="2060" w:type="dxa"/>
            <w:hideMark/>
          </w:tcPr>
          <w:p w:rsidR="00FE657A" w:rsidRPr="00FE657A" w:rsidRDefault="00FE657A">
            <w:pPr>
              <w:rPr>
                <w:b/>
                <w:sz w:val="20"/>
                <w:szCs w:val="20"/>
              </w:rPr>
            </w:pPr>
            <w:proofErr w:type="spellStart"/>
            <w:r w:rsidRPr="00FE657A">
              <w:rPr>
                <w:b/>
                <w:sz w:val="20"/>
                <w:szCs w:val="20"/>
              </w:rPr>
              <w:t>Intensive_treatment</w:t>
            </w:r>
            <w:proofErr w:type="spellEnd"/>
          </w:p>
        </w:tc>
        <w:tc>
          <w:tcPr>
            <w:tcW w:w="960" w:type="dxa"/>
            <w:hideMark/>
          </w:tcPr>
          <w:p w:rsidR="00FE657A" w:rsidRPr="00FE657A" w:rsidRDefault="00FE657A">
            <w:pPr>
              <w:rPr>
                <w:sz w:val="20"/>
                <w:szCs w:val="20"/>
              </w:rPr>
            </w:pPr>
            <w:r w:rsidRPr="00FE657A">
              <w:rPr>
                <w:sz w:val="20"/>
                <w:szCs w:val="20"/>
              </w:rPr>
              <w:t>0.37</w:t>
            </w:r>
          </w:p>
        </w:tc>
        <w:tc>
          <w:tcPr>
            <w:tcW w:w="960" w:type="dxa"/>
            <w:hideMark/>
          </w:tcPr>
          <w:p w:rsidR="00FE657A" w:rsidRPr="00FE657A" w:rsidRDefault="00FE657A">
            <w:pPr>
              <w:rPr>
                <w:sz w:val="20"/>
                <w:szCs w:val="20"/>
              </w:rPr>
            </w:pPr>
            <w:r w:rsidRPr="00FE657A">
              <w:rPr>
                <w:sz w:val="20"/>
                <w:szCs w:val="20"/>
              </w:rPr>
              <w:t>0.58</w:t>
            </w:r>
          </w:p>
        </w:tc>
        <w:tc>
          <w:tcPr>
            <w:tcW w:w="960" w:type="dxa"/>
            <w:hideMark/>
          </w:tcPr>
          <w:p w:rsidR="00FE657A" w:rsidRPr="00FE657A" w:rsidRDefault="00FE657A">
            <w:pPr>
              <w:rPr>
                <w:sz w:val="20"/>
                <w:szCs w:val="20"/>
              </w:rPr>
            </w:pPr>
            <w:r w:rsidRPr="00FE657A">
              <w:rPr>
                <w:sz w:val="20"/>
                <w:szCs w:val="20"/>
              </w:rPr>
              <w:t>0.78</w:t>
            </w:r>
          </w:p>
        </w:tc>
        <w:tc>
          <w:tcPr>
            <w:tcW w:w="960" w:type="dxa"/>
            <w:hideMark/>
          </w:tcPr>
          <w:p w:rsidR="00FE657A" w:rsidRPr="00FE657A" w:rsidRDefault="00FE657A">
            <w:pPr>
              <w:rPr>
                <w:sz w:val="20"/>
                <w:szCs w:val="20"/>
              </w:rPr>
            </w:pPr>
            <w:r w:rsidRPr="00FE657A">
              <w:rPr>
                <w:sz w:val="20"/>
                <w:szCs w:val="20"/>
              </w:rPr>
              <w:t>0.99</w:t>
            </w:r>
          </w:p>
        </w:tc>
        <w:tc>
          <w:tcPr>
            <w:tcW w:w="960" w:type="dxa"/>
            <w:hideMark/>
          </w:tcPr>
          <w:p w:rsidR="00FE657A" w:rsidRPr="00FE657A" w:rsidRDefault="00FE657A">
            <w:pPr>
              <w:rPr>
                <w:sz w:val="20"/>
                <w:szCs w:val="20"/>
              </w:rPr>
            </w:pPr>
            <w:r w:rsidRPr="00FE657A">
              <w:rPr>
                <w:sz w:val="20"/>
                <w:szCs w:val="20"/>
              </w:rPr>
              <w:t>1.9</w:t>
            </w:r>
          </w:p>
        </w:tc>
        <w:tc>
          <w:tcPr>
            <w:tcW w:w="960" w:type="dxa"/>
            <w:hideMark/>
          </w:tcPr>
          <w:p w:rsidR="00FE657A" w:rsidRPr="00FE657A" w:rsidRDefault="00FE657A">
            <w:pPr>
              <w:rPr>
                <w:sz w:val="20"/>
                <w:szCs w:val="20"/>
              </w:rPr>
            </w:pPr>
            <w:r w:rsidRPr="00FE657A">
              <w:rPr>
                <w:sz w:val="20"/>
                <w:szCs w:val="20"/>
              </w:rPr>
              <w:t>4</w:t>
            </w:r>
          </w:p>
        </w:tc>
        <w:tc>
          <w:tcPr>
            <w:tcW w:w="1440" w:type="dxa"/>
            <w:noWrap/>
            <w:hideMark/>
          </w:tcPr>
          <w:p w:rsidR="00FE657A" w:rsidRPr="00FE657A" w:rsidRDefault="00FE657A" w:rsidP="00FE657A">
            <w:pPr>
              <w:rPr>
                <w:sz w:val="20"/>
                <w:szCs w:val="20"/>
              </w:rPr>
            </w:pPr>
            <w:r w:rsidRPr="00FE657A">
              <w:rPr>
                <w:sz w:val="20"/>
                <w:szCs w:val="20"/>
              </w:rPr>
              <w:t>0.34</w:t>
            </w:r>
          </w:p>
        </w:tc>
        <w:tc>
          <w:tcPr>
            <w:tcW w:w="1240" w:type="dxa"/>
            <w:noWrap/>
            <w:hideMark/>
          </w:tcPr>
          <w:p w:rsidR="00FE657A" w:rsidRPr="00FE657A" w:rsidRDefault="00FE657A" w:rsidP="00FE657A">
            <w:pPr>
              <w:rPr>
                <w:sz w:val="20"/>
                <w:szCs w:val="20"/>
              </w:rPr>
            </w:pPr>
            <w:r w:rsidRPr="00FE657A">
              <w:rPr>
                <w:sz w:val="20"/>
                <w:szCs w:val="20"/>
              </w:rPr>
              <w:t>4</w:t>
            </w:r>
          </w:p>
        </w:tc>
      </w:tr>
      <w:tr w:rsidR="00FE657A" w:rsidRPr="00FE657A" w:rsidTr="00FE657A">
        <w:trPr>
          <w:trHeight w:val="300"/>
        </w:trPr>
        <w:tc>
          <w:tcPr>
            <w:tcW w:w="2060" w:type="dxa"/>
            <w:hideMark/>
          </w:tcPr>
          <w:p w:rsidR="00FE657A" w:rsidRPr="00FE657A" w:rsidRDefault="00FE657A">
            <w:pPr>
              <w:rPr>
                <w:b/>
                <w:sz w:val="20"/>
                <w:szCs w:val="20"/>
              </w:rPr>
            </w:pPr>
            <w:r w:rsidRPr="00FE657A">
              <w:rPr>
                <w:b/>
                <w:sz w:val="20"/>
                <w:szCs w:val="20"/>
              </w:rPr>
              <w:t>Observation</w:t>
            </w:r>
          </w:p>
        </w:tc>
        <w:tc>
          <w:tcPr>
            <w:tcW w:w="960" w:type="dxa"/>
            <w:hideMark/>
          </w:tcPr>
          <w:p w:rsidR="00FE657A" w:rsidRPr="00FE657A" w:rsidRDefault="00FE657A">
            <w:pPr>
              <w:rPr>
                <w:sz w:val="20"/>
                <w:szCs w:val="20"/>
              </w:rPr>
            </w:pPr>
            <w:r w:rsidRPr="00FE657A">
              <w:rPr>
                <w:sz w:val="20"/>
                <w:szCs w:val="20"/>
              </w:rPr>
              <w:t>0.83</w:t>
            </w:r>
          </w:p>
        </w:tc>
        <w:tc>
          <w:tcPr>
            <w:tcW w:w="960" w:type="dxa"/>
            <w:hideMark/>
          </w:tcPr>
          <w:p w:rsidR="00FE657A" w:rsidRPr="00FE657A" w:rsidRDefault="00FE657A">
            <w:pPr>
              <w:rPr>
                <w:sz w:val="20"/>
                <w:szCs w:val="20"/>
              </w:rPr>
            </w:pPr>
            <w:r w:rsidRPr="00FE657A">
              <w:rPr>
                <w:sz w:val="20"/>
                <w:szCs w:val="20"/>
              </w:rPr>
              <w:t>0.98</w:t>
            </w:r>
          </w:p>
        </w:tc>
        <w:tc>
          <w:tcPr>
            <w:tcW w:w="960" w:type="dxa"/>
            <w:hideMark/>
          </w:tcPr>
          <w:p w:rsidR="00FE657A" w:rsidRPr="00FE657A" w:rsidRDefault="00FE657A">
            <w:pPr>
              <w:rPr>
                <w:sz w:val="20"/>
                <w:szCs w:val="20"/>
              </w:rPr>
            </w:pPr>
            <w:r w:rsidRPr="00FE657A">
              <w:rPr>
                <w:sz w:val="20"/>
                <w:szCs w:val="20"/>
              </w:rPr>
              <w:t>1.38</w:t>
            </w:r>
          </w:p>
        </w:tc>
        <w:tc>
          <w:tcPr>
            <w:tcW w:w="960" w:type="dxa"/>
            <w:hideMark/>
          </w:tcPr>
          <w:p w:rsidR="00FE657A" w:rsidRPr="00FE657A" w:rsidRDefault="00FE657A">
            <w:pPr>
              <w:rPr>
                <w:sz w:val="20"/>
                <w:szCs w:val="20"/>
              </w:rPr>
            </w:pPr>
            <w:r w:rsidRPr="00FE657A">
              <w:rPr>
                <w:sz w:val="20"/>
                <w:szCs w:val="20"/>
              </w:rPr>
              <w:t>1.83</w:t>
            </w:r>
          </w:p>
        </w:tc>
        <w:tc>
          <w:tcPr>
            <w:tcW w:w="960" w:type="dxa"/>
            <w:hideMark/>
          </w:tcPr>
          <w:p w:rsidR="00FE657A" w:rsidRPr="00FE657A" w:rsidRDefault="00FE657A">
            <w:pPr>
              <w:rPr>
                <w:sz w:val="20"/>
                <w:szCs w:val="20"/>
              </w:rPr>
            </w:pPr>
            <w:r w:rsidRPr="00FE657A">
              <w:rPr>
                <w:sz w:val="20"/>
                <w:szCs w:val="20"/>
              </w:rPr>
              <w:t>2.81</w:t>
            </w:r>
          </w:p>
        </w:tc>
        <w:tc>
          <w:tcPr>
            <w:tcW w:w="960" w:type="dxa"/>
            <w:hideMark/>
          </w:tcPr>
          <w:p w:rsidR="00FE657A" w:rsidRPr="00FE657A" w:rsidRDefault="00FE657A">
            <w:pPr>
              <w:rPr>
                <w:sz w:val="20"/>
                <w:szCs w:val="20"/>
              </w:rPr>
            </w:pPr>
            <w:r w:rsidRPr="00FE657A">
              <w:rPr>
                <w:sz w:val="20"/>
                <w:szCs w:val="20"/>
              </w:rPr>
              <w:t>7</w:t>
            </w:r>
          </w:p>
        </w:tc>
        <w:tc>
          <w:tcPr>
            <w:tcW w:w="1440" w:type="dxa"/>
            <w:noWrap/>
            <w:hideMark/>
          </w:tcPr>
          <w:p w:rsidR="00FE657A" w:rsidRPr="00FE657A" w:rsidRDefault="00FE657A" w:rsidP="00FE657A">
            <w:pPr>
              <w:rPr>
                <w:sz w:val="20"/>
                <w:szCs w:val="20"/>
              </w:rPr>
            </w:pPr>
            <w:r w:rsidRPr="00FE657A">
              <w:rPr>
                <w:sz w:val="20"/>
                <w:szCs w:val="20"/>
              </w:rPr>
              <w:t>0.66</w:t>
            </w:r>
          </w:p>
        </w:tc>
        <w:tc>
          <w:tcPr>
            <w:tcW w:w="1240" w:type="dxa"/>
            <w:noWrap/>
            <w:hideMark/>
          </w:tcPr>
          <w:p w:rsidR="00FE657A" w:rsidRPr="00FE657A" w:rsidRDefault="00FE657A" w:rsidP="00FE657A">
            <w:pPr>
              <w:rPr>
                <w:sz w:val="20"/>
                <w:szCs w:val="20"/>
              </w:rPr>
            </w:pPr>
            <w:r w:rsidRPr="00FE657A">
              <w:rPr>
                <w:sz w:val="20"/>
                <w:szCs w:val="20"/>
              </w:rPr>
              <w:t>8</w:t>
            </w:r>
          </w:p>
        </w:tc>
      </w:tr>
      <w:tr w:rsidR="00FE657A" w:rsidRPr="00FE657A" w:rsidTr="00FE657A">
        <w:trPr>
          <w:trHeight w:val="300"/>
        </w:trPr>
        <w:tc>
          <w:tcPr>
            <w:tcW w:w="2060" w:type="dxa"/>
            <w:hideMark/>
          </w:tcPr>
          <w:p w:rsidR="00FE657A" w:rsidRPr="00FE657A" w:rsidRDefault="00FE657A">
            <w:pPr>
              <w:rPr>
                <w:b/>
                <w:sz w:val="20"/>
                <w:szCs w:val="20"/>
              </w:rPr>
            </w:pPr>
            <w:proofErr w:type="spellStart"/>
            <w:r w:rsidRPr="00FE657A">
              <w:rPr>
                <w:b/>
                <w:sz w:val="20"/>
                <w:szCs w:val="20"/>
              </w:rPr>
              <w:t>Emergency_yellow</w:t>
            </w:r>
            <w:proofErr w:type="spellEnd"/>
          </w:p>
        </w:tc>
        <w:tc>
          <w:tcPr>
            <w:tcW w:w="960" w:type="dxa"/>
            <w:hideMark/>
          </w:tcPr>
          <w:p w:rsidR="00FE657A" w:rsidRPr="00FE657A" w:rsidRDefault="00FE657A">
            <w:pPr>
              <w:rPr>
                <w:sz w:val="20"/>
                <w:szCs w:val="20"/>
              </w:rPr>
            </w:pPr>
            <w:r w:rsidRPr="00FE657A">
              <w:rPr>
                <w:sz w:val="20"/>
                <w:szCs w:val="20"/>
              </w:rPr>
              <w:t>1.34</w:t>
            </w:r>
          </w:p>
        </w:tc>
        <w:tc>
          <w:tcPr>
            <w:tcW w:w="960" w:type="dxa"/>
            <w:hideMark/>
          </w:tcPr>
          <w:p w:rsidR="00FE657A" w:rsidRPr="00FE657A" w:rsidRDefault="00FE657A">
            <w:pPr>
              <w:rPr>
                <w:sz w:val="20"/>
                <w:szCs w:val="20"/>
              </w:rPr>
            </w:pPr>
            <w:r w:rsidRPr="00FE657A">
              <w:rPr>
                <w:sz w:val="20"/>
                <w:szCs w:val="20"/>
              </w:rPr>
              <w:t>1.62</w:t>
            </w:r>
          </w:p>
        </w:tc>
        <w:tc>
          <w:tcPr>
            <w:tcW w:w="960" w:type="dxa"/>
            <w:hideMark/>
          </w:tcPr>
          <w:p w:rsidR="00FE657A" w:rsidRPr="00FE657A" w:rsidRDefault="00FE657A">
            <w:pPr>
              <w:rPr>
                <w:sz w:val="20"/>
                <w:szCs w:val="20"/>
              </w:rPr>
            </w:pPr>
            <w:r w:rsidRPr="00FE657A">
              <w:rPr>
                <w:sz w:val="20"/>
                <w:szCs w:val="20"/>
              </w:rPr>
              <w:t>1.9</w:t>
            </w:r>
          </w:p>
        </w:tc>
        <w:tc>
          <w:tcPr>
            <w:tcW w:w="960" w:type="dxa"/>
            <w:hideMark/>
          </w:tcPr>
          <w:p w:rsidR="00FE657A" w:rsidRPr="00FE657A" w:rsidRDefault="00FE657A">
            <w:pPr>
              <w:rPr>
                <w:sz w:val="20"/>
                <w:szCs w:val="20"/>
              </w:rPr>
            </w:pPr>
            <w:r w:rsidRPr="00FE657A">
              <w:rPr>
                <w:sz w:val="20"/>
                <w:szCs w:val="20"/>
              </w:rPr>
              <w:t>2.53</w:t>
            </w:r>
          </w:p>
        </w:tc>
        <w:tc>
          <w:tcPr>
            <w:tcW w:w="960" w:type="dxa"/>
            <w:hideMark/>
          </w:tcPr>
          <w:p w:rsidR="00FE657A" w:rsidRPr="00FE657A" w:rsidRDefault="00FE657A">
            <w:pPr>
              <w:rPr>
                <w:sz w:val="20"/>
                <w:szCs w:val="20"/>
              </w:rPr>
            </w:pPr>
            <w:r w:rsidRPr="00FE657A">
              <w:rPr>
                <w:sz w:val="20"/>
                <w:szCs w:val="20"/>
              </w:rPr>
              <w:t>3.68</w:t>
            </w:r>
          </w:p>
        </w:tc>
        <w:tc>
          <w:tcPr>
            <w:tcW w:w="960" w:type="dxa"/>
            <w:hideMark/>
          </w:tcPr>
          <w:p w:rsidR="00FE657A" w:rsidRPr="00FE657A" w:rsidRDefault="00FE657A">
            <w:pPr>
              <w:rPr>
                <w:sz w:val="20"/>
                <w:szCs w:val="20"/>
              </w:rPr>
            </w:pPr>
            <w:r w:rsidRPr="00FE657A">
              <w:rPr>
                <w:sz w:val="20"/>
                <w:szCs w:val="20"/>
              </w:rPr>
              <w:t>5</w:t>
            </w:r>
          </w:p>
        </w:tc>
        <w:tc>
          <w:tcPr>
            <w:tcW w:w="1440" w:type="dxa"/>
            <w:noWrap/>
            <w:hideMark/>
          </w:tcPr>
          <w:p w:rsidR="00FE657A" w:rsidRPr="00FE657A" w:rsidRDefault="00FE657A" w:rsidP="00FE657A">
            <w:pPr>
              <w:rPr>
                <w:sz w:val="20"/>
                <w:szCs w:val="20"/>
              </w:rPr>
            </w:pPr>
            <w:r w:rsidRPr="00FE657A">
              <w:rPr>
                <w:sz w:val="20"/>
                <w:szCs w:val="20"/>
              </w:rPr>
              <w:t>0.98</w:t>
            </w:r>
          </w:p>
        </w:tc>
        <w:tc>
          <w:tcPr>
            <w:tcW w:w="1240" w:type="dxa"/>
            <w:noWrap/>
            <w:hideMark/>
          </w:tcPr>
          <w:p w:rsidR="00FE657A" w:rsidRPr="00FE657A" w:rsidRDefault="00FE657A" w:rsidP="00FE657A">
            <w:pPr>
              <w:rPr>
                <w:sz w:val="20"/>
                <w:szCs w:val="20"/>
              </w:rPr>
            </w:pPr>
            <w:r w:rsidRPr="00FE657A">
              <w:rPr>
                <w:sz w:val="20"/>
                <w:szCs w:val="20"/>
              </w:rPr>
              <w:t>5</w:t>
            </w:r>
          </w:p>
        </w:tc>
      </w:tr>
      <w:tr w:rsidR="00FE657A" w:rsidRPr="00FE657A" w:rsidTr="00FE657A">
        <w:trPr>
          <w:trHeight w:val="300"/>
        </w:trPr>
        <w:tc>
          <w:tcPr>
            <w:tcW w:w="2060" w:type="dxa"/>
            <w:hideMark/>
          </w:tcPr>
          <w:p w:rsidR="00FE657A" w:rsidRPr="00FE657A" w:rsidRDefault="00FE657A">
            <w:pPr>
              <w:rPr>
                <w:b/>
                <w:sz w:val="20"/>
                <w:szCs w:val="20"/>
              </w:rPr>
            </w:pPr>
            <w:proofErr w:type="spellStart"/>
            <w:r w:rsidRPr="00FE657A">
              <w:rPr>
                <w:b/>
                <w:sz w:val="20"/>
                <w:szCs w:val="20"/>
              </w:rPr>
              <w:t>Emergency_green</w:t>
            </w:r>
            <w:proofErr w:type="spellEnd"/>
          </w:p>
        </w:tc>
        <w:tc>
          <w:tcPr>
            <w:tcW w:w="960" w:type="dxa"/>
            <w:hideMark/>
          </w:tcPr>
          <w:p w:rsidR="00FE657A" w:rsidRPr="00FE657A" w:rsidRDefault="00FE657A">
            <w:pPr>
              <w:rPr>
                <w:sz w:val="20"/>
                <w:szCs w:val="20"/>
              </w:rPr>
            </w:pPr>
            <w:r w:rsidRPr="00FE657A">
              <w:rPr>
                <w:sz w:val="20"/>
                <w:szCs w:val="20"/>
              </w:rPr>
              <w:t>4.99</w:t>
            </w:r>
          </w:p>
        </w:tc>
        <w:tc>
          <w:tcPr>
            <w:tcW w:w="960" w:type="dxa"/>
            <w:hideMark/>
          </w:tcPr>
          <w:p w:rsidR="00FE657A" w:rsidRPr="00FE657A" w:rsidRDefault="00FE657A">
            <w:pPr>
              <w:rPr>
                <w:sz w:val="20"/>
                <w:szCs w:val="20"/>
              </w:rPr>
            </w:pPr>
            <w:r w:rsidRPr="00FE657A">
              <w:rPr>
                <w:sz w:val="20"/>
                <w:szCs w:val="20"/>
              </w:rPr>
              <w:t>5.52</w:t>
            </w:r>
          </w:p>
        </w:tc>
        <w:tc>
          <w:tcPr>
            <w:tcW w:w="960" w:type="dxa"/>
            <w:hideMark/>
          </w:tcPr>
          <w:p w:rsidR="00FE657A" w:rsidRPr="00FE657A" w:rsidRDefault="00FE657A">
            <w:pPr>
              <w:rPr>
                <w:sz w:val="20"/>
                <w:szCs w:val="20"/>
              </w:rPr>
            </w:pPr>
            <w:r w:rsidRPr="00FE657A">
              <w:rPr>
                <w:sz w:val="20"/>
                <w:szCs w:val="20"/>
              </w:rPr>
              <w:t>6.09</w:t>
            </w:r>
          </w:p>
        </w:tc>
        <w:tc>
          <w:tcPr>
            <w:tcW w:w="960" w:type="dxa"/>
            <w:hideMark/>
          </w:tcPr>
          <w:p w:rsidR="00FE657A" w:rsidRPr="00FE657A" w:rsidRDefault="00FE657A">
            <w:pPr>
              <w:rPr>
                <w:sz w:val="20"/>
                <w:szCs w:val="20"/>
              </w:rPr>
            </w:pPr>
            <w:r w:rsidRPr="00FE657A">
              <w:rPr>
                <w:sz w:val="20"/>
                <w:szCs w:val="20"/>
              </w:rPr>
              <w:t>7.04</w:t>
            </w:r>
          </w:p>
        </w:tc>
        <w:tc>
          <w:tcPr>
            <w:tcW w:w="960" w:type="dxa"/>
            <w:hideMark/>
          </w:tcPr>
          <w:p w:rsidR="00FE657A" w:rsidRPr="00FE657A" w:rsidRDefault="00FE657A">
            <w:pPr>
              <w:rPr>
                <w:sz w:val="20"/>
                <w:szCs w:val="20"/>
              </w:rPr>
            </w:pPr>
            <w:r w:rsidRPr="00FE657A">
              <w:rPr>
                <w:sz w:val="20"/>
                <w:szCs w:val="20"/>
              </w:rPr>
              <w:t>9.04</w:t>
            </w:r>
          </w:p>
        </w:tc>
        <w:tc>
          <w:tcPr>
            <w:tcW w:w="960" w:type="dxa"/>
            <w:hideMark/>
          </w:tcPr>
          <w:p w:rsidR="00FE657A" w:rsidRPr="00FE657A" w:rsidRDefault="00FE657A">
            <w:pPr>
              <w:rPr>
                <w:sz w:val="20"/>
                <w:szCs w:val="20"/>
              </w:rPr>
            </w:pPr>
            <w:r w:rsidRPr="00FE657A">
              <w:rPr>
                <w:sz w:val="20"/>
                <w:szCs w:val="20"/>
              </w:rPr>
              <w:t>10</w:t>
            </w:r>
          </w:p>
        </w:tc>
        <w:tc>
          <w:tcPr>
            <w:tcW w:w="1440" w:type="dxa"/>
            <w:noWrap/>
            <w:hideMark/>
          </w:tcPr>
          <w:p w:rsidR="00FE657A" w:rsidRPr="00FE657A" w:rsidRDefault="00FE657A" w:rsidP="00FE657A">
            <w:pPr>
              <w:rPr>
                <w:sz w:val="20"/>
                <w:szCs w:val="20"/>
              </w:rPr>
            </w:pPr>
            <w:r w:rsidRPr="00FE657A">
              <w:rPr>
                <w:sz w:val="20"/>
                <w:szCs w:val="20"/>
              </w:rPr>
              <w:t>3.85</w:t>
            </w:r>
          </w:p>
        </w:tc>
        <w:tc>
          <w:tcPr>
            <w:tcW w:w="1240" w:type="dxa"/>
            <w:noWrap/>
            <w:hideMark/>
          </w:tcPr>
          <w:p w:rsidR="00FE657A" w:rsidRPr="00FE657A" w:rsidRDefault="00FE657A" w:rsidP="00FE657A">
            <w:pPr>
              <w:rPr>
                <w:sz w:val="20"/>
                <w:szCs w:val="20"/>
              </w:rPr>
            </w:pPr>
            <w:r w:rsidRPr="00FE657A">
              <w:rPr>
                <w:sz w:val="20"/>
                <w:szCs w:val="20"/>
              </w:rPr>
              <w:t>10</w:t>
            </w:r>
          </w:p>
        </w:tc>
      </w:tr>
      <w:tr w:rsidR="00FE657A" w:rsidRPr="00FE657A" w:rsidTr="00FE657A">
        <w:trPr>
          <w:trHeight w:val="300"/>
        </w:trPr>
        <w:tc>
          <w:tcPr>
            <w:tcW w:w="2060" w:type="dxa"/>
            <w:hideMark/>
          </w:tcPr>
          <w:p w:rsidR="00FE657A" w:rsidRPr="00FE657A" w:rsidRDefault="00FE657A">
            <w:pPr>
              <w:rPr>
                <w:b/>
                <w:sz w:val="20"/>
                <w:szCs w:val="20"/>
              </w:rPr>
            </w:pPr>
            <w:r w:rsidRPr="00FE657A">
              <w:rPr>
                <w:b/>
                <w:sz w:val="20"/>
                <w:szCs w:val="20"/>
              </w:rPr>
              <w:t>Examination</w:t>
            </w:r>
          </w:p>
        </w:tc>
        <w:tc>
          <w:tcPr>
            <w:tcW w:w="960" w:type="dxa"/>
            <w:hideMark/>
          </w:tcPr>
          <w:p w:rsidR="00FE657A" w:rsidRPr="00FE657A" w:rsidRDefault="00FE657A">
            <w:pPr>
              <w:rPr>
                <w:sz w:val="20"/>
                <w:szCs w:val="20"/>
              </w:rPr>
            </w:pPr>
            <w:r w:rsidRPr="00FE657A">
              <w:rPr>
                <w:sz w:val="20"/>
                <w:szCs w:val="20"/>
              </w:rPr>
              <w:t>0</w:t>
            </w:r>
          </w:p>
        </w:tc>
        <w:tc>
          <w:tcPr>
            <w:tcW w:w="960" w:type="dxa"/>
            <w:hideMark/>
          </w:tcPr>
          <w:p w:rsidR="00FE657A" w:rsidRPr="00FE657A" w:rsidRDefault="00FE657A">
            <w:pPr>
              <w:rPr>
                <w:sz w:val="20"/>
                <w:szCs w:val="20"/>
              </w:rPr>
            </w:pPr>
            <w:r w:rsidRPr="00FE657A">
              <w:rPr>
                <w:sz w:val="20"/>
                <w:szCs w:val="20"/>
              </w:rPr>
              <w:t>0</w:t>
            </w:r>
          </w:p>
        </w:tc>
        <w:tc>
          <w:tcPr>
            <w:tcW w:w="960" w:type="dxa"/>
            <w:hideMark/>
          </w:tcPr>
          <w:p w:rsidR="00FE657A" w:rsidRPr="00FE657A" w:rsidRDefault="00FE657A">
            <w:pPr>
              <w:rPr>
                <w:sz w:val="20"/>
                <w:szCs w:val="20"/>
              </w:rPr>
            </w:pPr>
            <w:r w:rsidRPr="00FE657A">
              <w:rPr>
                <w:sz w:val="20"/>
                <w:szCs w:val="20"/>
              </w:rPr>
              <w:t>0</w:t>
            </w:r>
          </w:p>
        </w:tc>
        <w:tc>
          <w:tcPr>
            <w:tcW w:w="960" w:type="dxa"/>
            <w:hideMark/>
          </w:tcPr>
          <w:p w:rsidR="00FE657A" w:rsidRPr="00FE657A" w:rsidRDefault="00FE657A">
            <w:pPr>
              <w:rPr>
                <w:sz w:val="20"/>
                <w:szCs w:val="20"/>
              </w:rPr>
            </w:pPr>
            <w:r w:rsidRPr="00FE657A">
              <w:rPr>
                <w:sz w:val="20"/>
                <w:szCs w:val="20"/>
              </w:rPr>
              <w:t>0.52</w:t>
            </w:r>
          </w:p>
        </w:tc>
        <w:tc>
          <w:tcPr>
            <w:tcW w:w="960" w:type="dxa"/>
            <w:hideMark/>
          </w:tcPr>
          <w:p w:rsidR="00FE657A" w:rsidRPr="00FE657A" w:rsidRDefault="00FE657A">
            <w:pPr>
              <w:rPr>
                <w:sz w:val="20"/>
                <w:szCs w:val="20"/>
              </w:rPr>
            </w:pPr>
            <w:r w:rsidRPr="00FE657A">
              <w:rPr>
                <w:sz w:val="20"/>
                <w:szCs w:val="20"/>
              </w:rPr>
              <w:t>0.95</w:t>
            </w:r>
          </w:p>
        </w:tc>
        <w:tc>
          <w:tcPr>
            <w:tcW w:w="960" w:type="dxa"/>
            <w:hideMark/>
          </w:tcPr>
          <w:p w:rsidR="00FE657A" w:rsidRPr="00FE657A" w:rsidRDefault="00FE657A">
            <w:pPr>
              <w:rPr>
                <w:sz w:val="20"/>
                <w:szCs w:val="20"/>
              </w:rPr>
            </w:pPr>
            <w:r w:rsidRPr="00FE657A">
              <w:rPr>
                <w:sz w:val="20"/>
                <w:szCs w:val="20"/>
              </w:rPr>
              <w:t>4</w:t>
            </w:r>
          </w:p>
        </w:tc>
        <w:tc>
          <w:tcPr>
            <w:tcW w:w="1440" w:type="dxa"/>
            <w:noWrap/>
            <w:hideMark/>
          </w:tcPr>
          <w:p w:rsidR="00FE657A" w:rsidRPr="00FE657A" w:rsidRDefault="00FE657A" w:rsidP="00FE657A">
            <w:pPr>
              <w:rPr>
                <w:sz w:val="20"/>
                <w:szCs w:val="20"/>
              </w:rPr>
            </w:pPr>
            <w:r w:rsidRPr="00FE657A">
              <w:rPr>
                <w:sz w:val="20"/>
                <w:szCs w:val="20"/>
              </w:rPr>
              <w:t>0.10</w:t>
            </w:r>
          </w:p>
        </w:tc>
        <w:tc>
          <w:tcPr>
            <w:tcW w:w="1240" w:type="dxa"/>
            <w:noWrap/>
            <w:hideMark/>
          </w:tcPr>
          <w:p w:rsidR="00FE657A" w:rsidRPr="00FE657A" w:rsidRDefault="00FE657A" w:rsidP="00FE657A">
            <w:pPr>
              <w:keepNext/>
              <w:rPr>
                <w:sz w:val="20"/>
                <w:szCs w:val="20"/>
              </w:rPr>
            </w:pPr>
            <w:r w:rsidRPr="00FE657A">
              <w:rPr>
                <w:sz w:val="20"/>
                <w:szCs w:val="20"/>
              </w:rPr>
              <w:t>5</w:t>
            </w:r>
          </w:p>
        </w:tc>
      </w:tr>
    </w:tbl>
    <w:p w:rsidR="00FE657A" w:rsidRDefault="00FE657A" w:rsidP="00FE657A">
      <w:pPr>
        <w:pStyle w:val="Caption"/>
      </w:pPr>
    </w:p>
    <w:p w:rsidR="00DA6801" w:rsidRDefault="00FE657A" w:rsidP="00FE657A">
      <w:pPr>
        <w:pStyle w:val="Caption"/>
      </w:pPr>
      <w:r>
        <w:t xml:space="preserve">Figure </w:t>
      </w:r>
      <w:r w:rsidR="007A51E8">
        <w:fldChar w:fldCharType="begin"/>
      </w:r>
      <w:r w:rsidR="007A51E8">
        <w:instrText xml:space="preserve"> SEQ Figure \* ARABIC </w:instrText>
      </w:r>
      <w:r w:rsidR="007A51E8">
        <w:fldChar w:fldCharType="separate"/>
      </w:r>
      <w:r>
        <w:rPr>
          <w:noProof/>
        </w:rPr>
        <w:t>4</w:t>
      </w:r>
      <w:r w:rsidR="007A51E8">
        <w:rPr>
          <w:noProof/>
        </w:rPr>
        <w:fldChar w:fldCharType="end"/>
      </w:r>
    </w:p>
    <w:p w:rsidR="00FE657A" w:rsidRDefault="00FE657A" w:rsidP="00FE657A"/>
    <w:p w:rsidR="00FE657A" w:rsidRPr="00FE657A" w:rsidRDefault="00FE657A" w:rsidP="00FE657A">
      <w:pPr>
        <w:rPr>
          <w:b/>
          <w:sz w:val="20"/>
          <w:szCs w:val="20"/>
        </w:rPr>
      </w:pPr>
      <w:r>
        <w:rPr>
          <w:b/>
          <w:sz w:val="20"/>
          <w:szCs w:val="20"/>
        </w:rPr>
        <w:t>Graphical occupancy summary</w:t>
      </w:r>
    </w:p>
    <w:p w:rsidR="00FE657A" w:rsidRPr="00FE657A" w:rsidRDefault="00FE657A" w:rsidP="00FE657A"/>
    <w:p w:rsidR="00DA6801" w:rsidRDefault="00105DAD" w:rsidP="00DA6801">
      <w:pPr>
        <w:keepNext/>
      </w:pPr>
      <w:r>
        <w:rPr>
          <w:noProof/>
          <w:lang w:eastAsia="en-GB"/>
        </w:rPr>
        <w:drawing>
          <wp:inline distT="0" distB="0" distL="0" distR="0" wp14:anchorId="0EC80D3F" wp14:editId="2BB0E59B">
            <wp:extent cx="6645910" cy="3691557"/>
            <wp:effectExtent l="0" t="0" r="2540" b="444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JOSHUA~1.TYL/AppData/Local/Temp/RtmpoH3CBc/file1c782cba1bde_files/figure-docx/pto-1.png"/>
                    <pic:cNvPicPr>
                      <a:picLocks noChangeAspect="1" noChangeArrowheads="1"/>
                    </pic:cNvPicPr>
                  </pic:nvPicPr>
                  <pic:blipFill>
                    <a:blip r:embed="rId11"/>
                    <a:stretch>
                      <a:fillRect/>
                    </a:stretch>
                  </pic:blipFill>
                  <pic:spPr bwMode="auto">
                    <a:xfrm>
                      <a:off x="0" y="0"/>
                      <a:ext cx="6645910" cy="3691557"/>
                    </a:xfrm>
                    <a:prstGeom prst="rect">
                      <a:avLst/>
                    </a:prstGeom>
                    <a:noFill/>
                    <a:ln w="9525">
                      <a:noFill/>
                      <a:headEnd/>
                      <a:tailEnd/>
                    </a:ln>
                  </pic:spPr>
                </pic:pic>
              </a:graphicData>
            </a:graphic>
          </wp:inline>
        </w:drawing>
      </w:r>
    </w:p>
    <w:p w:rsidR="00105DAD" w:rsidRDefault="00DA6801" w:rsidP="00DA6801">
      <w:pPr>
        <w:pStyle w:val="Caption"/>
      </w:pPr>
      <w:r>
        <w:t xml:space="preserve">Figure </w:t>
      </w:r>
      <w:r w:rsidR="007A51E8">
        <w:fldChar w:fldCharType="begin"/>
      </w:r>
      <w:r w:rsidR="007A51E8">
        <w:instrText xml:space="preserve"> SEQ Figure \* ARABIC </w:instrText>
      </w:r>
      <w:r w:rsidR="007A51E8">
        <w:fldChar w:fldCharType="separate"/>
      </w:r>
      <w:r w:rsidR="00FE657A">
        <w:rPr>
          <w:noProof/>
        </w:rPr>
        <w:t>5</w:t>
      </w:r>
      <w:r w:rsidR="007A51E8">
        <w:rPr>
          <w:noProof/>
        </w:rPr>
        <w:fldChar w:fldCharType="end"/>
      </w:r>
    </w:p>
    <w:p w:rsidR="00FE657A" w:rsidRDefault="00FE657A" w:rsidP="00FE657A">
      <w:pPr>
        <w:rPr>
          <w:sz w:val="20"/>
          <w:szCs w:val="20"/>
        </w:rPr>
      </w:pPr>
      <w:r>
        <w:rPr>
          <w:sz w:val="20"/>
          <w:szCs w:val="20"/>
        </w:rPr>
        <w:lastRenderedPageBreak/>
        <w:t>Capacity-driven delays resulting from this pathway setup are negligible (as might be expected given the levels of underutilisation), and the proportion of time delayed awaiting discharge is also small, and mainly concentrated in the “emergency green” service point (note that this directly reflects the specification of prescribed delays to discharge in the pathway description).</w:t>
      </w:r>
    </w:p>
    <w:p w:rsidR="00FE657A" w:rsidRDefault="00FE657A" w:rsidP="00FE657A">
      <w:pPr>
        <w:rPr>
          <w:sz w:val="20"/>
          <w:szCs w:val="20"/>
        </w:rPr>
      </w:pPr>
    </w:p>
    <w:p w:rsidR="00CF3056" w:rsidRPr="00FE657A" w:rsidRDefault="00FE657A" w:rsidP="00FE657A">
      <w:pPr>
        <w:rPr>
          <w:sz w:val="20"/>
          <w:szCs w:val="20"/>
        </w:rPr>
      </w:pPr>
      <w:r>
        <w:rPr>
          <w:sz w:val="20"/>
          <w:szCs w:val="20"/>
        </w:rPr>
        <w:t xml:space="preserve">Queues are also negligible, with patients only ever queuing at the “emergency yellow” and “emergency green” service points, and queues there being uncommon and small (“emergency yellow” maximum queue size 3, mean queue size 0.003, and no queue at all 99% of the time; “emergency green” maximum queue size 8, mean queue size </w:t>
      </w:r>
      <w:r w:rsidR="00CF3056">
        <w:rPr>
          <w:sz w:val="20"/>
          <w:szCs w:val="20"/>
        </w:rPr>
        <w:t>0.009, and no queue at all 99% of the time).</w:t>
      </w:r>
    </w:p>
    <w:sectPr w:rsidR="00CF3056" w:rsidRPr="00FE657A" w:rsidSect="00B84BF5">
      <w:footerReference w:type="default" r:id="rId12"/>
      <w:headerReference w:type="first" r:id="rId13"/>
      <w:footerReference w:type="first" r:id="rId14"/>
      <w:pgSz w:w="11906" w:h="16838" w:code="9"/>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779" w:rsidRDefault="00BF5779" w:rsidP="009B0CD1">
      <w:pPr>
        <w:spacing w:line="240" w:lineRule="auto"/>
      </w:pPr>
      <w:r>
        <w:separator/>
      </w:r>
    </w:p>
  </w:endnote>
  <w:endnote w:type="continuationSeparator" w:id="0">
    <w:p w:rsidR="00BF5779" w:rsidRDefault="00BF5779"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CD1" w:rsidRPr="00DA3DA7" w:rsidRDefault="00100ED7" w:rsidP="00DA3DA7">
    <w:pPr>
      <w:pStyle w:val="Footer"/>
    </w:pPr>
    <w:r>
      <w:rPr>
        <w:noProof/>
        <w:lang w:eastAsia="en-GB"/>
      </w:rPr>
      <w:drawing>
        <wp:anchor distT="0" distB="0" distL="114300" distR="114300" simplePos="0" relativeHeight="251665408" behindDoc="1" locked="1" layoutInCell="1" allowOverlap="1" wp14:anchorId="5364A444" wp14:editId="56FEA4D6">
          <wp:simplePos x="0" y="0"/>
          <wp:positionH relativeFrom="page">
            <wp:align>left</wp:align>
          </wp:positionH>
          <wp:positionV relativeFrom="page">
            <wp:align>bottom</wp:align>
          </wp:positionV>
          <wp:extent cx="2120400" cy="74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rotWithShape="1">
                  <a:blip r:embed="rId1" cstate="print">
                    <a:extLst>
                      <a:ext uri="{28A0092B-C50C-407E-A947-70E740481C1C}">
                        <a14:useLocalDpi xmlns:a14="http://schemas.microsoft.com/office/drawing/2010/main" val="0"/>
                      </a:ext>
                    </a:extLst>
                  </a:blip>
                  <a:srcRect l="10487"/>
                  <a:stretch/>
                </pic:blipFill>
                <pic:spPr bwMode="auto">
                  <a:xfrm>
                    <a:off x="0" y="0"/>
                    <a:ext cx="2120400" cy="74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BF5">
      <w:tab/>
    </w:r>
    <w:r w:rsidR="00B84BF5">
      <w:tab/>
    </w:r>
    <w:r w:rsidR="00B84BF5">
      <w:tab/>
    </w:r>
    <w:r w:rsidR="00B84BF5" w:rsidRPr="00B84BF5">
      <w:rPr>
        <w:sz w:val="24"/>
        <w:szCs w:val="24"/>
      </w:rPr>
      <w:t xml:space="preserve">Page </w:t>
    </w:r>
    <w:r w:rsidR="00B84BF5" w:rsidRPr="00B84BF5">
      <w:rPr>
        <w:b/>
        <w:bCs/>
        <w:sz w:val="24"/>
        <w:szCs w:val="24"/>
      </w:rPr>
      <w:fldChar w:fldCharType="begin"/>
    </w:r>
    <w:r w:rsidR="00B84BF5" w:rsidRPr="00B84BF5">
      <w:rPr>
        <w:b/>
        <w:bCs/>
        <w:sz w:val="24"/>
        <w:szCs w:val="24"/>
      </w:rPr>
      <w:instrText xml:space="preserve"> PAGE </w:instrText>
    </w:r>
    <w:r w:rsidR="00B84BF5" w:rsidRPr="00B84BF5">
      <w:rPr>
        <w:b/>
        <w:bCs/>
        <w:sz w:val="24"/>
        <w:szCs w:val="24"/>
      </w:rPr>
      <w:fldChar w:fldCharType="separate"/>
    </w:r>
    <w:r w:rsidR="007A51E8">
      <w:rPr>
        <w:b/>
        <w:bCs/>
        <w:noProof/>
        <w:sz w:val="24"/>
        <w:szCs w:val="24"/>
      </w:rPr>
      <w:t>7</w:t>
    </w:r>
    <w:r w:rsidR="00B84BF5" w:rsidRPr="00B84BF5">
      <w:rPr>
        <w:b/>
        <w:bCs/>
        <w:sz w:val="24"/>
        <w:szCs w:val="24"/>
      </w:rPr>
      <w:fldChar w:fldCharType="end"/>
    </w:r>
    <w:r w:rsidR="00B84BF5" w:rsidRPr="00B84BF5">
      <w:rPr>
        <w:sz w:val="24"/>
        <w:szCs w:val="24"/>
      </w:rPr>
      <w:t xml:space="preserve"> of </w:t>
    </w:r>
    <w:r w:rsidR="00B84BF5" w:rsidRPr="00B84BF5">
      <w:rPr>
        <w:b/>
        <w:bCs/>
        <w:sz w:val="24"/>
        <w:szCs w:val="24"/>
      </w:rPr>
      <w:fldChar w:fldCharType="begin"/>
    </w:r>
    <w:r w:rsidR="00B84BF5" w:rsidRPr="00B84BF5">
      <w:rPr>
        <w:b/>
        <w:bCs/>
        <w:sz w:val="24"/>
        <w:szCs w:val="24"/>
      </w:rPr>
      <w:instrText xml:space="preserve"> NUMPAGES  </w:instrText>
    </w:r>
    <w:r w:rsidR="00B84BF5" w:rsidRPr="00B84BF5">
      <w:rPr>
        <w:b/>
        <w:bCs/>
        <w:sz w:val="24"/>
        <w:szCs w:val="24"/>
      </w:rPr>
      <w:fldChar w:fldCharType="separate"/>
    </w:r>
    <w:r w:rsidR="007A51E8">
      <w:rPr>
        <w:b/>
        <w:bCs/>
        <w:noProof/>
        <w:sz w:val="24"/>
        <w:szCs w:val="24"/>
      </w:rPr>
      <w:t>7</w:t>
    </w:r>
    <w:r w:rsidR="00B84BF5" w:rsidRPr="00B84BF5">
      <w:rPr>
        <w:b/>
        <w:bCs/>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BF5" w:rsidRPr="00B84BF5" w:rsidRDefault="00DA3DA7" w:rsidP="00B84BF5">
    <w:pPr>
      <w:pStyle w:val="Footer"/>
      <w:rPr>
        <w:sz w:val="24"/>
        <w:szCs w:val="24"/>
      </w:rPr>
    </w:pPr>
    <w:r>
      <w:rPr>
        <w:noProof/>
        <w:lang w:eastAsia="en-GB"/>
      </w:rPr>
      <w:drawing>
        <wp:anchor distT="0" distB="0" distL="114300" distR="114300" simplePos="0" relativeHeight="251662336" behindDoc="1" locked="1" layoutInCell="1" allowOverlap="1" wp14:anchorId="369D4EB6" wp14:editId="4BE163AC">
          <wp:simplePos x="0" y="0"/>
          <wp:positionH relativeFrom="page">
            <wp:align>left</wp:align>
          </wp:positionH>
          <wp:positionV relativeFrom="page">
            <wp:align>bottom</wp:align>
          </wp:positionV>
          <wp:extent cx="2368800" cy="74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8800" cy="745200"/>
                  </a:xfrm>
                  <a:prstGeom prst="rect">
                    <a:avLst/>
                  </a:prstGeom>
                </pic:spPr>
              </pic:pic>
            </a:graphicData>
          </a:graphic>
          <wp14:sizeRelH relativeFrom="margin">
            <wp14:pctWidth>0</wp14:pctWidth>
          </wp14:sizeRelH>
          <wp14:sizeRelV relativeFrom="margin">
            <wp14:pctHeight>0</wp14:pctHeight>
          </wp14:sizeRelV>
        </wp:anchor>
      </w:drawing>
    </w:r>
    <w:r w:rsidR="00B84BF5">
      <w:tab/>
    </w:r>
    <w:r w:rsidR="00B84BF5">
      <w:tab/>
    </w:r>
  </w:p>
  <w:p w:rsidR="00DA3DA7" w:rsidRDefault="00DA3DA7" w:rsidP="002562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779" w:rsidRDefault="00BF5779" w:rsidP="009B0CD1">
      <w:pPr>
        <w:spacing w:line="240" w:lineRule="auto"/>
      </w:pPr>
      <w:r>
        <w:separator/>
      </w:r>
    </w:p>
  </w:footnote>
  <w:footnote w:type="continuationSeparator" w:id="0">
    <w:p w:rsidR="00BF5779" w:rsidRDefault="00BF5779" w:rsidP="009B0CD1">
      <w:pPr>
        <w:spacing w:line="240" w:lineRule="auto"/>
      </w:pPr>
      <w:r>
        <w:continuationSeparator/>
      </w:r>
    </w:p>
  </w:footnote>
  <w:footnote w:id="1">
    <w:p w:rsidR="00895559" w:rsidRDefault="00895559" w:rsidP="00895559">
      <w:pPr>
        <w:pStyle w:val="FootnoteText"/>
      </w:pPr>
      <w:r>
        <w:rPr>
          <w:rStyle w:val="FootnoteReference"/>
        </w:rPr>
        <w:footnoteRef/>
      </w:r>
      <w:r>
        <w:t xml:space="preserve"> </w:t>
      </w:r>
      <w:proofErr w:type="spellStart"/>
      <w:r>
        <w:t>Cimellaro</w:t>
      </w:r>
      <w:proofErr w:type="spellEnd"/>
      <w:r>
        <w:t xml:space="preserve">, </w:t>
      </w:r>
      <w:proofErr w:type="spellStart"/>
      <w:r>
        <w:t>Malavisis</w:t>
      </w:r>
      <w:proofErr w:type="spellEnd"/>
      <w:r>
        <w:t xml:space="preserve"> and </w:t>
      </w:r>
      <w:proofErr w:type="spellStart"/>
      <w:r>
        <w:t>Mahin</w:t>
      </w:r>
      <w:proofErr w:type="spellEnd"/>
      <w:r>
        <w:t>, Using Discrete Event Simulation Models to Evaluate Resilience of an Emergency Department, Journal of Earthquake Engineering, 2016, pp.1-24, doi:10.1080/13632469.2016.1172373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4F5" w:rsidRDefault="00C921C9" w:rsidP="00DA3DA7">
    <w:r>
      <w:rPr>
        <w:noProof/>
        <w:lang w:eastAsia="en-GB"/>
      </w:rPr>
      <w:drawing>
        <wp:anchor distT="0" distB="0" distL="114300" distR="114300" simplePos="0" relativeHeight="251667456" behindDoc="0" locked="0" layoutInCell="1" allowOverlap="1">
          <wp:simplePos x="0" y="0"/>
          <wp:positionH relativeFrom="column">
            <wp:posOffset>3829050</wp:posOffset>
          </wp:positionH>
          <wp:positionV relativeFrom="paragraph">
            <wp:posOffset>-350520</wp:posOffset>
          </wp:positionV>
          <wp:extent cx="3270324" cy="150607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0324" cy="1506071"/>
                  </a:xfrm>
                  <a:prstGeom prst="rect">
                    <a:avLst/>
                  </a:prstGeom>
                </pic:spPr>
              </pic:pic>
            </a:graphicData>
          </a:graphic>
        </wp:anchor>
      </w:drawing>
    </w:r>
  </w:p>
  <w:p w:rsidR="00E264F5" w:rsidRDefault="00E264F5" w:rsidP="00DA3DA7"/>
  <w:p w:rsidR="00972451" w:rsidRDefault="00972451" w:rsidP="00DA3DA7"/>
  <w:p w:rsidR="009D6C57" w:rsidRDefault="009D6C57" w:rsidP="00DA3DA7"/>
  <w:p w:rsidR="009D6C57" w:rsidRPr="00DA3DA7" w:rsidRDefault="009D6C57" w:rsidP="00DA3D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2A1"/>
    <w:multiLevelType w:val="hybridMultilevel"/>
    <w:tmpl w:val="2116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7B5B6E"/>
    <w:multiLevelType w:val="hybridMultilevel"/>
    <w:tmpl w:val="9808ED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B40872"/>
    <w:multiLevelType w:val="hybridMultilevel"/>
    <w:tmpl w:val="7B168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5824FF"/>
    <w:multiLevelType w:val="hybridMultilevel"/>
    <w:tmpl w:val="AD7045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9E763AC"/>
    <w:multiLevelType w:val="hybridMultilevel"/>
    <w:tmpl w:val="295E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37EC1"/>
    <w:multiLevelType w:val="hybridMultilevel"/>
    <w:tmpl w:val="6CCE8E4E"/>
    <w:lvl w:ilvl="0" w:tplc="938E4D8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E4F610D"/>
    <w:multiLevelType w:val="hybridMultilevel"/>
    <w:tmpl w:val="43A818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8890B50"/>
    <w:multiLevelType w:val="multilevel"/>
    <w:tmpl w:val="5D6A105A"/>
    <w:numStyleLink w:val="NHSBNSSGBulletList"/>
  </w:abstractNum>
  <w:abstractNum w:abstractNumId="10" w15:restartNumberingAfterBreak="0">
    <w:nsid w:val="69DD236A"/>
    <w:multiLevelType w:val="hybridMultilevel"/>
    <w:tmpl w:val="875C6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497820"/>
    <w:multiLevelType w:val="hybridMultilevel"/>
    <w:tmpl w:val="8B722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9"/>
  </w:num>
  <w:num w:numId="5">
    <w:abstractNumId w:val="4"/>
  </w:num>
  <w:num w:numId="6">
    <w:abstractNumId w:val="10"/>
  </w:num>
  <w:num w:numId="7">
    <w:abstractNumId w:val="11"/>
  </w:num>
  <w:num w:numId="8">
    <w:abstractNumId w:val="0"/>
  </w:num>
  <w:num w:numId="9">
    <w:abstractNumId w:val="6"/>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79"/>
    <w:rsid w:val="00035339"/>
    <w:rsid w:val="00063322"/>
    <w:rsid w:val="00066694"/>
    <w:rsid w:val="000771F1"/>
    <w:rsid w:val="00082F7C"/>
    <w:rsid w:val="0009769E"/>
    <w:rsid w:val="000F095C"/>
    <w:rsid w:val="000F1A6F"/>
    <w:rsid w:val="000F65E7"/>
    <w:rsid w:val="00100ED7"/>
    <w:rsid w:val="00101F56"/>
    <w:rsid w:val="00103858"/>
    <w:rsid w:val="00105DAD"/>
    <w:rsid w:val="00163A9C"/>
    <w:rsid w:val="00197AAA"/>
    <w:rsid w:val="001B55D0"/>
    <w:rsid w:val="001C777F"/>
    <w:rsid w:val="001D4F51"/>
    <w:rsid w:val="00210A6D"/>
    <w:rsid w:val="0024218E"/>
    <w:rsid w:val="002562C5"/>
    <w:rsid w:val="00263ACB"/>
    <w:rsid w:val="0028472B"/>
    <w:rsid w:val="00290275"/>
    <w:rsid w:val="002D674D"/>
    <w:rsid w:val="00332C16"/>
    <w:rsid w:val="00342245"/>
    <w:rsid w:val="003841B1"/>
    <w:rsid w:val="003845F9"/>
    <w:rsid w:val="00394BC4"/>
    <w:rsid w:val="003A268C"/>
    <w:rsid w:val="003E279E"/>
    <w:rsid w:val="003F13CB"/>
    <w:rsid w:val="003F5564"/>
    <w:rsid w:val="00403191"/>
    <w:rsid w:val="00420B1B"/>
    <w:rsid w:val="00425472"/>
    <w:rsid w:val="00496B2F"/>
    <w:rsid w:val="004D36DF"/>
    <w:rsid w:val="004E0A72"/>
    <w:rsid w:val="00522B39"/>
    <w:rsid w:val="005B6174"/>
    <w:rsid w:val="005E43A7"/>
    <w:rsid w:val="00653DC0"/>
    <w:rsid w:val="006547EA"/>
    <w:rsid w:val="006670BF"/>
    <w:rsid w:val="006728EB"/>
    <w:rsid w:val="006D6FE9"/>
    <w:rsid w:val="00713EBD"/>
    <w:rsid w:val="007278A0"/>
    <w:rsid w:val="0075129B"/>
    <w:rsid w:val="00771B25"/>
    <w:rsid w:val="00791210"/>
    <w:rsid w:val="007934EB"/>
    <w:rsid w:val="007A51E8"/>
    <w:rsid w:val="007C205A"/>
    <w:rsid w:val="007C3E50"/>
    <w:rsid w:val="007F2ABB"/>
    <w:rsid w:val="00835C37"/>
    <w:rsid w:val="00842A8C"/>
    <w:rsid w:val="00845481"/>
    <w:rsid w:val="008645D9"/>
    <w:rsid w:val="00895559"/>
    <w:rsid w:val="008C4A94"/>
    <w:rsid w:val="009130D0"/>
    <w:rsid w:val="00972451"/>
    <w:rsid w:val="00985390"/>
    <w:rsid w:val="009B0CD1"/>
    <w:rsid w:val="009D6C57"/>
    <w:rsid w:val="00A15A07"/>
    <w:rsid w:val="00A268E1"/>
    <w:rsid w:val="00A3484D"/>
    <w:rsid w:val="00A73751"/>
    <w:rsid w:val="00A74DD1"/>
    <w:rsid w:val="00A9374F"/>
    <w:rsid w:val="00AA45CC"/>
    <w:rsid w:val="00B10C5F"/>
    <w:rsid w:val="00B73EB7"/>
    <w:rsid w:val="00B829F3"/>
    <w:rsid w:val="00B82EA5"/>
    <w:rsid w:val="00B84BF5"/>
    <w:rsid w:val="00BA4939"/>
    <w:rsid w:val="00BF5779"/>
    <w:rsid w:val="00C001FD"/>
    <w:rsid w:val="00C25E57"/>
    <w:rsid w:val="00C541C8"/>
    <w:rsid w:val="00C921C9"/>
    <w:rsid w:val="00CA6264"/>
    <w:rsid w:val="00CF3056"/>
    <w:rsid w:val="00D01F72"/>
    <w:rsid w:val="00D02698"/>
    <w:rsid w:val="00D62F0F"/>
    <w:rsid w:val="00D65B38"/>
    <w:rsid w:val="00DA3DA7"/>
    <w:rsid w:val="00DA4A34"/>
    <w:rsid w:val="00DA6801"/>
    <w:rsid w:val="00DC1C97"/>
    <w:rsid w:val="00DD4A2D"/>
    <w:rsid w:val="00DE3771"/>
    <w:rsid w:val="00E264F5"/>
    <w:rsid w:val="00E33900"/>
    <w:rsid w:val="00E651CE"/>
    <w:rsid w:val="00E92E6E"/>
    <w:rsid w:val="00EA22B9"/>
    <w:rsid w:val="00EF7526"/>
    <w:rsid w:val="00F12426"/>
    <w:rsid w:val="00F84335"/>
    <w:rsid w:val="00F90B0B"/>
    <w:rsid w:val="00F93030"/>
    <w:rsid w:val="00FA175A"/>
    <w:rsid w:val="00FA638D"/>
    <w:rsid w:val="00FC617F"/>
    <w:rsid w:val="00FE657A"/>
    <w:rsid w:val="00FF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633E4A9"/>
  <w15:docId w15:val="{A1991D24-9B86-4BD5-A3A8-02802F7E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9130D0"/>
    <w:pPr>
      <w:keepNext/>
      <w:keepLines/>
      <w:spacing w:before="300"/>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rsid w:val="00100ED7"/>
    <w:pPr>
      <w:tabs>
        <w:tab w:val="right" w:pos="10206"/>
      </w:tabs>
      <w:spacing w:before="60" w:line="240" w:lineRule="auto"/>
    </w:pPr>
    <w:rPr>
      <w:sz w:val="18"/>
    </w:rPr>
  </w:style>
  <w:style w:type="character" w:customStyle="1" w:styleId="FooterChar">
    <w:name w:val="Footer Char"/>
    <w:basedOn w:val="DefaultParagraphFont"/>
    <w:link w:val="Footer"/>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290275"/>
    <w:pPr>
      <w:ind w:left="720"/>
      <w:contextualSpacing/>
    </w:pPr>
  </w:style>
  <w:style w:type="table" w:styleId="GridTable4-Accent1">
    <w:name w:val="Grid Table 4 Accent 1"/>
    <w:basedOn w:val="TableNormal"/>
    <w:uiPriority w:val="49"/>
    <w:rsid w:val="00E33900"/>
    <w:pPr>
      <w:spacing w:after="0"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paragraph" w:styleId="FootnoteText">
    <w:name w:val="footnote text"/>
    <w:basedOn w:val="Normal"/>
    <w:link w:val="FootnoteTextChar"/>
    <w:uiPriority w:val="99"/>
    <w:semiHidden/>
    <w:unhideWhenUsed/>
    <w:rsid w:val="0009769E"/>
    <w:pPr>
      <w:spacing w:line="240" w:lineRule="auto"/>
    </w:pPr>
    <w:rPr>
      <w:sz w:val="20"/>
      <w:szCs w:val="20"/>
    </w:rPr>
  </w:style>
  <w:style w:type="character" w:customStyle="1" w:styleId="FootnoteTextChar">
    <w:name w:val="Footnote Text Char"/>
    <w:basedOn w:val="DefaultParagraphFont"/>
    <w:link w:val="FootnoteText"/>
    <w:uiPriority w:val="99"/>
    <w:semiHidden/>
    <w:rsid w:val="0009769E"/>
    <w:rPr>
      <w:sz w:val="20"/>
      <w:szCs w:val="20"/>
    </w:rPr>
  </w:style>
  <w:style w:type="character" w:styleId="FootnoteReference">
    <w:name w:val="footnote reference"/>
    <w:basedOn w:val="DefaultParagraphFont"/>
    <w:uiPriority w:val="99"/>
    <w:semiHidden/>
    <w:unhideWhenUsed/>
    <w:rsid w:val="0009769E"/>
    <w:rPr>
      <w:vertAlign w:val="superscript"/>
    </w:rPr>
  </w:style>
  <w:style w:type="paragraph" w:styleId="Caption">
    <w:name w:val="caption"/>
    <w:basedOn w:val="Normal"/>
    <w:next w:val="Normal"/>
    <w:uiPriority w:val="35"/>
    <w:unhideWhenUsed/>
    <w:qFormat/>
    <w:rsid w:val="00105DAD"/>
    <w:pPr>
      <w:spacing w:after="200" w:line="240" w:lineRule="auto"/>
    </w:pPr>
    <w:rPr>
      <w:i/>
      <w:iCs/>
      <w:color w:val="42556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349713">
      <w:bodyDiv w:val="1"/>
      <w:marLeft w:val="0"/>
      <w:marRight w:val="0"/>
      <w:marTop w:val="0"/>
      <w:marBottom w:val="0"/>
      <w:divBdr>
        <w:top w:val="none" w:sz="0" w:space="0" w:color="auto"/>
        <w:left w:val="none" w:sz="0" w:space="0" w:color="auto"/>
        <w:bottom w:val="none" w:sz="0" w:space="0" w:color="auto"/>
        <w:right w:val="none" w:sz="0" w:space="0" w:color="auto"/>
      </w:divBdr>
    </w:div>
    <w:div w:id="1306012862">
      <w:bodyDiv w:val="1"/>
      <w:marLeft w:val="0"/>
      <w:marRight w:val="0"/>
      <w:marTop w:val="0"/>
      <w:marBottom w:val="0"/>
      <w:divBdr>
        <w:top w:val="none" w:sz="0" w:space="0" w:color="auto"/>
        <w:left w:val="none" w:sz="0" w:space="0" w:color="auto"/>
        <w:bottom w:val="none" w:sz="0" w:space="0" w:color="auto"/>
        <w:right w:val="none" w:sz="0" w:space="0" w:color="auto"/>
      </w:divBdr>
    </w:div>
    <w:div w:id="1472139015">
      <w:bodyDiv w:val="1"/>
      <w:marLeft w:val="0"/>
      <w:marRight w:val="0"/>
      <w:marTop w:val="0"/>
      <w:marBottom w:val="0"/>
      <w:divBdr>
        <w:top w:val="none" w:sz="0" w:space="0" w:color="auto"/>
        <w:left w:val="none" w:sz="0" w:space="0" w:color="auto"/>
        <w:bottom w:val="none" w:sz="0" w:space="0" w:color="auto"/>
        <w:right w:val="none" w:sz="0" w:space="0" w:color="auto"/>
      </w:divBdr>
    </w:div>
    <w:div w:id="1970823448">
      <w:bodyDiv w:val="1"/>
      <w:marLeft w:val="0"/>
      <w:marRight w:val="0"/>
      <w:marTop w:val="0"/>
      <w:marBottom w:val="0"/>
      <w:divBdr>
        <w:top w:val="none" w:sz="0" w:space="0" w:color="auto"/>
        <w:left w:val="none" w:sz="0" w:space="0" w:color="auto"/>
        <w:bottom w:val="none" w:sz="0" w:space="0" w:color="auto"/>
        <w:right w:val="none" w:sz="0" w:space="0" w:color="auto"/>
      </w:divBdr>
    </w:div>
    <w:div w:id="203850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F72CD-5831-4EF7-B559-FB5F513C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Joshua (BNSSG CCG)</dc:creator>
  <cp:lastModifiedBy>Murch Ben (BNSSG CCG)</cp:lastModifiedBy>
  <cp:revision>11</cp:revision>
  <cp:lastPrinted>2019-09-03T15:01:00Z</cp:lastPrinted>
  <dcterms:created xsi:type="dcterms:W3CDTF">2019-10-08T07:50:00Z</dcterms:created>
  <dcterms:modified xsi:type="dcterms:W3CDTF">2019-10-08T14:12:00Z</dcterms:modified>
</cp:coreProperties>
</file>